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Arial" w:cs="Arial" w:eastAsia="Arial" w:hAnsi="Arial"/>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1"/>
              </w:rPr>
              <w:t>Washington, D.C. 20549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99"/>
              </w:rPr>
              <w:t>FORM 10-Q</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QUARTERLY REPORT PURSUANT TO SECTION 13 OR 15(d) OF</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Arial" w:cs="Arial" w:eastAsia="Arial" w:hAnsi="Arial"/>
                <w:sz w:val="18"/>
                <w:szCs w:val="18"/>
                <w:b w:val="1"/>
                <w:bCs w:val="1"/>
                <w:color w:val="auto"/>
                <w:w w:val="99"/>
              </w:rPr>
              <w:t>THE SECURITIES EXCHANGE ACT OF 1934</w:t>
            </w:r>
          </w:p>
        </w:tc>
      </w:tr>
      <w:tr>
        <w:trPr>
          <w:trHeight w:val="371"/>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Arial" w:cs="Arial" w:eastAsia="Arial" w:hAnsi="Arial"/>
                <w:sz w:val="18"/>
                <w:szCs w:val="18"/>
                <w:color w:val="auto"/>
                <w:w w:val="89"/>
              </w:rPr>
              <w:t>For the quarterly period ended September 30, 2023</w:t>
            </w:r>
          </w:p>
        </w:tc>
      </w:tr>
      <w:tr>
        <w:trPr>
          <w:trHeight w:val="230"/>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Arial" w:cs="Arial" w:eastAsia="Arial" w:hAnsi="Arial"/>
                <w:sz w:val="18"/>
                <w:szCs w:val="18"/>
                <w:color w:val="auto"/>
                <w:w w:val="88"/>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8"/>
              </w:rPr>
              <w:t>TRANSITION REPORT PURSUANT TO SECTION 13 OR 15(d) OF THE</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Arial" w:cs="Arial" w:eastAsia="Arial" w:hAnsi="Arial"/>
                <w:sz w:val="18"/>
                <w:szCs w:val="18"/>
                <w:b w:val="1"/>
                <w:bCs w:val="1"/>
                <w:color w:val="auto"/>
                <w:w w:val="98"/>
              </w:rPr>
              <w:t>SECURITIES EXCHANGE ACT OF 1934</w:t>
            </w:r>
          </w:p>
        </w:tc>
      </w:tr>
      <w:tr>
        <w:trPr>
          <w:trHeight w:val="317"/>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Arial" w:cs="Arial" w:eastAsia="Arial" w:hAnsi="Arial"/>
                <w:sz w:val="18"/>
                <w:szCs w:val="18"/>
                <w:color w:val="auto"/>
              </w:rPr>
              <w:t>For transition period from</w:t>
            </w:r>
          </w:p>
        </w:tc>
        <w:tc>
          <w:tcPr>
            <w:tcW w:w="260" w:type="dxa"/>
            <w:vAlign w:val="bottom"/>
            <w:gridSpan w:val="2"/>
          </w:tcPr>
          <w:p>
            <w:pPr>
              <w:spacing w:after="0"/>
              <w:rPr>
                <w:sz w:val="20"/>
                <w:szCs w:val="20"/>
                <w:color w:val="auto"/>
              </w:rPr>
            </w:pPr>
            <w:r>
              <w:rPr>
                <w:rFonts w:ascii="Arial" w:cs="Arial" w:eastAsia="Arial" w:hAnsi="Arial"/>
                <w:sz w:val="18"/>
                <w:szCs w:val="18"/>
                <w:color w:val="auto"/>
              </w:rPr>
              <w:t>to</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Arial" w:cs="Arial" w:eastAsia="Arial" w:hAnsi="Arial"/>
                <w:sz w:val="18"/>
                <w:szCs w:val="18"/>
                <w:b w:val="1"/>
                <w:bCs w:val="1"/>
                <w:color w:val="auto"/>
                <w:w w:val="91"/>
              </w:rPr>
              <w:t>Commission File Number: 001-40136</w:t>
            </w:r>
          </w:p>
        </w:tc>
      </w:tr>
      <w:tr>
        <w:trPr>
          <w:trHeight w:val="431"/>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Arial" w:cs="Arial" w:eastAsia="Arial" w:hAnsi="Arial"/>
                <w:sz w:val="32"/>
                <w:szCs w:val="32"/>
                <w:b w:val="1"/>
                <w:bCs w:val="1"/>
                <w:color w:val="auto"/>
                <w:w w:val="93"/>
              </w:rPr>
              <w:t>Amalgamated Financial Corp.</w:t>
            </w:r>
          </w:p>
        </w:tc>
      </w:tr>
      <w:tr>
        <w:trPr>
          <w:trHeight w:val="230"/>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Arial" w:cs="Arial" w:eastAsia="Arial" w:hAnsi="Arial"/>
                <w:sz w:val="18"/>
                <w:szCs w:val="18"/>
                <w:b w:val="1"/>
                <w:bCs w:val="1"/>
                <w:color w:val="auto"/>
              </w:rPr>
              <w:t>85-2757101</w:t>
            </w:r>
          </w:p>
        </w:tc>
      </w:tr>
      <w:tr>
        <w:trPr>
          <w:trHeight w:val="224"/>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color w:val="auto"/>
                <w:w w:val="94"/>
              </w:rPr>
              <w:t>(I.R.S. Employer Identification No.)</w:t>
            </w:r>
          </w:p>
        </w:tc>
      </w:tr>
      <w:tr>
        <w:trPr>
          <w:trHeight w:val="269"/>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3"/>
              </w:rPr>
              <w:t>275 Seventh Avenue, New York, NY</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10001</w:t>
            </w:r>
          </w:p>
        </w:tc>
        <w:tc>
          <w:tcPr>
            <w:tcW w:w="3900" w:type="dxa"/>
            <w:vAlign w:val="bottom"/>
          </w:tcPr>
          <w:p>
            <w:pPr>
              <w:spacing w:after="0"/>
              <w:rPr>
                <w:sz w:val="23"/>
                <w:szCs w:val="23"/>
                <w:color w:val="auto"/>
              </w:rPr>
            </w:pPr>
          </w:p>
        </w:tc>
      </w:tr>
      <w:tr>
        <w:trPr>
          <w:trHeight w:val="224"/>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Arial" w:cs="Arial" w:eastAsia="Arial" w:hAnsi="Arial"/>
                <w:sz w:val="18"/>
                <w:szCs w:val="18"/>
                <w:color w:val="auto"/>
              </w:rPr>
              <w:t>(Address of principal executive offices) (Zip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 255-6200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121" w:lineRule="exact"/>
        <w:rPr>
          <w:sz w:val="24"/>
          <w:szCs w:val="24"/>
          <w:color w:val="auto"/>
        </w:rPr>
      </w:pPr>
    </w:p>
    <w:p>
      <w:pPr>
        <w:ind w:right="240"/>
        <w:spacing w:after="0" w:line="26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242" w:lineRule="exact"/>
        <w:tabs>
          <w:tab w:leader="none" w:pos="3320" w:val="left"/>
        </w:tabs>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9"/>
          <w:szCs w:val="19"/>
          <w:color w:val="auto"/>
        </w:rPr>
        <w:t>☐</w:t>
      </w:r>
    </w:p>
    <w:p>
      <w:pPr>
        <w:spacing w:after="0" w:line="134" w:lineRule="exact"/>
        <w:rPr>
          <w:sz w:val="24"/>
          <w:szCs w:val="24"/>
          <w:color w:val="auto"/>
        </w:rPr>
      </w:pPr>
    </w:p>
    <w:p>
      <w:pPr>
        <w:ind w:right="360"/>
        <w:spacing w:after="0" w:line="25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77" w:lineRule="exact"/>
        <w:rPr>
          <w:sz w:val="24"/>
          <w:szCs w:val="24"/>
          <w:color w:val="auto"/>
        </w:rPr>
      </w:pPr>
    </w:p>
    <w:p>
      <w:pPr>
        <w:ind w:right="44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338"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78" w:lineRule="exact"/>
        <w:rPr>
          <w:sz w:val="24"/>
          <w:szCs w:val="24"/>
          <w:color w:val="auto"/>
        </w:rPr>
      </w:pPr>
    </w:p>
    <w:p>
      <w:pPr>
        <w:sectPr>
          <w:pgSz w:w="11900" w:h="16838" w:orient="portrait"/>
          <w:cols w:equalWidth="0" w:num="4">
            <w:col w:w="1640" w:space="620"/>
            <w:col w:w="800" w:space="720"/>
            <w:col w:w="1880" w:space="720"/>
            <w:col w:w="4860"/>
          </w:cols>
          <w:pgMar w:left="320" w:top="1440" w:right="339" w:bottom="1440" w:gutter="0" w:footer="0" w:header="0"/>
          <w:type w:val="continuous"/>
        </w:sectPr>
      </w:pPr>
    </w:p>
    <w:p>
      <w:pPr>
        <w:spacing w:after="0" w:line="102"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600"/>
        <w:spacing w:after="0" w:line="191" w:lineRule="exact"/>
        <w:rPr>
          <w:sz w:val="20"/>
          <w:szCs w:val="20"/>
          <w:color w:val="auto"/>
        </w:rPr>
      </w:pPr>
      <w:r>
        <w:rPr>
          <w:rFonts w:ascii="MS PGothic" w:cs="MS PGothic" w:eastAsia="MS PGothic" w:hAnsi="MS PGothic"/>
          <w:sz w:val="19"/>
          <w:szCs w:val="19"/>
          <w:color w:val="auto"/>
        </w:rPr>
        <w:t>☒</w:t>
      </w:r>
    </w:p>
    <w:p>
      <w:pPr>
        <w:spacing w:after="0" w:line="262" w:lineRule="exact"/>
        <w:rPr>
          <w:sz w:val="24"/>
          <w:szCs w:val="24"/>
          <w:color w:val="auto"/>
        </w:rPr>
      </w:pPr>
    </w:p>
    <w:p>
      <w:pPr>
        <w:sectPr>
          <w:pgSz w:w="11900" w:h="16838" w:orient="portrait"/>
          <w:cols w:equalWidth="0" w:num="6">
            <w:col w:w="1540" w:space="720"/>
            <w:col w:w="800" w:space="720"/>
            <w:col w:w="1960" w:space="640"/>
            <w:col w:w="840" w:space="720"/>
            <w:col w:w="1960" w:space="540"/>
            <w:col w:w="800"/>
          </w:cols>
          <w:pgMar w:left="320" w:top="1440" w:right="339" w:bottom="1440" w:gutter="0" w:footer="0" w:header="0"/>
          <w:type w:val="continuous"/>
        </w:sectPr>
      </w:pPr>
    </w:p>
    <w:p>
      <w:pPr>
        <w:ind w:right="160"/>
        <w:spacing w:after="0" w:line="25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7" w:lineRule="exact"/>
        <w:rPr>
          <w:sz w:val="24"/>
          <w:szCs w:val="24"/>
          <w:color w:val="auto"/>
        </w:rPr>
      </w:pPr>
    </w:p>
    <w:p>
      <w:pPr>
        <w:ind w:right="2160"/>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November 3, 2023, the registrant had 30,393,605 shares of common stock outstanding at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p>
      <w:pPr>
        <w:ind w:left="10840"/>
        <w:spacing w:after="0"/>
        <w:rPr>
          <w:sz w:val="20"/>
          <w:szCs w:val="20"/>
          <w:color w:val="auto"/>
        </w:rPr>
      </w:pPr>
      <w:r>
        <w:rPr>
          <w:rFonts w:ascii="Arial" w:cs="Arial" w:eastAsia="Arial" w:hAnsi="Arial"/>
          <w:sz w:val="15"/>
          <w:szCs w:val="15"/>
          <w:b w:val="1"/>
          <w:bCs w:val="1"/>
          <w:u w:val="single" w:color="auto"/>
          <w:color w:val="auto"/>
        </w:rPr>
        <w:t>Page</w:t>
      </w:r>
    </w:p>
    <w:p>
      <w:pPr>
        <w:spacing w:after="0" w:line="71" w:lineRule="exact"/>
        <w:rPr>
          <w:sz w:val="20"/>
          <w:szCs w:val="20"/>
          <w:color w:val="auto"/>
        </w:rPr>
      </w:pPr>
    </w:p>
    <w:p>
      <w:pPr>
        <w:spacing w:after="0"/>
        <w:tabs>
          <w:tab w:leader="none" w:pos="11080" w:val="left"/>
        </w:tabs>
        <w:rPr>
          <w:sz w:val="20"/>
          <w:szCs w:val="20"/>
          <w:color w:val="auto"/>
        </w:rPr>
      </w:pPr>
      <w:r>
        <w:rPr>
          <w:rFonts w:ascii="Arial" w:cs="Arial" w:eastAsia="Arial" w:hAnsi="Arial"/>
          <w:sz w:val="18"/>
          <w:szCs w:val="18"/>
          <w:b w:val="1"/>
          <w:bCs w:val="1"/>
          <w:color w:val="auto"/>
        </w:rPr>
        <w:t>Cautionary Note Regarding Forward-Looking Statements</w:t>
      </w:r>
      <w:r>
        <w:rPr>
          <w:sz w:val="20"/>
          <w:szCs w:val="20"/>
          <w:color w:val="auto"/>
        </w:rPr>
        <w:tab/>
      </w:r>
      <w:r>
        <w:rPr>
          <w:rFonts w:ascii="Arial" w:cs="Arial" w:eastAsia="Arial" w:hAnsi="Arial"/>
          <w:sz w:val="18"/>
          <w:szCs w:val="18"/>
          <w:color w:val="auto"/>
        </w:rPr>
        <w:t>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ectPr>
          <w:pgSz w:w="11900" w:h="16838" w:orient="portrait"/>
          <w:cols w:equalWidth="0" w:num="1">
            <w:col w:w="11200"/>
          </w:cols>
          <w:pgMar w:left="340" w:top="1440" w:right="359" w:bottom="1440" w:gutter="0" w:footer="0" w:header="0"/>
        </w:sectPr>
      </w:pPr>
    </w:p>
    <w:p>
      <w:pPr>
        <w:spacing w:after="0" w:line="24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Consolidated Statements of Financial Condition as of September 30, 2023 and December 31, 2022</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Consolidated Statements of Income for the Three and Nine Months Ended September 30, 2023 and 2022</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Consolidated Statements of Comprehensive Income for the Three and Nine Months Ended September 30, 2023 and 2022</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Consolidated Statements of Changes in Stockholders’ Equity for the Three and Nine Months Ended September 30, 2023 and 2022</w:t>
      </w:r>
    </w:p>
    <w:p>
      <w:pPr>
        <w:spacing w:after="0" w:line="6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Consolidated Statements of Cash Flows for the Nine Months Ended September 30, 2023 and 2022</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218" w:lineRule="exact"/>
        <w:rPr>
          <w:sz w:val="20"/>
          <w:szCs w:val="20"/>
          <w:color w:val="auto"/>
        </w:rPr>
      </w:pPr>
    </w:p>
    <w:p>
      <w:pPr>
        <w:sectPr>
          <w:pgSz w:w="11900" w:h="16838" w:orient="portrait"/>
          <w:cols w:equalWidth="0" w:num="2">
            <w:col w:w="10480" w:space="540"/>
            <w:col w:w="180"/>
          </w:cols>
          <w:pgMar w:left="340" w:top="1440" w:right="35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 w:name="page3"/>
    <w:bookmarkEnd w:id="2"/>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indicates otherwise, references to “we,” “us,” “our” and the “Company” refer to Amalgamated Financial Corp. and Amalgamated Bank.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References to the “Bank” refer to Amalgamated Bank.</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Section 21E of the Securities Exchange Act of 1934, as amended (the “Exchange Act”). Forward-looking statements are not statements of historical or current fact nor are they assurances of future performance and generally can be identified by the use of forward-looking terminology, such as “may,” “will,” “anticipate,” “aspire,” “intend,” “could,” “should,” “would,” “believe,” “project,” “plan,” “goal,” “target,” “potential,” “pro-forma,” “seek,” “contemplate,” “expect,” “estimate,” and “continue,” or the negative thereof as well as other similar words and expressions of the future.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3" w:lineRule="exact"/>
        <w:rPr>
          <w:sz w:val="20"/>
          <w:szCs w:val="20"/>
          <w:color w:val="auto"/>
        </w:rPr>
      </w:pPr>
    </w:p>
    <w:p>
      <w:pPr>
        <w:ind w:left="660" w:right="6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 conditions in the banking industry and in national, regional and local economies in our core markets, which may have an adverse impact on our business, operations and financial performance;</w:t>
      </w: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deterioration in the financial condition of borrowers resulting in significant increases in credit losses on loans and provisions for those losses;</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deposits, including an increase in uninsured deposits;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unfavorable conditions in the capital markets, which may cause declines in our stock price and the value of our investments;</w:t>
      </w:r>
    </w:p>
    <w:p>
      <w:pPr>
        <w:spacing w:after="0" w:line="9" w:lineRule="exact"/>
        <w:rPr>
          <w:rFonts w:ascii="Arial" w:cs="Arial" w:eastAsia="Arial" w:hAnsi="Arial"/>
          <w:sz w:val="18"/>
          <w:szCs w:val="18"/>
          <w:color w:val="auto"/>
        </w:rPr>
      </w:pPr>
    </w:p>
    <w:p>
      <w:pPr>
        <w:ind w:left="660" w:right="86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fluctuation of the interest rate environment, including changes in net interest margin or changes that affect the yield curve on investments;</w:t>
      </w:r>
    </w:p>
    <w:p>
      <w:pPr>
        <w:ind w:left="660" w:right="74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fiscal challenges facing the U.S. government which may impact the government entities which we do business with, and the value of our investments in GSEs;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deterioration in real estate collateral values;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legislation, regulation, public policies, or administrative practices impacting the banking industry, including increased regulation and FDIC assessments in the aftermath of recent bank failures;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legal or regulatory proceedings that may be instituted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inability to maintain the historical growth rate of the loan portfolio;</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reserve policies associated with economic conditions, examination conclusions, or regulatory developments;</w:t>
      </w:r>
    </w:p>
    <w:p>
      <w:pPr>
        <w:ind w:left="660" w:right="6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competition with other financial institutions, including pricing pressures and the resulting impact on our results, including as a result of compression to net interest margin;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for experienced members of the workforce including executives in the banking industry;</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failure in or breach of our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downgrade in our credit rating;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political opposition to Environmental, Social and Governance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recessionary conditions;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physical and transitional risks related to climate change as they impact our business and the businesses that we finance; and</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descriptions of assumptions underlying or relating to any of the foregoing.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Additional factors that may cause actual results to differ materially from those contemplated by any forward-looking statements may be found in our Annual Reports on Form 10-K, Quarterly Reports on Form 10-Q and Current Reports on Form 8-K filed with the SEC and available at the SEC’s website at https://sec.gov. Further, any forward-looking statement speaks only as of the date on which it is made and we do not intend to and, except as required by law, disclaim any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8"/>
          <w:szCs w:val="18"/>
          <w:b w:val="1"/>
          <w:bCs w:val="1"/>
          <w:color w:val="auto"/>
        </w:rPr>
        <w:t>Part I</w:t>
      </w:r>
    </w:p>
    <w:p>
      <w:pPr>
        <w:ind w:left="20"/>
        <w:spacing w:after="0" w:line="219" w:lineRule="auto"/>
        <w:rPr>
          <w:sz w:val="20"/>
          <w:szCs w:val="20"/>
          <w:color w:val="auto"/>
        </w:rPr>
      </w:pPr>
      <w:r>
        <w:rPr>
          <w:rFonts w:ascii="Arial" w:cs="Arial" w:eastAsia="Arial" w:hAnsi="Arial"/>
          <w:sz w:val="18"/>
          <w:szCs w:val="18"/>
          <w:b w:val="1"/>
          <w:bCs w:val="1"/>
          <w:color w:val="auto"/>
        </w:rPr>
        <w:t>Item 1. – Financial Statements</w:t>
      </w:r>
    </w:p>
    <w:p>
      <w:pPr>
        <w:ind w:left="20"/>
        <w:spacing w:after="0" w:line="203" w:lineRule="auto"/>
        <w:rPr>
          <w:sz w:val="20"/>
          <w:szCs w:val="20"/>
          <w:color w:val="auto"/>
        </w:rPr>
      </w:pPr>
      <w:r>
        <w:rPr>
          <w:rFonts w:ascii="Arial" w:cs="Arial" w:eastAsia="Arial" w:hAnsi="Arial"/>
          <w:sz w:val="18"/>
          <w:szCs w:val="18"/>
          <w:b w:val="1"/>
          <w:bCs w:val="1"/>
          <w:color w:val="auto"/>
        </w:rPr>
        <w:t>Consolidated Statements of Financial Condition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28"/>
              <w:spacing w:after="0" w:line="13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Interest-bearing deposits in banks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134,725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58,430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cash and cash equivalents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140,219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63,540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Available for sale, at fair value</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1,491,450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1,812,476</w:t>
            </w:r>
          </w:p>
        </w:tc>
        <w:tc>
          <w:tcPr>
            <w:tcW w:w="0" w:type="dxa"/>
            <w:vAlign w:val="bottom"/>
          </w:tcPr>
          <w:p>
            <w:pPr>
              <w:spacing w:after="0"/>
              <w:rPr>
                <w:sz w:val="1"/>
                <w:szCs w:val="1"/>
                <w:color w:val="auto"/>
              </w:rPr>
            </w:pPr>
          </w:p>
        </w:tc>
      </w:tr>
      <w:tr>
        <w:trPr>
          <w:trHeight w:val="182"/>
        </w:trPr>
        <w:tc>
          <w:tcPr>
            <w:tcW w:w="8140" w:type="dxa"/>
            <w:vAlign w:val="bottom"/>
          </w:tcPr>
          <w:p>
            <w:pPr>
              <w:ind w:left="140"/>
              <w:spacing w:after="0"/>
              <w:rPr>
                <w:sz w:val="20"/>
                <w:szCs w:val="20"/>
                <w:color w:val="auto"/>
              </w:rPr>
            </w:pPr>
            <w:r>
              <w:rPr>
                <w:rFonts w:ascii="Arial" w:cs="Arial" w:eastAsia="Arial" w:hAnsi="Arial"/>
                <w:sz w:val="14"/>
                <w:szCs w:val="14"/>
                <w:color w:val="auto"/>
              </w:rPr>
              <w:t>Held-to-maturity, at amortized cost:</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Traditional securities, net of allowance for credit losses of $55 at September 30, 2023</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612,026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629,424</w:t>
            </w:r>
          </w:p>
        </w:tc>
        <w:tc>
          <w:tcPr>
            <w:tcW w:w="0" w:type="dxa"/>
            <w:vAlign w:val="bottom"/>
          </w:tcPr>
          <w:p>
            <w:pPr>
              <w:spacing w:after="0"/>
              <w:rPr>
                <w:sz w:val="1"/>
                <w:szCs w:val="1"/>
                <w:color w:val="auto"/>
              </w:rPr>
            </w:pPr>
          </w:p>
        </w:tc>
      </w:tr>
      <w:tr>
        <w:trPr>
          <w:trHeight w:val="182"/>
        </w:trPr>
        <w:tc>
          <w:tcPr>
            <w:tcW w:w="8140" w:type="dxa"/>
            <w:vAlign w:val="bottom"/>
          </w:tcPr>
          <w:p>
            <w:pPr>
              <w:ind w:left="240"/>
              <w:spacing w:after="0"/>
              <w:rPr>
                <w:sz w:val="20"/>
                <w:szCs w:val="20"/>
                <w:color w:val="auto"/>
              </w:rPr>
            </w:pPr>
            <w:r>
              <w:rPr>
                <w:rFonts w:ascii="Arial" w:cs="Arial" w:eastAsia="Arial" w:hAnsi="Arial"/>
                <w:sz w:val="14"/>
                <w:szCs w:val="14"/>
                <w:color w:val="auto"/>
              </w:rPr>
              <w:t>Property Assessed Clean Energy ("PACE") assessments, net of allowance for credit losses of $670 at September 30, 2023</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1,069,834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911,877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1,681,860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1,541,301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Loans receivable, net of deferred loan origination costs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4,364,745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4,106,002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Allowance for credit losses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(45,031)</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Loans receivable, net</w:t>
            </w: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4,296,930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4,060,971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Resell agreements</w:t>
            </w:r>
          </w:p>
        </w:tc>
        <w:tc>
          <w:tcPr>
            <w:tcW w:w="22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25,754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Home Loan Bank of New York ("FHLBNY") stock, at cost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29,607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Accrued interest and dividends receivable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47,745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41,441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Bank-owned life insurance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105,708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105,624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Right-of-use lease asset</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28,236</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Deferred tax asset,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63,322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62,507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12,936</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method investments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8,305</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17,397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29,522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7,909,732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7,843,124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6,990,854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6,595,037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Subordinated debt, net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70,427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77,708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FHLBNY advances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580,000</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Other borrowings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33,242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40,779</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34,537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40,645</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7,363,441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7,334,169</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140" w:type="dxa"/>
            <w:vAlign w:val="bottom"/>
          </w:tcPr>
          <w:p>
            <w:pPr>
              <w:ind w:left="20"/>
              <w:spacing w:after="0" w:line="143" w:lineRule="exact"/>
              <w:rPr>
                <w:sz w:val="20"/>
                <w:szCs w:val="20"/>
                <w:color w:val="auto"/>
              </w:rPr>
            </w:pPr>
            <w:r>
              <w:rPr>
                <w:rFonts w:ascii="Arial" w:cs="Arial" w:eastAsia="Arial" w:hAnsi="Arial"/>
                <w:sz w:val="14"/>
                <w:szCs w:val="14"/>
                <w:color w:val="auto"/>
                <w:w w:val="96"/>
              </w:rPr>
              <w:t>Common stock, par value $0.01 per share (70,000,000 shares authorized; 30,736,141 and 30,700,198 shares issued, respectively, and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8"/>
        </w:trPr>
        <w:tc>
          <w:tcPr>
            <w:tcW w:w="8140" w:type="dxa"/>
            <w:vAlign w:val="bottom"/>
          </w:tcPr>
          <w:p>
            <w:pPr>
              <w:ind w:left="20"/>
              <w:spacing w:after="0"/>
              <w:rPr>
                <w:sz w:val="20"/>
                <w:szCs w:val="20"/>
                <w:color w:val="auto"/>
              </w:rPr>
            </w:pPr>
            <w:r>
              <w:rPr>
                <w:rFonts w:ascii="Arial" w:cs="Arial" w:eastAsia="Arial" w:hAnsi="Arial"/>
                <w:sz w:val="14"/>
                <w:szCs w:val="14"/>
                <w:color w:val="auto"/>
              </w:rPr>
              <w:t>30,458,781 and 30,700,198 shares outstanding, respectively)</w:t>
            </w:r>
          </w:p>
        </w:tc>
        <w:tc>
          <w:tcPr>
            <w:tcW w:w="2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287,579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286,947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368,420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330,275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 net of income taxes</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(105,294)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(108,707)</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Treasury stock, at cost (277,360 and zero shares, respectively)</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Amalgamated Financial Corp. stockholders' equity</w:t>
            </w: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546,158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508,822</w:t>
            </w:r>
          </w:p>
        </w:tc>
        <w:tc>
          <w:tcPr>
            <w:tcW w:w="0" w:type="dxa"/>
            <w:vAlign w:val="bottom"/>
          </w:tcPr>
          <w:p>
            <w:pPr>
              <w:spacing w:after="0"/>
              <w:rPr>
                <w:sz w:val="1"/>
                <w:szCs w:val="1"/>
                <w:color w:val="auto"/>
              </w:rPr>
            </w:pPr>
          </w:p>
        </w:tc>
      </w:tr>
      <w:tr>
        <w:trPr>
          <w:trHeight w:val="182"/>
        </w:trPr>
        <w:tc>
          <w:tcPr>
            <w:tcW w:w="81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546,291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508,955</w:t>
            </w:r>
          </w:p>
        </w:tc>
        <w:tc>
          <w:tcPr>
            <w:tcW w:w="0" w:type="dxa"/>
            <w:vAlign w:val="bottom"/>
          </w:tcPr>
          <w:p>
            <w:pPr>
              <w:spacing w:after="0"/>
              <w:rPr>
                <w:sz w:val="1"/>
                <w:szCs w:val="1"/>
                <w:color w:val="auto"/>
              </w:rPr>
            </w:pPr>
          </w:p>
        </w:tc>
      </w:tr>
      <w:tr>
        <w:trPr>
          <w:trHeight w:val="196"/>
        </w:trPr>
        <w:tc>
          <w:tcPr>
            <w:tcW w:w="8140" w:type="dxa"/>
            <w:vAlign w:val="bottom"/>
          </w:tcPr>
          <w:p>
            <w:pPr>
              <w:ind w:left="64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7,909,732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7,843,124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Income (unaudited)</w:t>
      </w:r>
    </w:p>
    <w:p>
      <w:pPr>
        <w:ind w:left="20"/>
        <w:spacing w:after="0"/>
        <w:rPr>
          <w:sz w:val="20"/>
          <w:szCs w:val="20"/>
          <w:color w:val="auto"/>
        </w:rPr>
      </w:pPr>
      <w:r>
        <w:rPr>
          <w:rFonts w:ascii="Arial" w:cs="Arial" w:eastAsia="Arial" w:hAnsi="Arial"/>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5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49,578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139,744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103,157</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75,087</w:t>
            </w:r>
          </w:p>
        </w:tc>
      </w:tr>
      <w:tr>
        <w:trPr>
          <w:trHeight w:val="230"/>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Interest-bearing deposits in banks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23"/>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interest and dividend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70,815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262,093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179,945</w:t>
            </w: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r>
      <w:tr>
        <w:trPr>
          <w:trHeight w:val="229"/>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Borrowed funds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r>
      <w:tr>
        <w:trPr>
          <w:trHeight w:val="223"/>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NET 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193,992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172,494</w:t>
            </w: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w:t>
            </w:r>
          </w:p>
        </w:tc>
      </w:tr>
      <w:tr>
        <w:trPr>
          <w:trHeight w:val="223"/>
        </w:trPr>
        <w:tc>
          <w:tcPr>
            <w:tcW w:w="5580" w:type="dxa"/>
            <w:vAlign w:val="bottom"/>
          </w:tcPr>
          <w:p>
            <w:pPr>
              <w:ind w:left="800"/>
              <w:spacing w:after="0"/>
              <w:rPr>
                <w:sz w:val="20"/>
                <w:szCs w:val="20"/>
                <w:color w:val="auto"/>
              </w:rPr>
            </w:pPr>
            <w:r>
              <w:rPr>
                <w:rFonts w:ascii="Arial" w:cs="Arial" w:eastAsia="Arial" w:hAnsi="Arial"/>
                <w:sz w:val="18"/>
                <w:szCs w:val="18"/>
                <w:color w:val="auto"/>
              </w:rPr>
              <w:t>Net interest income after 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183,079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161,926</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580" w:type="dxa"/>
            <w:vAlign w:val="bottom"/>
          </w:tcPr>
          <w:p>
            <w:pPr>
              <w:ind w:left="200"/>
              <w:spacing w:after="0"/>
              <w:rPr>
                <w:sz w:val="20"/>
                <w:szCs w:val="20"/>
                <w:color w:val="auto"/>
              </w:rPr>
            </w:pPr>
            <w:r>
              <w:rPr>
                <w:rFonts w:ascii="Arial" w:cs="Arial" w:eastAsia="Arial" w:hAnsi="Arial"/>
                <w:sz w:val="18"/>
                <w:szCs w:val="18"/>
                <w:color w:val="auto"/>
              </w:rPr>
              <w:t>Trust Department fees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10,842</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Bank-owned life insurance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on sale of securities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Gains (losses) on sale of loans,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method investments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23"/>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w:t>
            </w: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55,242</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Occupancy and depreciation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10,378</w:t>
            </w: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Data processing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13,660</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maintenance and 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 and promotion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30"/>
        </w:trPr>
        <w:tc>
          <w:tcPr>
            <w:tcW w:w="5580" w:type="dxa"/>
            <w:vAlign w:val="bottom"/>
          </w:tcPr>
          <w:p>
            <w:pPr>
              <w:ind w:left="200"/>
              <w:spacing w:after="0"/>
              <w:rPr>
                <w:sz w:val="20"/>
                <w:szCs w:val="20"/>
                <w:color w:val="auto"/>
              </w:rPr>
            </w:pPr>
            <w:r>
              <w:rPr>
                <w:rFonts w:ascii="Arial" w:cs="Arial" w:eastAsia="Arial" w:hAnsi="Arial"/>
                <w:sz w:val="18"/>
                <w:szCs w:val="18"/>
                <w:color w:val="auto"/>
              </w:rPr>
              <w:t>Federal deposit insurance premiums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2,440</w:t>
            </w:r>
          </w:p>
        </w:tc>
      </w:tr>
      <w:tr>
        <w:trPr>
          <w:trHeight w:val="229"/>
        </w:trPr>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r>
      <w:tr>
        <w:trPr>
          <w:trHeight w:val="223"/>
        </w:trPr>
        <w:tc>
          <w:tcPr>
            <w:tcW w:w="558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non-interest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105,001</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76,596</w:t>
            </w:r>
          </w:p>
        </w:tc>
      </w:tr>
      <w:tr>
        <w:trPr>
          <w:trHeight w:val="230"/>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w:t>
            </w:r>
          </w:p>
        </w:tc>
      </w:tr>
      <w:tr>
        <w:trPr>
          <w:trHeight w:val="223"/>
        </w:trPr>
        <w:tc>
          <w:tcPr>
            <w:tcW w:w="5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56,722</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Earnings per common share - 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Comprehensive Income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7"/>
        </w:trPr>
        <w:tc>
          <w:tcPr>
            <w:tcW w:w="5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2022</w:t>
            </w:r>
          </w:p>
        </w:tc>
      </w:tr>
      <w:tr>
        <w:trPr>
          <w:trHeight w:val="250"/>
        </w:trPr>
        <w:tc>
          <w:tcPr>
            <w:tcW w:w="5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56,722</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5"/>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Change in total obligation for postretirement benefits, prior service credit,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 benefits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Net unrealized gains (losses) on securities: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holding gains (losses) on securities available for sale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(159,460)</w:t>
            </w:r>
          </w:p>
        </w:tc>
      </w:tr>
      <w:tr>
        <w:trPr>
          <w:trHeight w:val="229"/>
        </w:trPr>
        <w:tc>
          <w:tcPr>
            <w:tcW w:w="5420" w:type="dxa"/>
            <w:vAlign w:val="bottom"/>
          </w:tcPr>
          <w:p>
            <w:pPr>
              <w:ind w:left="140"/>
              <w:spacing w:after="0"/>
              <w:rPr>
                <w:sz w:val="20"/>
                <w:szCs w:val="20"/>
                <w:color w:val="auto"/>
              </w:rPr>
            </w:pPr>
            <w:r>
              <w:rPr>
                <w:rFonts w:ascii="Arial" w:cs="Arial" w:eastAsia="Arial" w:hAnsi="Arial"/>
                <w:sz w:val="18"/>
                <w:szCs w:val="18"/>
                <w:color w:val="auto"/>
              </w:rPr>
              <w:t>Reclassification adjustment for losses realized in income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176"/>
        </w:trPr>
        <w:tc>
          <w:tcPr>
            <w:tcW w:w="5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Accretion of net unrealized loss on securities transferred to held-to-</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maturity</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gains (losses) on securities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(156,455)</w:t>
            </w:r>
          </w:p>
        </w:tc>
      </w:tr>
      <w:tr>
        <w:trPr>
          <w:trHeight w:val="22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(156,277)</w:t>
            </w:r>
          </w:p>
        </w:tc>
      </w:tr>
      <w:tr>
        <w:trPr>
          <w:trHeight w:val="230"/>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42,992</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(113,285)</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Total comprehensive income (loss), net of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68,697</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(56,563)</w:t>
            </w:r>
          </w:p>
        </w:tc>
      </w:tr>
      <w:tr>
        <w:trPr>
          <w:trHeight w:val="21"/>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ectPr>
          <w:pgSz w:w="11900" w:h="16838" w:orient="portrait"/>
          <w:cols w:equalWidth="0" w:num="1">
            <w:col w:w="11240"/>
          </w:cols>
          <w:pgMar w:left="320" w:top="1440"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Changes in Stockholders’ Equity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9"/>
          </w:tcPr>
          <w:p>
            <w:pPr>
              <w:ind w:left="140"/>
              <w:spacing w:after="0"/>
              <w:rPr>
                <w:sz w:val="20"/>
                <w:szCs w:val="20"/>
                <w:color w:val="auto"/>
              </w:rPr>
            </w:pPr>
            <w:r>
              <w:rPr>
                <w:rFonts w:ascii="Arial" w:cs="Arial" w:eastAsia="Arial" w:hAnsi="Arial"/>
                <w:sz w:val="18"/>
                <w:szCs w:val="18"/>
                <w:b w:val="1"/>
                <w:bCs w:val="1"/>
                <w:color w:val="auto"/>
                <w:w w:val="91"/>
              </w:rPr>
              <w:t>Three Months Ended September 30, 2023</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1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114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87"/>
              </w:rPr>
              <w:t>Shares of</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4" w:lineRule="exact"/>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14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89"/>
              </w:rPr>
              <w:t>Common</w:t>
            </w: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Common</w:t>
            </w:r>
          </w:p>
        </w:tc>
        <w:tc>
          <w:tcPr>
            <w:tcW w:w="940" w:type="dxa"/>
            <w:vAlign w:val="bottom"/>
            <w:gridSpan w:val="3"/>
          </w:tcPr>
          <w:p>
            <w:pPr>
              <w:ind w:left="20"/>
              <w:spacing w:after="0" w:line="181" w:lineRule="exact"/>
              <w:rPr>
                <w:sz w:val="20"/>
                <w:szCs w:val="20"/>
                <w:color w:val="auto"/>
              </w:rPr>
            </w:pPr>
            <w:r>
              <w:rPr>
                <w:rFonts w:ascii="Arial" w:cs="Arial" w:eastAsia="Arial" w:hAnsi="Arial"/>
                <w:sz w:val="18"/>
                <w:szCs w:val="18"/>
                <w:b w:val="1"/>
                <w:bCs w:val="1"/>
                <w:color w:val="auto"/>
              </w:rPr>
              <w:t>Additional</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88"/>
              </w:rPr>
              <w:t>Comprehensive</w:t>
            </w:r>
          </w:p>
        </w:tc>
        <w:tc>
          <w:tcPr>
            <w:tcW w:w="880" w:type="dxa"/>
            <w:vAlign w:val="bottom"/>
            <w:gridSpan w:val="3"/>
          </w:tcPr>
          <w:p>
            <w:pPr>
              <w:ind w:left="60"/>
              <w:spacing w:after="0" w:line="181" w:lineRule="exact"/>
              <w:rPr>
                <w:sz w:val="20"/>
                <w:szCs w:val="20"/>
                <w:color w:val="auto"/>
              </w:rPr>
            </w:pPr>
            <w:r>
              <w:rPr>
                <w:rFonts w:ascii="Arial" w:cs="Arial" w:eastAsia="Arial" w:hAnsi="Arial"/>
                <w:sz w:val="18"/>
                <w:szCs w:val="18"/>
                <w:b w:val="1"/>
                <w:bCs w:val="1"/>
                <w:color w:val="auto"/>
              </w:rPr>
              <w:t>Treasury</w:t>
            </w:r>
          </w:p>
        </w:tc>
        <w:tc>
          <w:tcPr>
            <w:tcW w:w="280" w:type="dxa"/>
            <w:vAlign w:val="bottom"/>
          </w:tcPr>
          <w:p>
            <w:pPr>
              <w:spacing w:after="0"/>
              <w:rPr>
                <w:sz w:val="15"/>
                <w:szCs w:val="15"/>
                <w:color w:val="auto"/>
              </w:rPr>
            </w:pPr>
          </w:p>
        </w:tc>
        <w:tc>
          <w:tcPr>
            <w:tcW w:w="90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2"/>
              </w:rPr>
              <w:t>Total</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Noncontrolling</w:t>
            </w:r>
          </w:p>
        </w:tc>
        <w:tc>
          <w:tcPr>
            <w:tcW w:w="14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Stock</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Paid-in</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7"/>
              </w:rPr>
              <w:t>Loss, net of</w:t>
            </w:r>
          </w:p>
        </w:tc>
        <w:tc>
          <w:tcPr>
            <w:tcW w:w="880" w:type="dxa"/>
            <w:vAlign w:val="bottom"/>
            <w:gridSpan w:val="3"/>
          </w:tcPr>
          <w:p>
            <w:pPr>
              <w:ind w:left="60"/>
              <w:spacing w:after="0" w:line="176" w:lineRule="exact"/>
              <w:rPr>
                <w:sz w:val="20"/>
                <w:szCs w:val="20"/>
                <w:color w:val="auto"/>
              </w:rPr>
            </w:pPr>
            <w:r>
              <w:rPr>
                <w:rFonts w:ascii="Arial" w:cs="Arial" w:eastAsia="Arial" w:hAnsi="Arial"/>
                <w:sz w:val="18"/>
                <w:szCs w:val="18"/>
                <w:b w:val="1"/>
                <w:bCs w:val="1"/>
                <w:color w:val="auto"/>
              </w:rPr>
              <w:t>Stock, at</w:t>
            </w:r>
          </w:p>
        </w:tc>
        <w:tc>
          <w:tcPr>
            <w:tcW w:w="11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6"/>
              </w:rPr>
              <w:t>Stockholders'</w:t>
            </w:r>
          </w:p>
        </w:tc>
        <w:tc>
          <w:tcPr>
            <w:tcW w:w="1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8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1"/>
                <w:szCs w:val="21"/>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Balance at July 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30,572,606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286,877</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$ 349,204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4"/>
              </w:rPr>
              <w:t>(2,693)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528,614</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22,308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22,308</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Repurchase of common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(2,647)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20"/>
              <w:spacing w:after="0" w:line="189" w:lineRule="exact"/>
              <w:rPr>
                <w:sz w:val="20"/>
                <w:szCs w:val="20"/>
                <w:color w:val="auto"/>
              </w:rPr>
            </w:pPr>
            <w:r>
              <w:rPr>
                <w:rFonts w:ascii="Arial" w:cs="Arial" w:eastAsia="Arial" w:hAnsi="Arial"/>
                <w:sz w:val="18"/>
                <w:szCs w:val="18"/>
                <w:color w:val="auto"/>
              </w:rPr>
              <w:t>under Employee Stock</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tcPr>
          <w:p>
            <w:pPr>
              <w:jc w:val="right"/>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common stock, net, $0.10</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w w:val="92"/>
              </w:rPr>
              <w:t>Exercise of stock options,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net of repurchases</w:t>
            </w:r>
          </w:p>
        </w:tc>
        <w:tc>
          <w:tcPr>
            <w:tcW w:w="1040" w:type="dxa"/>
            <w:vAlign w:val="bottom"/>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vesting, net of</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9"/>
              </w:rPr>
              <w:t>Balance at September</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30,458,781</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287,579</w:t>
            </w:r>
          </w:p>
        </w:tc>
        <w:tc>
          <w:tcPr>
            <w:tcW w:w="80" w:type="dxa"/>
            <w:vAlign w:val="bottom"/>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$ 368,420</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(105,294)</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w w:val="94"/>
              </w:rPr>
              <w:t>(4,854)</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546,158</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546,291</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30, 2023</w:t>
            </w: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ind w:left="200"/>
              <w:spacing w:after="0"/>
              <w:rPr>
                <w:sz w:val="20"/>
                <w:szCs w:val="20"/>
                <w:color w:val="auto"/>
              </w:rPr>
            </w:pPr>
            <w:r>
              <w:rPr>
                <w:rFonts w:ascii="Arial" w:cs="Arial" w:eastAsia="Arial" w:hAnsi="Arial"/>
                <w:sz w:val="18"/>
                <w:szCs w:val="18"/>
                <w:b w:val="1"/>
                <w:bCs w:val="1"/>
                <w:color w:val="auto"/>
                <w:w w:val="90"/>
              </w:rPr>
              <w:t>Nine Months Ended September 30, 2023</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14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rPr>
                <w:sz w:val="16"/>
                <w:szCs w:val="16"/>
                <w:color w:val="auto"/>
              </w:rPr>
            </w:pPr>
          </w:p>
        </w:tc>
        <w:tc>
          <w:tcPr>
            <w:tcW w:w="114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87"/>
              </w:rPr>
              <w:t>Shares of</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4" w:lineRule="exact"/>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14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89"/>
              </w:rPr>
              <w:t>Common</w:t>
            </w: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Common</w:t>
            </w:r>
          </w:p>
        </w:tc>
        <w:tc>
          <w:tcPr>
            <w:tcW w:w="940" w:type="dxa"/>
            <w:vAlign w:val="bottom"/>
            <w:gridSpan w:val="3"/>
          </w:tcPr>
          <w:p>
            <w:pPr>
              <w:ind w:left="20"/>
              <w:spacing w:after="0" w:line="181" w:lineRule="exact"/>
              <w:rPr>
                <w:sz w:val="20"/>
                <w:szCs w:val="20"/>
                <w:color w:val="auto"/>
              </w:rPr>
            </w:pPr>
            <w:r>
              <w:rPr>
                <w:rFonts w:ascii="Arial" w:cs="Arial" w:eastAsia="Arial" w:hAnsi="Arial"/>
                <w:sz w:val="18"/>
                <w:szCs w:val="18"/>
                <w:b w:val="1"/>
                <w:bCs w:val="1"/>
                <w:color w:val="auto"/>
              </w:rPr>
              <w:t>Additional</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88"/>
              </w:rPr>
              <w:t>Comprehensive</w:t>
            </w:r>
          </w:p>
        </w:tc>
        <w:tc>
          <w:tcPr>
            <w:tcW w:w="880" w:type="dxa"/>
            <w:vAlign w:val="bottom"/>
            <w:gridSpan w:val="3"/>
          </w:tcPr>
          <w:p>
            <w:pPr>
              <w:ind w:left="60"/>
              <w:spacing w:after="0" w:line="181" w:lineRule="exact"/>
              <w:rPr>
                <w:sz w:val="20"/>
                <w:szCs w:val="20"/>
                <w:color w:val="auto"/>
              </w:rPr>
            </w:pPr>
            <w:r>
              <w:rPr>
                <w:rFonts w:ascii="Arial" w:cs="Arial" w:eastAsia="Arial" w:hAnsi="Arial"/>
                <w:sz w:val="18"/>
                <w:szCs w:val="18"/>
                <w:b w:val="1"/>
                <w:bCs w:val="1"/>
                <w:color w:val="auto"/>
              </w:rPr>
              <w:t>Treasury</w:t>
            </w:r>
          </w:p>
        </w:tc>
        <w:tc>
          <w:tcPr>
            <w:tcW w:w="240" w:type="dxa"/>
            <w:vAlign w:val="bottom"/>
          </w:tcPr>
          <w:p>
            <w:pPr>
              <w:spacing w:after="0"/>
              <w:rPr>
                <w:sz w:val="15"/>
                <w:szCs w:val="15"/>
                <w:color w:val="auto"/>
              </w:rPr>
            </w:pPr>
          </w:p>
        </w:tc>
        <w:tc>
          <w:tcPr>
            <w:tcW w:w="94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2"/>
              </w:rPr>
              <w:t>Total</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Noncontrolling</w:t>
            </w:r>
          </w:p>
        </w:tc>
        <w:tc>
          <w:tcPr>
            <w:tcW w:w="14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20" w:type="dxa"/>
            <w:vAlign w:val="bottom"/>
          </w:tcPr>
          <w:p>
            <w:pPr>
              <w:spacing w:after="0"/>
              <w:rPr>
                <w:sz w:val="15"/>
                <w:szCs w:val="15"/>
                <w:color w:val="auto"/>
              </w:rPr>
            </w:pPr>
          </w:p>
        </w:tc>
        <w:tc>
          <w:tcPr>
            <w:tcW w:w="11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Stock</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Paid-in</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7"/>
              </w:rPr>
              <w:t>Loss, net of</w:t>
            </w:r>
          </w:p>
        </w:tc>
        <w:tc>
          <w:tcPr>
            <w:tcW w:w="880" w:type="dxa"/>
            <w:vAlign w:val="bottom"/>
            <w:gridSpan w:val="3"/>
          </w:tcPr>
          <w:p>
            <w:pPr>
              <w:ind w:left="60"/>
              <w:spacing w:after="0" w:line="176" w:lineRule="exact"/>
              <w:rPr>
                <w:sz w:val="20"/>
                <w:szCs w:val="20"/>
                <w:color w:val="auto"/>
              </w:rPr>
            </w:pPr>
            <w:r>
              <w:rPr>
                <w:rFonts w:ascii="Arial" w:cs="Arial" w:eastAsia="Arial" w:hAnsi="Arial"/>
                <w:sz w:val="18"/>
                <w:szCs w:val="18"/>
                <w:b w:val="1"/>
                <w:bCs w:val="1"/>
                <w:color w:val="auto"/>
              </w:rPr>
              <w:t>Stock, at</w:t>
            </w:r>
          </w:p>
        </w:tc>
        <w:tc>
          <w:tcPr>
            <w:tcW w:w="11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6"/>
              </w:rPr>
              <w:t>Stockholders'</w:t>
            </w:r>
          </w:p>
        </w:tc>
        <w:tc>
          <w:tcPr>
            <w:tcW w:w="1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8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1"/>
                <w:szCs w:val="21"/>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155"/>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January 1,</w:t>
            </w: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30,700,198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286,947</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$ 330,275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508,955</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rPr>
              <w:t>Cumulative effect of</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20"/>
              <w:spacing w:after="0" w:line="189" w:lineRule="exact"/>
              <w:rPr>
                <w:sz w:val="20"/>
                <w:szCs w:val="20"/>
                <w:color w:val="auto"/>
              </w:rPr>
            </w:pPr>
            <w:r>
              <w:rPr>
                <w:rFonts w:ascii="Arial" w:cs="Arial" w:eastAsia="Arial" w:hAnsi="Arial"/>
                <w:sz w:val="18"/>
                <w:szCs w:val="18"/>
                <w:color w:val="auto"/>
              </w:rPr>
              <w:t>adoption of ASU No.</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2016-13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(17,825)</w:t>
            </w:r>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at January 1,</w:t>
            </w: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2023 adjusted for change</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accounting principle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30,700,198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286,947</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491,130</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65,284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65,284</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Repurchase of common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(7,229)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20"/>
              <w:spacing w:after="0" w:line="189" w:lineRule="exact"/>
              <w:rPr>
                <w:sz w:val="20"/>
                <w:szCs w:val="20"/>
                <w:color w:val="auto"/>
              </w:rPr>
            </w:pPr>
            <w:r>
              <w:rPr>
                <w:rFonts w:ascii="Arial" w:cs="Arial" w:eastAsia="Arial" w:hAnsi="Arial"/>
                <w:sz w:val="18"/>
                <w:szCs w:val="18"/>
                <w:color w:val="auto"/>
              </w:rPr>
              <w:t>under Employee Stock</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tcPr>
          <w:p>
            <w:pPr>
              <w:jc w:val="right"/>
              <w:spacing w:after="0"/>
              <w:rPr>
                <w:sz w:val="20"/>
                <w:szCs w:val="20"/>
                <w:color w:val="auto"/>
              </w:rPr>
            </w:pPr>
            <w:r>
              <w:rPr>
                <w:rFonts w:ascii="Arial" w:cs="Arial" w:eastAsia="Arial" w:hAnsi="Arial"/>
                <w:sz w:val="18"/>
                <w:szCs w:val="18"/>
                <w:color w:val="auto"/>
              </w:rPr>
              <w:t>37,672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common stock, net, $0.30</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0" w:type="dxa"/>
            <w:vAlign w:val="bottom"/>
          </w:tcPr>
          <w:p>
            <w:pPr>
              <w:spacing w:after="0"/>
              <w:rPr>
                <w:sz w:val="1"/>
                <w:szCs w:val="1"/>
                <w:color w:val="auto"/>
              </w:rPr>
            </w:pPr>
          </w:p>
        </w:tc>
      </w:tr>
      <w:tr>
        <w:trPr>
          <w:trHeight w:val="176"/>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w w:val="92"/>
              </w:rPr>
              <w:t>Exercise of stock options,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net of repurchases</w:t>
            </w:r>
          </w:p>
        </w:tc>
        <w:tc>
          <w:tcPr>
            <w:tcW w:w="1040" w:type="dxa"/>
            <w:vAlign w:val="bottom"/>
          </w:tcPr>
          <w:p>
            <w:pPr>
              <w:jc w:val="right"/>
              <w:spacing w:after="0"/>
              <w:rPr>
                <w:sz w:val="20"/>
                <w:szCs w:val="20"/>
                <w:color w:val="auto"/>
              </w:rPr>
            </w:pPr>
            <w:r>
              <w:rPr>
                <w:rFonts w:ascii="Arial" w:cs="Arial" w:eastAsia="Arial" w:hAnsi="Arial"/>
                <w:sz w:val="18"/>
                <w:szCs w:val="18"/>
                <w:color w:val="auto"/>
              </w:rPr>
              <w:t>11,903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76"/>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vesting, net of</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175"/>
        </w:trPr>
        <w:tc>
          <w:tcPr>
            <w:tcW w:w="192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3,425</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9"/>
              </w:rPr>
              <w:t>Balance at September</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30,458,781</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287,579</w:t>
            </w:r>
          </w:p>
        </w:tc>
        <w:tc>
          <w:tcPr>
            <w:tcW w:w="80" w:type="dxa"/>
            <w:vAlign w:val="bottom"/>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$ 368,420</w:t>
            </w:r>
          </w:p>
        </w:tc>
        <w:tc>
          <w:tcPr>
            <w:tcW w:w="80" w:type="dxa"/>
            <w:vAlign w:val="bottom"/>
          </w:tcPr>
          <w:p>
            <w:pPr>
              <w:spacing w:after="0"/>
              <w:rPr>
                <w:sz w:val="13"/>
                <w:szCs w:val="13"/>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(105,294)</w:t>
            </w:r>
          </w:p>
        </w:tc>
        <w:tc>
          <w:tcPr>
            <w:tcW w:w="8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color w:val="auto"/>
                <w:w w:val="94"/>
              </w:rPr>
              <w:t>(4,854)</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546,158</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546,291</w:t>
            </w:r>
          </w:p>
        </w:tc>
        <w:tc>
          <w:tcPr>
            <w:tcW w:w="0" w:type="dxa"/>
            <w:vAlign w:val="bottom"/>
          </w:tcPr>
          <w:p>
            <w:pPr>
              <w:spacing w:after="0"/>
              <w:rPr>
                <w:sz w:val="1"/>
                <w:szCs w:val="1"/>
                <w:color w:val="auto"/>
              </w:rPr>
            </w:pPr>
          </w:p>
        </w:tc>
      </w:tr>
      <w:tr>
        <w:trPr>
          <w:trHeight w:val="221"/>
        </w:trPr>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30, 2023</w:t>
            </w: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9"/>
          </w:tcPr>
          <w:p>
            <w:pPr>
              <w:ind w:left="160"/>
              <w:spacing w:after="0"/>
              <w:rPr>
                <w:sz w:val="20"/>
                <w:szCs w:val="20"/>
                <w:color w:val="auto"/>
              </w:rPr>
            </w:pPr>
            <w:r>
              <w:rPr>
                <w:rFonts w:ascii="Arial" w:cs="Arial" w:eastAsia="Arial" w:hAnsi="Arial"/>
                <w:sz w:val="18"/>
                <w:szCs w:val="18"/>
                <w:b w:val="1"/>
                <w:bCs w:val="1"/>
                <w:color w:val="auto"/>
                <w:w w:val="90"/>
              </w:rPr>
              <w:t>Three Months Ended September 30, 2022</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12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6"/>
                <w:szCs w:val="16"/>
                <w:color w:val="auto"/>
              </w:rPr>
            </w:pPr>
          </w:p>
        </w:tc>
        <w:tc>
          <w:tcPr>
            <w:tcW w:w="1120" w:type="dxa"/>
            <w:vAlign w:val="bottom"/>
            <w:gridSpan w:val="2"/>
          </w:tcPr>
          <w:p>
            <w:pPr>
              <w:jc w:val="center"/>
              <w:ind w:right="80"/>
              <w:spacing w:after="0" w:line="184" w:lineRule="exact"/>
              <w:rPr>
                <w:sz w:val="20"/>
                <w:szCs w:val="20"/>
                <w:color w:val="auto"/>
              </w:rPr>
            </w:pPr>
            <w:r>
              <w:rPr>
                <w:rFonts w:ascii="Arial" w:cs="Arial" w:eastAsia="Arial" w:hAnsi="Arial"/>
                <w:sz w:val="18"/>
                <w:szCs w:val="18"/>
                <w:b w:val="1"/>
                <w:bCs w:val="1"/>
                <w:color w:val="auto"/>
                <w:w w:val="87"/>
              </w:rPr>
              <w:t>Shares of</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4" w:lineRule="exact"/>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40" w:type="dxa"/>
            <w:vAlign w:val="bottom"/>
          </w:tcPr>
          <w:p>
            <w:pPr>
              <w:spacing w:after="0"/>
              <w:rPr>
                <w:sz w:val="15"/>
                <w:szCs w:val="15"/>
                <w:color w:val="auto"/>
              </w:rPr>
            </w:pPr>
          </w:p>
        </w:tc>
        <w:tc>
          <w:tcPr>
            <w:tcW w:w="112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2"/>
              </w:rPr>
              <w:t>Common</w:t>
            </w: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Common</w:t>
            </w:r>
          </w:p>
        </w:tc>
        <w:tc>
          <w:tcPr>
            <w:tcW w:w="940" w:type="dxa"/>
            <w:vAlign w:val="bottom"/>
            <w:gridSpan w:val="3"/>
          </w:tcPr>
          <w:p>
            <w:pPr>
              <w:ind w:left="20"/>
              <w:spacing w:after="0" w:line="181" w:lineRule="exact"/>
              <w:rPr>
                <w:sz w:val="20"/>
                <w:szCs w:val="20"/>
                <w:color w:val="auto"/>
              </w:rPr>
            </w:pPr>
            <w:r>
              <w:rPr>
                <w:rFonts w:ascii="Arial" w:cs="Arial" w:eastAsia="Arial" w:hAnsi="Arial"/>
                <w:sz w:val="18"/>
                <w:szCs w:val="18"/>
                <w:b w:val="1"/>
                <w:bCs w:val="1"/>
                <w:color w:val="auto"/>
              </w:rPr>
              <w:t>Additional</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88"/>
              </w:rPr>
              <w:t>Comprehensive</w:t>
            </w:r>
          </w:p>
        </w:tc>
        <w:tc>
          <w:tcPr>
            <w:tcW w:w="880" w:type="dxa"/>
            <w:vAlign w:val="bottom"/>
            <w:gridSpan w:val="3"/>
          </w:tcPr>
          <w:p>
            <w:pPr>
              <w:jc w:val="center"/>
              <w:ind w:right="80"/>
              <w:spacing w:after="0" w:line="181" w:lineRule="exact"/>
              <w:rPr>
                <w:sz w:val="20"/>
                <w:szCs w:val="20"/>
                <w:color w:val="auto"/>
              </w:rPr>
            </w:pPr>
            <w:r>
              <w:rPr>
                <w:rFonts w:ascii="Arial" w:cs="Arial" w:eastAsia="Arial" w:hAnsi="Arial"/>
                <w:sz w:val="18"/>
                <w:szCs w:val="18"/>
                <w:b w:val="1"/>
                <w:bCs w:val="1"/>
                <w:color w:val="auto"/>
                <w:w w:val="89"/>
              </w:rPr>
              <w:t>Treasury</w:t>
            </w:r>
          </w:p>
        </w:tc>
        <w:tc>
          <w:tcPr>
            <w:tcW w:w="280" w:type="dxa"/>
            <w:vAlign w:val="bottom"/>
          </w:tcPr>
          <w:p>
            <w:pPr>
              <w:spacing w:after="0"/>
              <w:rPr>
                <w:sz w:val="15"/>
                <w:szCs w:val="15"/>
                <w:color w:val="auto"/>
              </w:rPr>
            </w:pPr>
          </w:p>
        </w:tc>
        <w:tc>
          <w:tcPr>
            <w:tcW w:w="90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92"/>
              </w:rPr>
              <w:t>Total</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Noncontrolling</w:t>
            </w:r>
          </w:p>
        </w:tc>
        <w:tc>
          <w:tcPr>
            <w:tcW w:w="14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11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9"/>
              </w:rPr>
              <w:t>Stock</w:t>
            </w: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Paid-in</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7"/>
              </w:rPr>
              <w:t>Loss, net of</w:t>
            </w:r>
          </w:p>
        </w:tc>
        <w:tc>
          <w:tcPr>
            <w:tcW w:w="8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0"/>
              </w:rPr>
              <w:t>Stock, at</w:t>
            </w:r>
          </w:p>
        </w:tc>
        <w:tc>
          <w:tcPr>
            <w:tcW w:w="118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6"/>
              </w:rPr>
              <w:t>Stockholders'</w:t>
            </w:r>
          </w:p>
        </w:tc>
        <w:tc>
          <w:tcPr>
            <w:tcW w:w="1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1"/>
                <w:szCs w:val="21"/>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1"/>
                <w:szCs w:val="21"/>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1"/>
                <w:szCs w:val="21"/>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income taxes</w:t>
            </w:r>
          </w:p>
        </w:tc>
        <w:tc>
          <w:tcPr>
            <w:tcW w:w="180" w:type="dxa"/>
            <w:vAlign w:val="bottom"/>
          </w:tcPr>
          <w:p>
            <w:pPr>
              <w:spacing w:after="0"/>
              <w:rPr>
                <w:sz w:val="21"/>
                <w:szCs w:val="21"/>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cost</w:t>
            </w:r>
          </w:p>
        </w:tc>
        <w:tc>
          <w:tcPr>
            <w:tcW w:w="280" w:type="dxa"/>
            <w:vAlign w:val="bottom"/>
          </w:tcPr>
          <w:p>
            <w:pPr>
              <w:spacing w:after="0"/>
              <w:rPr>
                <w:sz w:val="21"/>
                <w:szCs w:val="21"/>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Balance at July 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30,684,246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286,901</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$ 288,868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497,908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498,041</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Repurchase of common</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20"/>
              <w:spacing w:after="0" w:line="189" w:lineRule="exact"/>
              <w:rPr>
                <w:sz w:val="20"/>
                <w:szCs w:val="20"/>
                <w:color w:val="auto"/>
              </w:rPr>
            </w:pPr>
            <w:r>
              <w:rPr>
                <w:rFonts w:ascii="Arial" w:cs="Arial" w:eastAsia="Arial" w:hAnsi="Arial"/>
                <w:sz w:val="18"/>
                <w:szCs w:val="18"/>
                <w:color w:val="auto"/>
              </w:rPr>
              <w:t>under Employee Stock</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common stock, net, $0.10</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w w:val="93"/>
              </w:rPr>
              <w:t>Exercise of stock options,</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net of repurchases</w:t>
            </w:r>
          </w:p>
        </w:tc>
        <w:tc>
          <w:tcPr>
            <w:tcW w:w="1040" w:type="dxa"/>
            <w:vAlign w:val="bottom"/>
          </w:tcPr>
          <w:p>
            <w:pPr>
              <w:jc w:val="right"/>
              <w:spacing w:after="0"/>
              <w:rPr>
                <w:sz w:val="20"/>
                <w:szCs w:val="20"/>
                <w:color w:val="auto"/>
              </w:rPr>
            </w:pPr>
            <w:r>
              <w:rPr>
                <w:rFonts w:ascii="Arial" w:cs="Arial" w:eastAsia="Arial" w:hAnsi="Arial"/>
                <w:sz w:val="18"/>
                <w:szCs w:val="18"/>
                <w:color w:val="auto"/>
              </w:rPr>
              <w:t>20,220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vesting, net of</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0" w:type="dxa"/>
            <w:vAlign w:val="bottom"/>
          </w:tcPr>
          <w:p>
            <w:pPr>
              <w:spacing w:after="0"/>
              <w:rPr>
                <w:sz w:val="1"/>
                <w:szCs w:val="1"/>
                <w:color w:val="auto"/>
              </w:rPr>
            </w:pPr>
          </w:p>
        </w:tc>
      </w:tr>
      <w:tr>
        <w:trPr>
          <w:trHeight w:val="155"/>
        </w:trPr>
        <w:tc>
          <w:tcPr>
            <w:tcW w:w="19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30,672,303</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286,431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7"/>
              </w:rPr>
              <w:t>$ 308,743</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(107,876)</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487,605</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5"/>
              </w:rPr>
              <w:t>487,738</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30, 2022</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1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9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9"/>
          </w:tcPr>
          <w:p>
            <w:pPr>
              <w:ind w:left="200"/>
              <w:spacing w:after="0"/>
              <w:rPr>
                <w:sz w:val="20"/>
                <w:szCs w:val="20"/>
                <w:color w:val="auto"/>
              </w:rPr>
            </w:pPr>
            <w:r>
              <w:rPr>
                <w:rFonts w:ascii="Arial" w:cs="Arial" w:eastAsia="Arial" w:hAnsi="Arial"/>
                <w:sz w:val="18"/>
                <w:szCs w:val="18"/>
                <w:b w:val="1"/>
                <w:bCs w:val="1"/>
                <w:color w:val="auto"/>
                <w:w w:val="90"/>
              </w:rPr>
              <w:t>Nine Months Ended September 30, 2022</w:t>
            </w: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112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2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7"/>
              </w:rPr>
              <w:t>Shares of</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Treasury</w:t>
            </w:r>
          </w:p>
        </w:tc>
        <w:tc>
          <w:tcPr>
            <w:tcW w:w="240" w:type="dxa"/>
            <w:vAlign w:val="bottom"/>
          </w:tcPr>
          <w:p>
            <w:pPr>
              <w:spacing w:after="0"/>
              <w:rPr>
                <w:sz w:val="16"/>
                <w:szCs w:val="1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1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Other</w:t>
            </w:r>
          </w:p>
        </w:tc>
        <w:tc>
          <w:tcPr>
            <w:tcW w:w="8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2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89"/>
              </w:rPr>
              <w:t>Stock</w:t>
            </w:r>
          </w:p>
        </w:tc>
        <w:tc>
          <w:tcPr>
            <w:tcW w:w="84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Common</w:t>
            </w:r>
          </w:p>
        </w:tc>
        <w:tc>
          <w:tcPr>
            <w:tcW w:w="120" w:type="dxa"/>
            <w:vAlign w:val="bottom"/>
          </w:tcPr>
          <w:p>
            <w:pPr>
              <w:spacing w:after="0"/>
              <w:rPr>
                <w:sz w:val="16"/>
                <w:szCs w:val="16"/>
                <w:color w:val="auto"/>
              </w:rPr>
            </w:pPr>
          </w:p>
        </w:tc>
        <w:tc>
          <w:tcPr>
            <w:tcW w:w="82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Paid-in</w:t>
            </w:r>
          </w:p>
        </w:tc>
        <w:tc>
          <w:tcPr>
            <w:tcW w:w="880" w:type="dxa"/>
            <w:vAlign w:val="bottom"/>
            <w:gridSpan w:val="2"/>
          </w:tcPr>
          <w:p>
            <w:pPr>
              <w:ind w:left="60"/>
              <w:spacing w:after="0" w:line="189" w:lineRule="exact"/>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80"/>
              <w:spacing w:after="0" w:line="189" w:lineRule="exact"/>
              <w:rPr>
                <w:sz w:val="20"/>
                <w:szCs w:val="20"/>
                <w:color w:val="auto"/>
              </w:rPr>
            </w:pPr>
            <w:r>
              <w:rPr>
                <w:rFonts w:ascii="Arial" w:cs="Arial" w:eastAsia="Arial" w:hAnsi="Arial"/>
                <w:sz w:val="18"/>
                <w:szCs w:val="18"/>
                <w:b w:val="1"/>
                <w:bCs w:val="1"/>
                <w:color w:val="auto"/>
                <w:w w:val="88"/>
              </w:rPr>
              <w:t>Comprehensive</w:t>
            </w:r>
          </w:p>
        </w:tc>
        <w:tc>
          <w:tcPr>
            <w:tcW w:w="880" w:type="dxa"/>
            <w:vAlign w:val="bottom"/>
            <w:gridSpan w:val="3"/>
          </w:tcPr>
          <w:p>
            <w:pPr>
              <w:jc w:val="center"/>
              <w:ind w:right="80"/>
              <w:spacing w:after="0" w:line="189" w:lineRule="exact"/>
              <w:rPr>
                <w:sz w:val="20"/>
                <w:szCs w:val="20"/>
                <w:color w:val="auto"/>
              </w:rPr>
            </w:pPr>
            <w:r>
              <w:rPr>
                <w:rFonts w:ascii="Arial" w:cs="Arial" w:eastAsia="Arial" w:hAnsi="Arial"/>
                <w:sz w:val="18"/>
                <w:szCs w:val="18"/>
                <w:b w:val="1"/>
                <w:bCs w:val="1"/>
                <w:color w:val="auto"/>
                <w:w w:val="90"/>
              </w:rPr>
              <w:t>Stock, at</w:t>
            </w:r>
          </w:p>
        </w:tc>
        <w:tc>
          <w:tcPr>
            <w:tcW w:w="1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w w:val="96"/>
              </w:rPr>
              <w:t>Stockholders'</w:t>
            </w:r>
          </w:p>
        </w:tc>
        <w:tc>
          <w:tcPr>
            <w:tcW w:w="12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w w:val="96"/>
              </w:rPr>
              <w:t>Noncontrolling</w:t>
            </w:r>
          </w:p>
        </w:tc>
        <w:tc>
          <w:tcPr>
            <w:tcW w:w="120" w:type="dxa"/>
            <w:vAlign w:val="bottom"/>
          </w:tcPr>
          <w:p>
            <w:pPr>
              <w:spacing w:after="0"/>
              <w:rPr>
                <w:sz w:val="16"/>
                <w:szCs w:val="16"/>
                <w:color w:val="auto"/>
              </w:rPr>
            </w:pPr>
          </w:p>
        </w:tc>
        <w:tc>
          <w:tcPr>
            <w:tcW w:w="740" w:type="dxa"/>
            <w:vAlign w:val="bottom"/>
          </w:tcPr>
          <w:p>
            <w:pPr>
              <w:jc w:val="right"/>
              <w:ind w:right="150"/>
              <w:spacing w:after="0" w:line="189"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9"/>
                <w:szCs w:val="1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cost</w:t>
            </w:r>
          </w:p>
        </w:tc>
        <w:tc>
          <w:tcPr>
            <w:tcW w:w="24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56"/>
        </w:trPr>
        <w:tc>
          <w:tcPr>
            <w:tcW w:w="19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January 1,</w:t>
            </w: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31,130,143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297,975</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$ 260,047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563,742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563,875</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56,722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56,722</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Repurchase of common</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Common stock issued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tcPr>
          <w:p>
            <w:pPr>
              <w:ind w:left="20"/>
              <w:spacing w:after="0" w:line="189" w:lineRule="exact"/>
              <w:rPr>
                <w:sz w:val="20"/>
                <w:szCs w:val="20"/>
                <w:color w:val="auto"/>
              </w:rPr>
            </w:pPr>
            <w:r>
              <w:rPr>
                <w:rFonts w:ascii="Arial" w:cs="Arial" w:eastAsia="Arial" w:hAnsi="Arial"/>
                <w:sz w:val="18"/>
                <w:szCs w:val="18"/>
                <w:color w:val="auto"/>
              </w:rPr>
              <w:t>under Employee Stock</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040" w:type="dxa"/>
            <w:vAlign w:val="bottom"/>
          </w:tcPr>
          <w:p>
            <w:pPr>
              <w:jc w:val="right"/>
              <w:spacing w:after="0"/>
              <w:rPr>
                <w:sz w:val="20"/>
                <w:szCs w:val="20"/>
                <w:color w:val="auto"/>
              </w:rPr>
            </w:pPr>
            <w:r>
              <w:rPr>
                <w:rFonts w:ascii="Arial" w:cs="Arial" w:eastAsia="Arial" w:hAnsi="Arial"/>
                <w:sz w:val="18"/>
                <w:szCs w:val="18"/>
                <w:color w:val="auto"/>
              </w:rPr>
              <w:t>25,333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declared on</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common stock, net, $0.26</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w w:val="93"/>
              </w:rPr>
              <w:t>Exercise of stock options,</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net of repurchases</w:t>
            </w:r>
          </w:p>
        </w:tc>
        <w:tc>
          <w:tcPr>
            <w:tcW w:w="1040" w:type="dxa"/>
            <w:vAlign w:val="bottom"/>
          </w:tcPr>
          <w:p>
            <w:pPr>
              <w:jc w:val="right"/>
              <w:spacing w:after="0"/>
              <w:rPr>
                <w:sz w:val="20"/>
                <w:szCs w:val="20"/>
                <w:color w:val="auto"/>
              </w:rPr>
            </w:pPr>
            <w:r>
              <w:rPr>
                <w:rFonts w:ascii="Arial" w:cs="Arial" w:eastAsia="Arial" w:hAnsi="Arial"/>
                <w:sz w:val="18"/>
                <w:szCs w:val="18"/>
                <w:color w:val="auto"/>
              </w:rPr>
              <w:t>81,196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Restricted stock units</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vesting, net of</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Stock-based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comprehensive</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(113,285)</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(113,285)</w:t>
            </w: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30,672,303</w:t>
            </w:r>
          </w:p>
        </w:tc>
        <w:tc>
          <w:tcPr>
            <w:tcW w:w="8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286,431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87"/>
              </w:rPr>
              <w:t>$ 308,743</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(107,876)</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487,605</w:t>
            </w:r>
          </w:p>
        </w:tc>
        <w:tc>
          <w:tcPr>
            <w:tcW w:w="8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487,738</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30, 2022</w:t>
            </w: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Consolidated Statements of Cash Flows (unaudited)</w:t>
      </w: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Nine Months Ended</w:t>
      </w:r>
    </w:p>
    <w:p>
      <w:pPr>
        <w:jc w:val="center"/>
        <w:ind w:left="8520"/>
        <w:spacing w:after="0"/>
        <w:rPr>
          <w:sz w:val="20"/>
          <w:szCs w:val="20"/>
          <w:color w:val="auto"/>
        </w:rPr>
      </w:pPr>
      <w:r>
        <w:rPr>
          <w:rFonts w:ascii="Arial" w:cs="Arial" w:eastAsia="Arial" w:hAnsi="Arial"/>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0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65,284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56,722</w:t>
            </w:r>
          </w:p>
        </w:tc>
      </w:tr>
      <w:tr>
        <w:trPr>
          <w:trHeight w:val="229"/>
        </w:trPr>
        <w:tc>
          <w:tcPr>
            <w:tcW w:w="8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2,683</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8540" w:type="dxa"/>
            <w:vAlign w:val="bottom"/>
          </w:tcPr>
          <w:p>
            <w:pPr>
              <w:ind w:left="200"/>
              <w:spacing w:after="0"/>
              <w:rPr>
                <w:sz w:val="20"/>
                <w:szCs w:val="20"/>
                <w:color w:val="auto"/>
              </w:rPr>
            </w:pPr>
            <w:r>
              <w:rPr>
                <w:rFonts w:ascii="Arial" w:cs="Arial" w:eastAsia="Arial" w:hAnsi="Arial"/>
                <w:sz w:val="18"/>
                <w:szCs w:val="18"/>
                <w:color w:val="auto"/>
              </w:rPr>
              <w:t>Deferred income tax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5,665</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r>
      <w:tr>
        <w:trPr>
          <w:trHeight w:val="229"/>
        </w:trPr>
        <w:tc>
          <w:tcPr>
            <w:tcW w:w="85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amortization on loan fees, costs, premiums, and discounts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176"/>
        </w:trPr>
        <w:tc>
          <w:tcPr>
            <w:tcW w:w="8540" w:type="dxa"/>
            <w:vAlign w:val="bottom"/>
          </w:tcPr>
          <w:p>
            <w:pPr>
              <w:ind w:left="200"/>
              <w:spacing w:after="0" w:line="176" w:lineRule="exact"/>
              <w:rPr>
                <w:sz w:val="20"/>
                <w:szCs w:val="20"/>
                <w:color w:val="auto"/>
              </w:rPr>
            </w:pPr>
            <w:r>
              <w:rPr>
                <w:rFonts w:ascii="Arial" w:cs="Arial" w:eastAsia="Arial" w:hAnsi="Arial"/>
                <w:sz w:val="18"/>
                <w:szCs w:val="18"/>
                <w:color w:val="auto"/>
                <w:w w:val="97"/>
              </w:rPr>
              <w:t>Net amortization on securities premiums, discounts, net unrealized loss on securities transferred to held-to-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8540" w:type="dxa"/>
            <w:vAlign w:val="bottom"/>
          </w:tcPr>
          <w:p>
            <w:pPr>
              <w:ind w:left="200"/>
              <w:spacing w:after="0"/>
              <w:rPr>
                <w:sz w:val="20"/>
                <w:szCs w:val="20"/>
                <w:color w:val="auto"/>
              </w:rPr>
            </w:pPr>
            <w:r>
              <w:rPr>
                <w:rFonts w:ascii="Arial" w:cs="Arial" w:eastAsia="Arial" w:hAnsi="Arial"/>
                <w:sz w:val="18"/>
                <w:szCs w:val="18"/>
                <w:color w:val="auto"/>
              </w:rPr>
              <w:t>maturity, and subordinated debt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3,625</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OTTI gain recognized in earnings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540" w:type="dxa"/>
            <w:vAlign w:val="bottom"/>
          </w:tcPr>
          <w:p>
            <w:pPr>
              <w:ind w:left="200"/>
              <w:spacing w:after="0"/>
              <w:rPr>
                <w:sz w:val="20"/>
                <w:szCs w:val="20"/>
                <w:color w:val="auto"/>
              </w:rPr>
            </w:pPr>
            <w:r>
              <w:rPr>
                <w:rFonts w:ascii="Arial" w:cs="Arial" w:eastAsia="Arial" w:hAnsi="Arial"/>
                <w:sz w:val="18"/>
                <w:szCs w:val="18"/>
                <w:color w:val="auto"/>
              </w:rPr>
              <w:t>Net (income) loss from equity method investments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on sale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29"/>
        </w:trPr>
        <w:tc>
          <w:tcPr>
            <w:tcW w:w="8540" w:type="dxa"/>
            <w:vAlign w:val="bottom"/>
          </w:tcPr>
          <w:p>
            <w:pPr>
              <w:ind w:left="200"/>
              <w:spacing w:after="0"/>
              <w:rPr>
                <w:sz w:val="20"/>
                <w:szCs w:val="20"/>
                <w:color w:val="auto"/>
              </w:rPr>
            </w:pPr>
            <w:r>
              <w:rPr>
                <w:rFonts w:ascii="Arial" w:cs="Arial" w:eastAsia="Arial" w:hAnsi="Arial"/>
                <w:sz w:val="18"/>
                <w:szCs w:val="18"/>
                <w:color w:val="auto"/>
              </w:rPr>
              <w:t>Net (gain) loss on sale of loans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redemption of bank-owned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Proceeds from sales of loans held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17,635</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Originations of loans held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Increase in cash surrender value of bank-owned life insurance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repurchase of subordinated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Increase in accrued interest and dividends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(5,947)</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other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13,521</w:t>
            </w:r>
          </w:p>
        </w:tc>
      </w:tr>
      <w:tr>
        <w:trPr>
          <w:trHeight w:val="230"/>
        </w:trPr>
        <w:tc>
          <w:tcPr>
            <w:tcW w:w="8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Decrease in accrued expenses and other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r>
      <w:tr>
        <w:trPr>
          <w:trHeight w:val="223"/>
        </w:trPr>
        <w:tc>
          <w:tcPr>
            <w:tcW w:w="8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94,251</w:t>
            </w:r>
          </w:p>
        </w:tc>
      </w:tr>
      <w:tr>
        <w:trPr>
          <w:trHeight w:val="210"/>
        </w:trPr>
        <w:tc>
          <w:tcPr>
            <w:tcW w:w="85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loans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(588,730)</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Purchase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(672,142)</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securities held-to-maturity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(508,097)</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132,105</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principal payments and redemptions of securities available for sale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281,244</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Maturities, principal payments and redemptions of securities held-to-maturity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111,632</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resell agreements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Increase in equity method investments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FHLBNY stock,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Purchases of premises and equipment,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(1,487)</w:t>
            </w: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redemption of bank-owned life insurance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r>
      <w:tr>
        <w:trPr>
          <w:trHeight w:val="223"/>
        </w:trPr>
        <w:tc>
          <w:tcPr>
            <w:tcW w:w="854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(1,210,404)</w:t>
            </w:r>
          </w:p>
        </w:tc>
      </w:tr>
      <w:tr>
        <w:trPr>
          <w:trHeight w:val="20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Net increase in deposits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395,817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804,052</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other borrowings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tcPr>
          <w:p>
            <w:pPr>
              <w:ind w:left="200"/>
              <w:spacing w:after="0"/>
              <w:rPr>
                <w:sz w:val="20"/>
                <w:szCs w:val="20"/>
                <w:color w:val="auto"/>
              </w:rPr>
            </w:pPr>
            <w:r>
              <w:rPr>
                <w:rFonts w:ascii="Arial" w:cs="Arial" w:eastAsia="Arial" w:hAnsi="Arial"/>
                <w:sz w:val="18"/>
                <w:szCs w:val="18"/>
                <w:color w:val="auto"/>
              </w:rPr>
              <w:t>Net (decrease) increase in FHLBNY advances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(575,619)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subordinated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w:t>
            </w:r>
          </w:p>
        </w:tc>
      </w:tr>
      <w:tr>
        <w:trPr>
          <w:trHeight w:val="499"/>
        </w:trPr>
        <w:tc>
          <w:tcPr>
            <w:tcW w:w="8540" w:type="dxa"/>
            <w:vAlign w:val="bottom"/>
          </w:tcPr>
          <w:p>
            <w:pPr>
              <w:ind w:left="55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8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Common stock issued under Employee Stock Purchase Plan</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shares</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0" w:type="dxa"/>
            <w:vAlign w:val="bottom"/>
          </w:tcPr>
          <w:p>
            <w:pPr>
              <w:spacing w:after="0"/>
              <w:rPr>
                <w:sz w:val="1"/>
                <w:szCs w:val="1"/>
                <w:color w:val="auto"/>
              </w:rPr>
            </w:pP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repurchase of common stock for equity awards</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10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851,891</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Increase (decrease) in cash, cash equivalents, and restricted cash</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(264,262)</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330,485</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during the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Income taxes paid during the period</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transferred from held-for-sale</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200"/>
              <w:spacing w:after="0"/>
              <w:rPr>
                <w:sz w:val="20"/>
                <w:szCs w:val="20"/>
                <w:color w:val="auto"/>
              </w:rPr>
            </w:pPr>
            <w:r>
              <w:rPr>
                <w:rFonts w:ascii="Arial" w:cs="Arial" w:eastAsia="Arial" w:hAnsi="Arial"/>
                <w:sz w:val="18"/>
                <w:szCs w:val="18"/>
                <w:color w:val="auto"/>
              </w:rPr>
              <w:t>Loans transferred to held-for-sale</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 transferred to held-to-maturity</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260,112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9"/>
          <w:szCs w:val="19"/>
          <w:b w:val="1"/>
          <w:bCs w:val="1"/>
          <w:color w:val="auto"/>
        </w:rPr>
        <w:t>BASIS OF PRESENTATION AND CONSOLIDATION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Accounting and Changes in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accounting and reporting policies of the Company conform to accounting principles generally accepted in the United States of America, or GAAP and predominant practices within the banking industry. The Company uses the accrual basis of accounting for financial statement purposes.</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annualized results of operations for the three and nine months ended September 30, 2023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(“SEC”). All significant inter-company transactions and balances are eliminated in consolidation. In the opinion of management, all adjustments necessary for a fair presentation of the consolidated financial position and the results of operations as of the dates and for the interim periods presented have been included. These unaudited consolidated financial statements should be read in conjunction with the audited consolidated financial statements and related notes appearing in the Annual Report on Form 10-K for the year ended December 31, 2022 (the “2022 Annual Report”). A more detailed description of our accounting policies is included in the 2022 Annual Report, which remain significantly unchanged except for the Allowance for Credit Losses ("ACL") policy, resulting from the adoption of the Accounting Standard Update ("ASU") No. 2016-13, Financial Instruments - Credit Losses (Topic 326): Measurement of Credit Losses on Financial Instruments and its amendments, (“ASU No. 2016-13”) as of January 1, 2023, as well as the addition of accounting policies related to treasury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 Treasury stock is carried at cost. Shares issued out of treasury are valued based on the weighted average cost.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significant changes to our accounting policies, or the estimates made pursuant to those policies as described in our 2022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 Measurement of Credit Losses on Financial Instruments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adopted ASU No. 2016-13 inclusive of subsequent amendments as of January 1, 2023. ASU No. 2016-13 amends guidance on reporting credit losses for assets held on an amortized cost basis and available-for-sale debt securities, as well as off balance sheet credit exposures. For assets held at amortized cost, ASU No. 2016-13 eliminates the probable initial recognition threshold in current GAAP and, instead, requires an entity to reflect its current estimate of all expected credit losses. The amendments in ASU No. 2016-13 replace the incurred loss impairment methodology with a methodology that reflects the measurement of expected credit losses based on relevant information about past events, including historical loss experience, current conditions, and reasonable and supportable forecasts that affect the collectability of the reported amounts. The allowance for credit losses is a valuation account that is deducted from the amortized cost basis of financial assets to present the net amount expected to be collected. For available for sale debt securities, credit losses will be presented as an allowance rather than as a write-down. For the Company, the amendments affected loans, debt securities, off-balance sheet credit exposures, and any other financial assets not excluded from the scope that have the contractual right to receive cash.</w:t>
      </w:r>
    </w:p>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adopted ASU No. 2016-13 on a modified retrospective basis with a cumulative-effect adjustment to retained earnings as of the adoption date and, accordingly, the Company recorded a net of tax decrease of $17.8 million to retained earnings as of January 1, 2023. The results for prior period amounts continue to be reported in accordance with previously applicable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illustrates the impact of the adoption of ASU 2016-13.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1, 2023</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69"/>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w w:val="96"/>
              </w:rPr>
              <w:t>Net Adjustment to</w:t>
            </w:r>
          </w:p>
        </w:tc>
      </w:tr>
      <w:tr>
        <w:trPr>
          <w:trHeight w:val="243"/>
        </w:trPr>
        <w:tc>
          <w:tcPr>
            <w:tcW w:w="6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Gross Adjustment</w:t>
            </w:r>
          </w:p>
        </w:tc>
        <w:tc>
          <w:tcPr>
            <w:tcW w:w="16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Tax Impact</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Retained Earnings</w:t>
            </w:r>
          </w:p>
        </w:tc>
      </w:tr>
      <w:tr>
        <w:trPr>
          <w:trHeight w:val="20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Allowance for credit losses on held-to-maturity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r>
      <w:tr>
        <w:trPr>
          <w:trHeight w:val="270"/>
        </w:trPr>
        <w:tc>
          <w:tcPr>
            <w:tcW w:w="6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Allowance for credit losses on off-balance sheet credit exposures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1,961</w:t>
            </w:r>
          </w:p>
        </w:tc>
      </w:tr>
      <w:tr>
        <w:trPr>
          <w:trHeight w:val="270"/>
        </w:trPr>
        <w:tc>
          <w:tcPr>
            <w:tcW w:w="62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Total Day 1 Adjustment for Adoption of ASU 2016-13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17,825</w:t>
            </w:r>
          </w:p>
        </w:tc>
      </w:tr>
      <w:tr>
        <w:trPr>
          <w:trHeight w:val="21"/>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Allowance for Credit Losses - Available for Sale Securities:</w:t>
      </w:r>
      <w:r>
        <w:rPr>
          <w:rFonts w:ascii="Arial" w:cs="Arial" w:eastAsia="Arial" w:hAnsi="Arial"/>
          <w:sz w:val="16"/>
          <w:szCs w:val="16"/>
          <w:color w:val="auto"/>
        </w:rPr>
        <w:t xml:space="preserve"> Any available for sale security in an unrealized loss position is assessed for Management's intent to sell, or if it is more likely than not that it will be required to sell before the recovery of its amortized cost basis. If either criteria regarding intent or requirement to sell is met, the security's amortized cost basis is written down to fair value through income. Accrued interest receivable is excluded from the estimate of expected credit losses, as accrued interest receivable is reversed for securities placed on nonaccrual status. Securities issued by U.S. government entities are either explicitly or implicitly guaranteed by the U.S. government, and are highly rated by major ratings agencies and have a long history of no credit losses. For debt securities that do not meet the aforementioned criteria, the Company evaluates whether the decline in fair value has resulted from expected credit losses or other factors in making this assessment. Management considers the extent in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is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There was no allowance for credit losses for available for sale securities as of January 1, 2023.</w:t>
      </w:r>
    </w:p>
    <w:p>
      <w:pPr>
        <w:spacing w:after="0" w:line="200" w:lineRule="exact"/>
        <w:rPr>
          <w:sz w:val="20"/>
          <w:szCs w:val="20"/>
          <w:color w:val="auto"/>
        </w:rPr>
      </w:pP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Allowance for Credit Losses - Held-to-maturity Securities:</w:t>
      </w:r>
      <w:r>
        <w:rPr>
          <w:rFonts w:ascii="Arial" w:cs="Arial" w:eastAsia="Arial" w:hAnsi="Arial"/>
          <w:sz w:val="17"/>
          <w:szCs w:val="17"/>
          <w:color w:val="auto"/>
        </w:rPr>
        <w:t xml:space="preserve"> Management measures expected credit losses on held-to-maturity securities on a collective basis by security type. The Company’s methodology to measure the allowance for credit losses incorporates both quantitative and qualitative information to assess lifetime expected credit losses. The calculation is based on projected annual default rates, loss severities, and prepayment rates. Expected credit losses are estimated over the contractual term of the securities, adjusted for forecasted prepayments when appropriate.</w:t>
      </w:r>
    </w:p>
    <w:p>
      <w:pPr>
        <w:spacing w:after="0" w:line="19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Accrued interest receivable is excluded from the estimate of expected credit losses, as accrued interest receivable is reversed for securities placed on nonaccrual status. The Company has identified the following portfolio segments and measures the allowance for credit losses using the following methods:</w:t>
      </w:r>
    </w:p>
    <w:p>
      <w:pPr>
        <w:spacing w:after="0" w:line="15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Mortgage-backed - Certain residential securities held by the Company are issued by U.S. government entities and agencies. These securities are either explicitly or implicitly guaranteed by the U.S. government, and are highly rated by major rating agencies and have a long history of no credit losses.</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Non-GSE residential and commercial mortgage-backed securities held by the Company are secured by pools of commercial or residential certificates.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Asset-backed securities ("ABS") - ABS held by the Company are secured by pools of consumer products such as student loans, consumer loans, and consumer residential solar loans.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Property assessed clean energy ("PACE assessments") - PACE assessments held by the Company are secured low loan to value long-term funding for energy efficient and renewable energy projects for residential or commercial projects.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securities - Other securities held by the Company include corporate securities, municipal securities and small investments community reinvestment act investments secured by loans.</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Allowance for Credit Losses - Loans:</w:t>
      </w:r>
      <w:r>
        <w:rPr>
          <w:rFonts w:ascii="Arial" w:cs="Arial" w:eastAsia="Arial" w:hAnsi="Arial"/>
          <w:sz w:val="17"/>
          <w:szCs w:val="17"/>
          <w:color w:val="auto"/>
        </w:rPr>
        <w:t xml:space="preserve"> The allowance for credit losses is a valuation account that is deducted from the amortized cost basis of a financial asset or a group of financial assets so that the balance sheet reflects the net amount the Company expects to collect. Amortized cost is the principal balance outstanding, net of purchase premiums and discounts, and deferred fees and costs. Accrued interest receivable on loans is excluded from the estimate of expected credit losses, as accrued interest receivable is reversed for loans placed on nonaccrual status.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Expected recoveries do not exceed the aggregate of amounts previously charged-off and expected to be charged-off.</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calculates the estimation of the allowance for credit losses on loans on a quarterly basis. The Company’s methodology to measure the allowance for credit losses incorporates both quantitative and qualitative information to assess lifetime expected credit losses at the portfolio segment level. The quantitative component of the allowance model calculates future loan level balances by considering the loan segment baseline loss rate based on a peer group and severity rate. Expected credit losses are estimated over the contractual term of the loans, adjusted for forecasted prepayments when appropriate. The baseline loss rate is adjusted for relevant macroeconomic variables by loan segment that consider forecasted economic conditions. The adjusted loss rate is calculated for an eight quarter forecast period then reverts to the historical loss rate on a straight-line basis over four quarters. The loan level cash flows are discounted at the effective interest rate to calculate a loan level allowance which is aggregated at the loan segment level to arrive at the estimated allowance.</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 standards, portfolio mix, delinquency levels and terms, as well as for changes in environmental conditions, such as changes in unemployment rates, property values or other relevant factors.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allowance for credit losses on loans is measured on a collective (pool) basis when similar risk characteristics exist. The Company has identified the following portfolio segments and measures the allowance for credit losses using the methods described above.</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Commercial and Industrial Loans - Loans in this classification are made to businesses and include term loans, lines of credit, and senior secured loans to corporations. Generally, these loans are secured by assets of the business and repayment is expected from the cash flows of the business. A weakened economy, and resultant decreased consumer and/or business spending, will have an effect on the credit quality in this loan class.</w:t>
      </w:r>
    </w:p>
    <w:p>
      <w:pPr>
        <w:spacing w:after="0" w:line="17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Multifamily Mortgage Loans - Loans in this classification include income producing residential investment properties of five or more families. Loans are made to established owners with a proven and demonstrable record of strong performance. Repayment is derived generally from the rental income generated from the property and may be supplemented by the owners’ personal cash flow. Credit risk arises with an increase in vacancy rates, property mismanagement and the predominance of non-recourse loans that are customary in the industry.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Commercial Real Estate Loans - Loans in this classification include income producing investment properties and owner-occupied real estate used for business purposes. The underlying properties are located largely in the Company’s primary market area. The cash flows of the income producing investment properties are adversely impacted by a downturn in the economy as evidenced by increased vacancy rates, which in turn, will have an effect on credit quality. In the case of owner-occupied real estate used for business purposes, a weakened economy and resultant decreased consumer and/or business spending will have an adverse effect on credit quality.</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Construction and Land Development Loans - Loans in this classification primarily include land loans to local individuals, contractors and developers for developing the land for sale or for the purpose of making improvements thereon. Repayment is derived primarily from sale of the lots/units including any pre-sold units. Credit risk is affected by market conditions, time to sell at an adequate price and cost overruns. To a lesser extent, this class includes commercial development projects that the Company finances, which in most cases are interest only during construction, and then convert to permanent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financing. Construction delays, cost overruns, market conditions and the availability of permanent financing, to the extent such permanent financing is not being provided by the Bank, all affect the credit risk in this loan class.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Residential Real Estate Loans - Loans in this classification are generally secured by owner-occupied residential real estate and repayment is dependent on the credit quality of the individual borrower. Loans in this class are secured by both first liens and second liens. The overall health of the economy, including unemployment rates and housing prices, can have an effect on the credit quality in this loan class.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 Solar Loans - Loans in this classification may be either secured or unsecured. This portfolio is comprised of residential solar loans.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Consumer and Other Loans - Loans in this classification may be either secured or unsecured. This portfolio is comprised of student loans and other consumer products.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Loans that are determined to have unique risk characteristics are evaluated on an individual basis by Management. Loans evaluated individually are not included in the collective evaluation. Factors that may be considered are borrower delinquency trends and nonaccrual status, probability of foreclosure or note sale, changes in the borrower’s circumstances or cash collections, borrower’s industry, or other facts and circumstances of the loan or collateral.</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Individually Evaluated Loans with an ACL:</w:t>
      </w:r>
      <w:r>
        <w:rPr>
          <w:rFonts w:ascii="Arial" w:cs="Arial" w:eastAsia="Arial" w:hAnsi="Arial"/>
          <w:sz w:val="16"/>
          <w:szCs w:val="16"/>
          <w:color w:val="auto"/>
        </w:rPr>
        <w:t xml:space="preserve"> For collateral-dependent loans where the Company has determined that foreclosure of the collateral is probable, or where the borrower is experiencing financial difficulty and the Company expects repayment of the loan to be provided substantially through the operation or sale of the collateral, the ACL is measured based on the difference between the fair value of the collateral, less the estimated costs to sell, and the amortized cost basis of the loan as of the measurement date. The fair value of real estate collateral is determined based on recent appraised values. The fair value of non-real estate collateral, may be determined based on an appraisal,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 For non-collateral dependent loans, ACL is measured based on the difference between the present value of expected cash flows and the amortized cost basis of the loan as of the measurement date.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Allowance for Credit Losses on Off-Balance Sheet Credit Exposures:</w:t>
      </w:r>
      <w:r>
        <w:rPr>
          <w:rFonts w:ascii="Arial" w:cs="Arial" w:eastAsia="Arial" w:hAnsi="Arial"/>
          <w:sz w:val="17"/>
          <w:szCs w:val="17"/>
          <w:color w:val="auto"/>
        </w:rPr>
        <w:t xml:space="preserve"> The Company estimates expected credit losses over the contractual period in which the Company is exposed to credit risk via a contractual obligation to extend credit, unless that obligation is unconditionally cancellable by the Company for its security and loan portfolios. The allowance for credit losses on off-balance sheet credit exposures is recorded in other liabilities on the consolidated statements of financial condition, and adjusted through the credit loss expense which is recorded in the provision for credit losses on the consolidated statements of income.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 At January 1, 2023, the Day 1 adjustment to allowance for credit losses on off-balance sheet credit exposures was $2.7 million, of which $2.6 million related to obligations on the loans portfolio, and $0.1 million related to obligations on the securities portfolio.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2022-02, Financial Instruments - Credit Losses (Topic 326) - Troubled Debt Restructurings and Vintage Disclosures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31, 2022, the Financial Accounting Standards Board ("FASB") issued ASU 2022-02, which eliminates the troubled debt restructuring ("TDR") accounting model for creditors that have adopted Topic 326, “Financial Instruments – Credit Losses.” Specifically, rather than applying the recognition and measurement guidance for TDRs, this ASU requires entities to evaluate receivable modifications, consistent with the accounting for other loan modifications, to determine whether a modification made to a borrower results is a new loan or a continuation of the existing loan. In addition, under the new ASU, entities are no longer required to use a discounted cash flow ("DCF") method to measure the ACL as a result of a modification or restructuring with a borrower experiencing financial difficulty. If a DCF method is used, the post-modification-derived effective interest rate is to be used, instead of the original interest rate as stipulated under the current GAAP. This ASU also enhances the disclosure requirements related to certain modifications of receivables made to borrowers experiencing financial difficulty. This ASU</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amends the guidance on “vintage disclosures” to require the disclosure of current-period gross write-offs by year of origination. The Company adopted ASU 2022-02 on January 1, 2023 on a prospective basis. The adoption of the standard did not have a material impact on the financial statements. Refer to the </w:t>
      </w:r>
      <w:r>
        <w:rPr>
          <w:rFonts w:ascii="Arial" w:cs="Arial" w:eastAsia="Arial" w:hAnsi="Arial"/>
          <w:sz w:val="17"/>
          <w:szCs w:val="17"/>
          <w:i w:val="1"/>
          <w:iCs w:val="1"/>
          <w:color w:val="auto"/>
        </w:rPr>
        <w:t>Loans receivable, net</w:t>
      </w:r>
      <w:r>
        <w:rPr>
          <w:rFonts w:ascii="Arial" w:cs="Arial" w:eastAsia="Arial" w:hAnsi="Arial"/>
          <w:sz w:val="17"/>
          <w:szCs w:val="17"/>
          <w:color w:val="auto"/>
        </w:rPr>
        <w:t xml:space="preserve"> footnote for updated disclosures for the three and nine months ended September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however such reclassifications did not change stockholders' equity or net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9"/>
          <w:szCs w:val="19"/>
          <w:b w:val="1"/>
          <w:bCs w:val="1"/>
          <w:color w:val="auto"/>
        </w:rPr>
        <w:t>ACCUMULATED OTHER COMPREHENSIVE LOSS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accumulated comprehensive loss balances, net of income taxes:</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Unrealized gains (losses) on benefits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Unrealized gains (losses) on available for sale securities</w:t>
      </w:r>
    </w:p>
    <w:p>
      <w:pPr>
        <w:spacing w:after="0" w:line="23" w:lineRule="exact"/>
        <w:rPr>
          <w:sz w:val="20"/>
          <w:szCs w:val="20"/>
          <w:color w:val="auto"/>
        </w:rPr>
      </w:pPr>
    </w:p>
    <w:p>
      <w:pPr>
        <w:ind w:left="20"/>
        <w:spacing w:after="0" w:line="245" w:lineRule="auto"/>
        <w:rPr>
          <w:sz w:val="20"/>
          <w:szCs w:val="20"/>
          <w:color w:val="auto"/>
        </w:rPr>
      </w:pPr>
      <w:r>
        <w:rPr>
          <w:rFonts w:ascii="Arial" w:cs="Arial" w:eastAsia="Arial" w:hAnsi="Arial"/>
          <w:sz w:val="18"/>
          <w:szCs w:val="18"/>
          <w:color w:val="auto"/>
        </w:rPr>
        <w:t>Unaccreted unrealized loss on securities transferred to held-to-maturity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Unrealized gains (losses) on benefits plans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Unrealized gains (losses) on available for sale securities</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Unaccreted unrealized loss on securities transferred to held-to-maturity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6"/>
              </w:rPr>
              <w:t>Balance as of</w:t>
            </w: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7"/>
                <w:szCs w:val="17"/>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7"/>
                <w:szCs w:val="17"/>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Balance as of</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January 1, 2023</w:t>
            </w:r>
          </w:p>
        </w:tc>
        <w:tc>
          <w:tcPr>
            <w:tcW w:w="2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Effect</w:t>
            </w:r>
          </w:p>
        </w:tc>
        <w:tc>
          <w:tcPr>
            <w:tcW w:w="16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0" w:type="dxa"/>
            <w:vAlign w:val="bottom"/>
          </w:tcPr>
          <w:p>
            <w:pPr>
              <w:spacing w:after="0"/>
              <w:rPr>
                <w:sz w:val="1"/>
                <w:szCs w:val="1"/>
                <w:color w:val="auto"/>
              </w:rPr>
            </w:pPr>
          </w:p>
        </w:tc>
      </w:tr>
      <w:tr>
        <w:trPr>
          <w:trHeight w:val="41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(95,539)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(93,270)</w:t>
            </w: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(108,707)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(105,294)</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-745490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-453390</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 w:type="dxa"/>
            <w:vAlign w:val="bottom"/>
          </w:tcPr>
          <w:p>
            <w:pPr>
              <w:spacing w:after="0"/>
              <w:rPr>
                <w:sz w:val="18"/>
                <w:szCs w:val="18"/>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Balance as of</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8"/>
                <w:szCs w:val="18"/>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Balance as of</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January 1, 2022</w:t>
            </w:r>
          </w:p>
        </w:tc>
        <w:tc>
          <w:tcPr>
            <w:tcW w:w="24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Change</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Effect</w:t>
            </w:r>
          </w:p>
        </w:tc>
        <w:tc>
          <w:tcPr>
            <w:tcW w:w="160" w:type="dxa"/>
            <w:vAlign w:val="bottom"/>
          </w:tcPr>
          <w:p>
            <w:pPr>
              <w:spacing w:after="0"/>
              <w:rPr>
                <w:sz w:val="21"/>
                <w:szCs w:val="21"/>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41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38,531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(94,020)</w:t>
            </w:r>
          </w:p>
        </w:tc>
        <w:tc>
          <w:tcPr>
            <w:tcW w:w="0" w:type="dxa"/>
            <w:vAlign w:val="bottom"/>
          </w:tcPr>
          <w:p>
            <w:pPr>
              <w:spacing w:after="0"/>
              <w:rPr>
                <w:sz w:val="1"/>
                <w:szCs w:val="1"/>
                <w:color w:val="auto"/>
              </w:rPr>
            </w:pPr>
          </w:p>
        </w:tc>
      </w:tr>
      <w:tr>
        <w:trPr>
          <w:trHeight w:val="418"/>
        </w:trPr>
        <w:tc>
          <w:tcPr>
            <w:tcW w:w="140" w:type="dxa"/>
            <w:vAlign w:val="bottom"/>
          </w:tcPr>
          <w:p>
            <w:pPr>
              <w:spacing w:after="0"/>
              <w:rPr>
                <w:sz w:val="24"/>
                <w:szCs w:val="2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(11,883)</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(156,277)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(107,876)</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-745490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-453390</wp:posOffset>
            </wp:positionV>
            <wp:extent cx="713232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480"/>
            <w:col w:w="622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(loss) components and related income tax effects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6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7"/>
        </w:trPr>
        <w:tc>
          <w:tcPr>
            <w:tcW w:w="62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 Benefit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Change in obligation for postretirement benefits and for prior service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76"/>
        </w:trPr>
        <w:tc>
          <w:tcPr>
            <w:tcW w:w="6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Reclassification adjustment for prior service expense included in compensation and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obligation for other benefits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Change in total obligation for postretirement benefits and for prior service credit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Net change in total obligation for postretirement benefits and prior service credit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other benefits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Unrealized holding gains (losses) on available for sale securities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(159,460)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for losses realized in loss on sale of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line="176" w:lineRule="exact"/>
              <w:rPr>
                <w:sz w:val="20"/>
                <w:szCs w:val="20"/>
                <w:color w:val="auto"/>
              </w:rPr>
            </w:pPr>
            <w:r>
              <w:rPr>
                <w:rFonts w:ascii="Arial" w:cs="Arial" w:eastAsia="Arial" w:hAnsi="Arial"/>
                <w:sz w:val="18"/>
                <w:szCs w:val="18"/>
                <w:color w:val="auto"/>
              </w:rPr>
              <w:t>Accretion of net unrealized loss on securities transferred to held-to-maturity</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in interest income from securities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on available for sale securities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43,041</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gains (losses) on securities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(113,414)</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6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tab/>
        <w:t>INVESTMENT SECURITIES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investment securities available for sale and held-to-maturity as of September 30, 2023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5"/>
                <w:szCs w:val="15"/>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19"/>
                <w:szCs w:val="19"/>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520" w:type="dxa"/>
            <w:vAlign w:val="bottom"/>
          </w:tcPr>
          <w:p>
            <w:pPr>
              <w:ind w:left="560"/>
              <w:spacing w:after="0" w:line="189" w:lineRule="exact"/>
              <w:rPr>
                <w:sz w:val="20"/>
                <w:szCs w:val="20"/>
                <w:color w:val="auto"/>
              </w:rPr>
            </w:pPr>
            <w:r>
              <w:rPr>
                <w:rFonts w:ascii="Arial" w:cs="Arial" w:eastAsia="Arial" w:hAnsi="Arial"/>
                <w:sz w:val="18"/>
                <w:szCs w:val="18"/>
                <w:color w:val="auto"/>
              </w:rPr>
              <w:t>Government sponsored entities ("GSE") residential CMOs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396,458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(43,313)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353,171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GSE commercial certificates &amp; CMO</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128,241</w:t>
            </w: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Arial" w:cs="Arial" w:eastAsia="Arial" w:hAnsi="Arial"/>
                <w:sz w:val="18"/>
                <w:szCs w:val="18"/>
                <w:color w:val="auto"/>
              </w:rPr>
              <w:t>Non-GSE residential certificates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96,751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Non-GSE commercial certificates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84,877</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743,068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(80,054)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663,040</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ABS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667,402</w:t>
            </w: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Arial" w:cs="Arial" w:eastAsia="Arial" w:hAnsi="Arial"/>
                <w:sz w:val="18"/>
                <w:szCs w:val="18"/>
                <w:color w:val="auto"/>
              </w:rPr>
              <w:t>Trust preferred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112,966</w:t>
            </w: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Arial" w:cs="Arial" w:eastAsia="Arial" w:hAnsi="Arial"/>
                <w:sz w:val="18"/>
                <w:szCs w:val="18"/>
                <w:color w:val="auto"/>
              </w:rPr>
              <w:t>Residential PACE assessments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38,526</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828,410</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available for sale</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1,491,450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7"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7"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1"/>
              </w:rPr>
              <w:t>Amortized Cost</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89"/>
              </w:rPr>
              <w:t>Unrecognized</w:t>
            </w: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9"/>
              </w:rPr>
              <w:t>Unrecognized</w:t>
            </w:r>
          </w:p>
        </w:tc>
        <w:tc>
          <w:tcPr>
            <w:tcW w:w="180" w:type="dxa"/>
            <w:vAlign w:val="bottom"/>
          </w:tcPr>
          <w:p>
            <w:pPr>
              <w:spacing w:after="0"/>
              <w:rPr>
                <w:sz w:val="15"/>
                <w:szCs w:val="15"/>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30"/>
        </w:trPr>
        <w:tc>
          <w:tcPr>
            <w:tcW w:w="5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Held-to-maturity:</w:t>
            </w:r>
          </w:p>
        </w:tc>
        <w:tc>
          <w:tcPr>
            <w:tcW w:w="14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Traditional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Arial" w:cs="Arial" w:eastAsia="Arial" w:hAnsi="Arial"/>
                <w:sz w:val="18"/>
                <w:szCs w:val="18"/>
                <w:color w:val="auto"/>
              </w:rPr>
              <w:t>GSE residential CMOs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65,353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59,340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GSE commercial certificates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74,179</w:t>
            </w: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Arial" w:cs="Arial" w:eastAsia="Arial" w:hAnsi="Arial"/>
                <w:sz w:val="18"/>
                <w:szCs w:val="18"/>
                <w:color w:val="auto"/>
              </w:rPr>
              <w:t>GSE residential certificates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Non-GSE commercial certificates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28,991</w:t>
            </w: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Arial" w:cs="Arial" w:eastAsia="Arial" w:hAnsi="Arial"/>
                <w:sz w:val="18"/>
                <w:szCs w:val="18"/>
                <w:color w:val="auto"/>
              </w:rPr>
              <w:t>Non-GSE residential certificates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41,199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ABS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271,071</w:t>
            </w:r>
          </w:p>
        </w:tc>
        <w:tc>
          <w:tcPr>
            <w:tcW w:w="0" w:type="dxa"/>
            <w:vAlign w:val="bottom"/>
          </w:tcPr>
          <w:p>
            <w:pPr>
              <w:spacing w:after="0"/>
              <w:rPr>
                <w:sz w:val="1"/>
                <w:szCs w:val="1"/>
                <w:color w:val="auto"/>
              </w:rPr>
            </w:pPr>
          </w:p>
        </w:tc>
      </w:tr>
      <w:tr>
        <w:trPr>
          <w:trHeight w:val="229"/>
        </w:trPr>
        <w:tc>
          <w:tcPr>
            <w:tcW w:w="5520" w:type="dxa"/>
            <w:vAlign w:val="bottom"/>
          </w:tcPr>
          <w:p>
            <w:pPr>
              <w:ind w:left="560"/>
              <w:spacing w:after="0"/>
              <w:rPr>
                <w:sz w:val="20"/>
                <w:szCs w:val="20"/>
                <w:color w:val="auto"/>
              </w:rPr>
            </w:pPr>
            <w:r>
              <w:rPr>
                <w:rFonts w:ascii="Arial" w:cs="Arial" w:eastAsia="Arial" w:hAnsi="Arial"/>
                <w:sz w:val="18"/>
                <w:szCs w:val="18"/>
                <w:color w:val="auto"/>
              </w:rPr>
              <w:t>Municipal</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71,912</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547,073</w:t>
            </w:r>
          </w:p>
        </w:tc>
        <w:tc>
          <w:tcPr>
            <w:tcW w:w="0" w:type="dxa"/>
            <w:vAlign w:val="bottom"/>
          </w:tcPr>
          <w:p>
            <w:pPr>
              <w:spacing w:after="0"/>
              <w:rPr>
                <w:sz w:val="1"/>
                <w:szCs w:val="1"/>
                <w:color w:val="auto"/>
              </w:rPr>
            </w:pPr>
          </w:p>
        </w:tc>
      </w:tr>
      <w:tr>
        <w:trPr>
          <w:trHeight w:val="209"/>
        </w:trPr>
        <w:tc>
          <w:tcPr>
            <w:tcW w:w="5520" w:type="dxa"/>
            <w:vAlign w:val="bottom"/>
          </w:tcPr>
          <w:p>
            <w:pPr>
              <w:ind w:left="220"/>
              <w:spacing w:after="0"/>
              <w:rPr>
                <w:sz w:val="20"/>
                <w:szCs w:val="20"/>
                <w:color w:val="auto"/>
              </w:rPr>
            </w:pPr>
            <w:r>
              <w:rPr>
                <w:rFonts w:ascii="Arial" w:cs="Arial" w:eastAsia="Arial" w:hAnsi="Arial"/>
                <w:sz w:val="18"/>
                <w:szCs w:val="18"/>
                <w:color w:val="auto"/>
              </w:rPr>
              <w:t>PACE assessments: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Commercial PACE assessments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219,938</w:t>
            </w: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Arial" w:cs="Arial" w:eastAsia="Arial" w:hAnsi="Arial"/>
                <w:sz w:val="18"/>
                <w:szCs w:val="18"/>
                <w:color w:val="auto"/>
              </w:rPr>
              <w:t>Residential PACE assessments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710,795</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1,070,504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930,733</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held-to-maturity</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1,477,806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52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16</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available for sale securities with a fair value of $915.0 million and held-to-maturity securities with a fair value of $501.6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investment securities available for sale and held-to-maturity as of December 31, 2022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69"/>
        </w:trPr>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ind w:left="40"/>
              <w:spacing w:after="0" w:line="169" w:lineRule="exact"/>
              <w:rPr>
                <w:sz w:val="20"/>
                <w:szCs w:val="20"/>
                <w:color w:val="auto"/>
              </w:rPr>
            </w:pPr>
            <w:r>
              <w:rPr>
                <w:rFonts w:ascii="Arial" w:cs="Arial" w:eastAsia="Arial" w:hAnsi="Arial"/>
                <w:sz w:val="18"/>
                <w:szCs w:val="18"/>
                <w:b w:val="1"/>
                <w:bCs w:val="1"/>
                <w:color w:val="auto"/>
                <w:w w:val="97"/>
              </w:rPr>
              <w:t>Gross Unrealized</w:t>
            </w:r>
          </w:p>
        </w:tc>
        <w:tc>
          <w:tcPr>
            <w:tcW w:w="1520" w:type="dxa"/>
            <w:vAlign w:val="bottom"/>
            <w:gridSpan w:val="3"/>
          </w:tcPr>
          <w:p>
            <w:pPr>
              <w:ind w:left="40"/>
              <w:spacing w:after="0" w:line="169" w:lineRule="exact"/>
              <w:rPr>
                <w:sz w:val="20"/>
                <w:szCs w:val="20"/>
                <w:color w:val="auto"/>
              </w:rPr>
            </w:pPr>
            <w:r>
              <w:rPr>
                <w:rFonts w:ascii="Arial" w:cs="Arial" w:eastAsia="Arial" w:hAnsi="Arial"/>
                <w:sz w:val="18"/>
                <w:szCs w:val="18"/>
                <w:b w:val="1"/>
                <w:bCs w:val="1"/>
                <w:color w:val="auto"/>
                <w:w w:val="98"/>
              </w:rPr>
              <w:t>Gross Unrealized</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28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28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1"/>
                <w:szCs w:val="21"/>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427,529</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(38,293)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389,260</w:t>
            </w:r>
          </w:p>
        </w:tc>
      </w:tr>
      <w:tr>
        <w:trPr>
          <w:trHeight w:val="229"/>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 &amp; CMO</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r>
      <w:tr>
        <w:trPr>
          <w:trHeight w:val="229"/>
        </w:trPr>
        <w:tc>
          <w:tcPr>
            <w:tcW w:w="530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107,080</w:t>
            </w: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881,574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(73,990)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807,608</w:t>
            </w:r>
          </w:p>
        </w:tc>
      </w:tr>
      <w:tr>
        <w:trPr>
          <w:trHeight w:val="21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300" w:type="dxa"/>
            <w:vAlign w:val="bottom"/>
          </w:tcPr>
          <w:p>
            <w:pPr>
              <w:ind w:left="480"/>
              <w:spacing w:after="0"/>
              <w:rPr>
                <w:sz w:val="20"/>
                <w:szCs w:val="20"/>
                <w:color w:val="auto"/>
              </w:rPr>
            </w:pPr>
            <w:r>
              <w:rPr>
                <w:rFonts w:ascii="Arial" w:cs="Arial" w:eastAsia="Arial" w:hAnsi="Arial"/>
                <w:sz w:val="18"/>
                <w:szCs w:val="18"/>
                <w:color w:val="auto"/>
              </w:rPr>
              <w:t>U.S. Treasury</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ABS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862,163</w:t>
            </w: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Trust preferred</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10,143</w:t>
            </w:r>
          </w:p>
        </w:tc>
      </w:tr>
      <w:tr>
        <w:trPr>
          <w:trHeight w:val="229"/>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132,370</w:t>
            </w: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1,062,769</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(57,935)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1,004,868</w:t>
            </w: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300" w:type="dxa"/>
            <w:vAlign w:val="bottom"/>
          </w:tcPr>
          <w:p>
            <w:pPr>
              <w:ind w:left="880"/>
              <w:spacing w:after="0"/>
              <w:rPr>
                <w:sz w:val="20"/>
                <w:szCs w:val="20"/>
                <w:color w:val="auto"/>
              </w:rPr>
            </w:pPr>
            <w:r>
              <w:rPr>
                <w:rFonts w:ascii="Arial" w:cs="Arial" w:eastAsia="Arial" w:hAnsi="Arial"/>
                <w:sz w:val="18"/>
                <w:szCs w:val="18"/>
                <w:color w:val="auto"/>
              </w:rPr>
              <w:t>Total available for sale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1,944,343</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(131,925)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1,812,476</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Arial" w:cs="Arial" w:eastAsia="Arial" w:hAnsi="Arial"/>
                <w:sz w:val="18"/>
                <w:szCs w:val="18"/>
                <w:b w:val="1"/>
                <w:bCs w:val="1"/>
                <w:color w:val="auto"/>
                <w:w w:val="89"/>
              </w:rPr>
              <w:t>Unrecognized</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line="184" w:lineRule="exact"/>
              <w:rPr>
                <w:sz w:val="20"/>
                <w:szCs w:val="20"/>
                <w:color w:val="auto"/>
              </w:rPr>
            </w:pPr>
            <w:r>
              <w:rPr>
                <w:rFonts w:ascii="Arial" w:cs="Arial" w:eastAsia="Arial" w:hAnsi="Arial"/>
                <w:sz w:val="18"/>
                <w:szCs w:val="18"/>
                <w:b w:val="1"/>
                <w:bCs w:val="1"/>
                <w:color w:val="auto"/>
                <w:w w:val="89"/>
              </w:rPr>
              <w:t>Unrecognized</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Held-to-maturity:</w:t>
            </w: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Traditional securities: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69,391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65,337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79,149</w:t>
            </w: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Arial" w:cs="Arial" w:eastAsia="Arial" w:hAnsi="Arial"/>
                <w:sz w:val="18"/>
                <w:szCs w:val="18"/>
                <w:color w:val="auto"/>
              </w:rPr>
              <w:t>GSE residential certificates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29,496</w:t>
            </w: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45,223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ABS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273,507</w:t>
            </w:r>
          </w:p>
        </w:tc>
        <w:tc>
          <w:tcPr>
            <w:tcW w:w="0" w:type="dxa"/>
            <w:vAlign w:val="bottom"/>
          </w:tcPr>
          <w:p>
            <w:pPr>
              <w:spacing w:after="0"/>
              <w:rPr>
                <w:sz w:val="1"/>
                <w:szCs w:val="1"/>
                <w:color w:val="auto"/>
              </w:rPr>
            </w:pPr>
          </w:p>
        </w:tc>
      </w:tr>
      <w:tr>
        <w:trPr>
          <w:trHeight w:val="230"/>
        </w:trPr>
        <w:tc>
          <w:tcPr>
            <w:tcW w:w="5300" w:type="dxa"/>
            <w:vAlign w:val="bottom"/>
          </w:tcPr>
          <w:p>
            <w:pPr>
              <w:ind w:left="440"/>
              <w:spacing w:after="0"/>
              <w:rPr>
                <w:sz w:val="20"/>
                <w:szCs w:val="20"/>
                <w:color w:val="auto"/>
              </w:rPr>
            </w:pPr>
            <w:r>
              <w:rPr>
                <w:rFonts w:ascii="Arial" w:cs="Arial" w:eastAsia="Arial" w:hAnsi="Arial"/>
                <w:sz w:val="18"/>
                <w:szCs w:val="18"/>
                <w:color w:val="auto"/>
              </w:rPr>
              <w:t>Municipal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79,486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629,424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574,609</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PACE assessments: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40"/>
              <w:spacing w:after="0"/>
              <w:rPr>
                <w:sz w:val="20"/>
                <w:szCs w:val="20"/>
                <w:color w:val="auto"/>
              </w:rPr>
            </w:pPr>
            <w:r>
              <w:rPr>
                <w:rFonts w:ascii="Arial" w:cs="Arial" w:eastAsia="Arial" w:hAnsi="Arial"/>
                <w:sz w:val="18"/>
                <w:szCs w:val="18"/>
                <w:color w:val="auto"/>
              </w:rPr>
              <w:t>Commercial PACE assessments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255,424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228,642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PACE assessments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611,620</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911,877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840,262</w:t>
            </w: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80"/>
              <w:spacing w:after="0"/>
              <w:rPr>
                <w:sz w:val="20"/>
                <w:szCs w:val="20"/>
                <w:color w:val="auto"/>
              </w:rPr>
            </w:pPr>
            <w:r>
              <w:rPr>
                <w:rFonts w:ascii="Arial" w:cs="Arial" w:eastAsia="Arial" w:hAnsi="Arial"/>
                <w:sz w:val="18"/>
                <w:szCs w:val="18"/>
                <w:color w:val="auto"/>
              </w:rPr>
              <w:t>Total held-to-maturity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1,541,301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(126,439)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1,414,871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were no transfers to or from securities held-to-maturity during the three or nine months ended September 30, 2023. The Company reassessed the classification of certain investments during the nine months ended September 30, 2022 and transferred securities with a book value of $277.3 million from available-for-sale to held-to-maturity. The transfer occurred at a fair value totaling $260.1 million. The related unrealized losses of $17.1 million were converted to a discount that is being accreted through interest income on a level-yield method over the term of the securities, while the unrealized losses recorded in other comprehensive income are amortized out of other comprehensive income through interest income on a level-yield method over the remaining term of securities, with no net change to interest income. No gain or loss was recorded at the time of transfer. There were no transfers to or from securities held-to-maturity during the three months ended September 30, 2022.</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amortized cost and fair value of debt securities available for sale and held-to-maturity, exclusive of mortgage-backed securities, by their contractual maturity as of September 30, 2023. Actual maturities may differ from contractual maturities because borrowers may have the right to call or prepay obligations with or without penalty: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gridSpan w:val="5"/>
          </w:tcPr>
          <w:p>
            <w:pPr>
              <w:ind w:left="700"/>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20"/>
                <w:szCs w:val="20"/>
                <w:color w:val="auto"/>
              </w:rPr>
            </w:pPr>
          </w:p>
        </w:tc>
        <w:tc>
          <w:tcPr>
            <w:tcW w:w="298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178"/>
        </w:trPr>
        <w:tc>
          <w:tcPr>
            <w:tcW w:w="44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3"/>
              </w:rPr>
              <w:t>Amortized</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57"/>
        </w:trPr>
        <w:tc>
          <w:tcPr>
            <w:tcW w:w="44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59,932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342,393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425,888</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1,402,043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1,230,412</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828,410</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1,273,716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and gains and losses realized on sales of available for sale securities are summarized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0"/>
                <w:szCs w:val="20"/>
                <w:color w:val="auto"/>
              </w:rPr>
            </w:pPr>
          </w:p>
        </w:tc>
        <w:tc>
          <w:tcPr>
            <w:tcW w:w="2020" w:type="dxa"/>
            <w:vAlign w:val="bottom"/>
            <w:gridSpan w:val="3"/>
          </w:tcPr>
          <w:p>
            <w:pPr>
              <w:ind w:left="360"/>
              <w:spacing w:after="0"/>
              <w:rPr>
                <w:sz w:val="20"/>
                <w:szCs w:val="20"/>
                <w:color w:val="auto"/>
              </w:rPr>
            </w:pPr>
            <w:r>
              <w:rPr>
                <w:rFonts w:ascii="Arial" w:cs="Arial" w:eastAsia="Arial" w:hAnsi="Arial"/>
                <w:sz w:val="18"/>
                <w:szCs w:val="18"/>
                <w:b w:val="1"/>
                <w:bCs w:val="1"/>
                <w:color w:val="auto"/>
                <w:w w:val="94"/>
              </w:rPr>
              <w:t>Nine Months Ended,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3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1"/>
                <w:szCs w:val="21"/>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September 30, 2023</w:t>
            </w: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September 30, 2022</w:t>
            </w:r>
          </w:p>
        </w:tc>
        <w:tc>
          <w:tcPr>
            <w:tcW w:w="0" w:type="dxa"/>
            <w:vAlign w:val="bottom"/>
          </w:tcPr>
          <w:p>
            <w:pPr>
              <w:spacing w:after="0"/>
              <w:rPr>
                <w:sz w:val="1"/>
                <w:szCs w:val="1"/>
                <w:color w:val="auto"/>
              </w:rPr>
            </w:pPr>
          </w:p>
        </w:tc>
      </w:tr>
      <w:tr>
        <w:trPr>
          <w:trHeight w:val="157"/>
        </w:trPr>
        <w:tc>
          <w:tcPr>
            <w:tcW w:w="450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96,154</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132,105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Realized losses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realized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sales of held-to-maturity securities during the three or nine months ended September 30, 2023 or the three or nine months ended September 30, 2022.</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 Agency Securities, low loan-to-value PACE Bonds and a significant portion of the securities portfolio in U.S.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summarizes the fair value and unrealized losses for those available for sale and unrecognized losses for those held-to-maturity securities as of September 30, 2023 and December 31, 2022, respectively, segregated between securities that have been in an unrealized or unrecognized loss position for less than twelve months and those that have been in a continuous unrealized or unrecognized loss position for twelve months or longer at the respective dates: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0"/>
              </w:rPr>
              <w:t>September 30, 2023</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Less Than Twelve Months</w:t>
            </w:r>
          </w:p>
        </w:tc>
        <w:tc>
          <w:tcPr>
            <w:tcW w:w="200" w:type="dxa"/>
            <w:vAlign w:val="bottom"/>
          </w:tcPr>
          <w:p>
            <w:pPr>
              <w:spacing w:after="0"/>
              <w:rPr>
                <w:sz w:val="24"/>
                <w:szCs w:val="24"/>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Twelve Months or Longer</w:t>
            </w:r>
          </w:p>
        </w:tc>
        <w:tc>
          <w:tcPr>
            <w:tcW w:w="18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1"/>
              <w:spacing w:after="0" w:line="158" w:lineRule="exact"/>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Mortgage-related: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GSE residential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344,110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344,110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43,313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GSE commercial certificates &amp; CMO</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Non-GSE residential certificates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Other debt:</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ABS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608,861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26,571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 preferred</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112,966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PACE assessments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 available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1,385,322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1,423,848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128,812</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3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Less Than Twelve Months</w:t>
            </w:r>
          </w:p>
        </w:tc>
        <w:tc>
          <w:tcPr>
            <w:tcW w:w="200" w:type="dxa"/>
            <w:vAlign w:val="bottom"/>
          </w:tcPr>
          <w:p>
            <w:pPr>
              <w:spacing w:after="0"/>
              <w:rPr>
                <w:sz w:val="17"/>
                <w:szCs w:val="17"/>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Twelve Months or Longer</w:t>
            </w:r>
          </w:p>
        </w:tc>
        <w:tc>
          <w:tcPr>
            <w:tcW w:w="1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1"/>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Traditional securities: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GSE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59,340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59,340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GSE commercial certificates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GSE residential certificates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 GSE commercial certificates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Non GSE residential certificates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Municipal</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PACE assessments: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Commercial PACE assessments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219,938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PACE assessments</w:t>
            </w: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 held-to-maturity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204,860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Less Than Twelve Months</w:t>
            </w:r>
          </w:p>
        </w:tc>
        <w:tc>
          <w:tcPr>
            <w:tcW w:w="180" w:type="dxa"/>
            <w:vAlign w:val="bottom"/>
          </w:tcPr>
          <w:p>
            <w:pPr>
              <w:spacing w:after="0"/>
              <w:rPr>
                <w:sz w:val="18"/>
                <w:szCs w:val="18"/>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Twelve Months or Longer</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72"/>
              <w:spacing w:after="0" w:line="15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Mortgage-related: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GSE residential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231,562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13,937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151,285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382,847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38,293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GSE commercial certificates &amp; CMO</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Non-GSE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29"/>
        </w:trPr>
        <w:tc>
          <w:tcPr>
            <w:tcW w:w="3160" w:type="dxa"/>
            <w:vAlign w:val="bottom"/>
          </w:tcPr>
          <w:p>
            <w:pPr>
              <w:ind w:left="120"/>
              <w:spacing w:after="0"/>
              <w:rPr>
                <w:sz w:val="20"/>
                <w:szCs w:val="20"/>
                <w:color w:val="auto"/>
              </w:rPr>
            </w:pPr>
            <w:r>
              <w:rPr>
                <w:rFonts w:ascii="Arial" w:cs="Arial" w:eastAsia="Arial" w:hAnsi="Arial"/>
                <w:sz w:val="18"/>
                <w:szCs w:val="18"/>
                <w:color w:val="auto"/>
              </w:rPr>
              <w:t>Other debt: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ABS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530,269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299,425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39,617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Trust preferred</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 for 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gridSpan w:val="5"/>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gridSpan w:val="5"/>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Less Than Twelve Months</w:t>
            </w:r>
          </w:p>
        </w:tc>
        <w:tc>
          <w:tcPr>
            <w:tcW w:w="180" w:type="dxa"/>
            <w:vAlign w:val="bottom"/>
          </w:tcPr>
          <w:p>
            <w:pPr>
              <w:spacing w:after="0"/>
              <w:rPr>
                <w:sz w:val="17"/>
                <w:szCs w:val="17"/>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Twelve Months or Longer</w:t>
            </w: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72"/>
              <w:spacing w:after="0" w:line="158" w:lineRule="exact"/>
              <w:rPr>
                <w:sz w:val="20"/>
                <w:szCs w:val="20"/>
                <w:color w:val="auto"/>
              </w:rPr>
            </w:pPr>
            <w:r>
              <w:rPr>
                <w:rFonts w:ascii="Arial" w:cs="Arial" w:eastAsia="Arial" w:hAnsi="Arial"/>
                <w:sz w:val="16"/>
                <w:szCs w:val="16"/>
                <w:b w:val="1"/>
                <w:bCs w:val="1"/>
                <w:color w:val="auto"/>
                <w:w w:val="90"/>
              </w:rPr>
              <w:t>Unrecognized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88"/>
              </w:rPr>
              <w:t>Unrecognized</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Traditional securities: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GSE CMOs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65,337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 GSE commercial certificates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Non GSE residential certificates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Municipal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15,999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PACE assessments: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Commercial PACE assessments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228,642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Residential PACE assessments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44,833</w:t>
            </w:r>
          </w:p>
        </w:tc>
        <w:tc>
          <w:tcPr>
            <w:tcW w:w="0" w:type="dxa"/>
            <w:vAlign w:val="bottom"/>
          </w:tcPr>
          <w:p>
            <w:pPr>
              <w:spacing w:after="0"/>
              <w:rPr>
                <w:sz w:val="1"/>
                <w:szCs w:val="1"/>
                <w:color w:val="auto"/>
              </w:rPr>
            </w:pPr>
          </w:p>
        </w:tc>
      </w:tr>
      <w:tr>
        <w:trPr>
          <w:trHeight w:val="223"/>
        </w:trPr>
        <w:tc>
          <w:tcPr>
            <w:tcW w:w="3160" w:type="dxa"/>
            <w:vAlign w:val="bottom"/>
          </w:tcPr>
          <w:p>
            <w:pPr>
              <w:ind w:left="340"/>
              <w:spacing w:after="0"/>
              <w:rPr>
                <w:sz w:val="20"/>
                <w:szCs w:val="20"/>
                <w:color w:val="auto"/>
              </w:rPr>
            </w:pPr>
            <w:r>
              <w:rPr>
                <w:rFonts w:ascii="Arial" w:cs="Arial" w:eastAsia="Arial" w:hAnsi="Arial"/>
                <w:sz w:val="18"/>
                <w:szCs w:val="18"/>
                <w:color w:val="auto"/>
              </w:rPr>
              <w:t>Total held-to-maturity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1,267,169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1,412,850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126,439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for sale securities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discussed in Note 1, upon adoption of the Current Expected Credit Losses ("CECL") standard, no allowance for credit losses was recorded on available for sale securities. During the three months ended March 31, 2023, a Corporate bond related to Silicon Valley Bank was placed on nonaccrual status following credit concerns over the issuer. As a result, Management charged-off the $1.2 million unrealized loss position given Management's intent to sell the Corporate bond and unlikely recovery of the unrealized position. The sale of the security in the second quarter of 2023 resulted in an immaterial additional loss. During the three months ended September 30, 2023, no available for sale securities were charged-off.</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September 30, 2023, none of the Company’s available for sale debt securities were in an unrealized loss position due to credit and therefore no allowance for credit losses on available for 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With respect to the Company’s security investments that are temporarily impaired as of September 30, 2023,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September 30,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 securities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conducts an evaluation of expected credit losses on held-to-maturity securities on a collective basis by security type. Management monitors the credit quality of debt securities held-to-maturity through reasonable and supportable forecasts, reviews 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exception of PACE assessments, which are generally not rated, our traditional securities were rated investment grade by at least one nationally recognized statistical rating organization with no ratings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September 30, 2023 is primarily due to an increase in interest rates and spreads since the time these investments were acquired.</w:t>
      </w:r>
    </w:p>
    <w:p>
      <w:pPr>
        <w:spacing w:after="0" w:line="20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Accrued interest receivable on securities totaling $28.1 million and $23.2 million at September 30, 2023 and December 31, 2022, respectively, was included in other assets in the consolidated balance sheet and excluded from the amortized cost and estimated fair value totals in the table above.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activity in the allowance for credit losses for securities held-to-maturity for the three months ended September 30,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75"/>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87"/>
              </w:rPr>
              <w:t>commercial</w:t>
            </w: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certificates</w:t>
            </w: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Commercial PACE</w:t>
            </w: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Residential PACE</w:t>
            </w: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(recovery of) credit losses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activity in the allowance for credit losses for securities held-to-maturity for the nine months ended September 30, 2023: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Non-GSE</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5"/>
                <w:szCs w:val="15"/>
                <w:color w:val="auto"/>
              </w:rPr>
            </w:pPr>
          </w:p>
        </w:tc>
        <w:tc>
          <w:tcPr>
            <w:tcW w:w="138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87"/>
              </w:rPr>
              <w:t>commercial</w:t>
            </w:r>
          </w:p>
        </w:tc>
        <w:tc>
          <w:tcPr>
            <w:tcW w:w="1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8"/>
              </w:rPr>
              <w:t>Commercial PACE</w:t>
            </w: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Residential PACE</w:t>
            </w:r>
          </w:p>
        </w:tc>
        <w:tc>
          <w:tcPr>
            <w:tcW w:w="340" w:type="dxa"/>
            <w:vAlign w:val="bottom"/>
          </w:tcPr>
          <w:p>
            <w:pPr>
              <w:spacing w:after="0"/>
              <w:rPr>
                <w:sz w:val="15"/>
                <w:szCs w:val="15"/>
                <w:color w:val="auto"/>
              </w:rPr>
            </w:pPr>
          </w:p>
        </w:tc>
        <w:tc>
          <w:tcPr>
            <w:tcW w:w="11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certificates</w:t>
            </w:r>
          </w:p>
        </w:tc>
        <w:tc>
          <w:tcPr>
            <w:tcW w:w="1620" w:type="dxa"/>
            <w:vAlign w:val="bottom"/>
            <w:gridSpan w:val="3"/>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Adoption of ASU No. 2016-13</w:t>
            </w:r>
          </w:p>
        </w:tc>
        <w:tc>
          <w:tcPr>
            <w:tcW w:w="220" w:type="dxa"/>
            <w:vAlign w:val="bottom"/>
          </w:tcPr>
          <w:p>
            <w:pPr>
              <w:spacing w:after="0"/>
              <w:rPr>
                <w:sz w:val="19"/>
                <w:szCs w:val="19"/>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9"/>
          <w:szCs w:val="19"/>
          <w:b w:val="1"/>
          <w:bCs w:val="1"/>
          <w:color w:val="auto"/>
        </w:rPr>
        <w:t>LOANS RECEIVABLE, NET</w:t>
      </w:r>
    </w:p>
    <w:p>
      <w:pPr>
        <w:spacing w:after="0" w:line="2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 the adoption of ASU 2016-13 on January 1, 2023, all loan balances in this footnote for the period ended September 30, 2023 are presented at amortized cost, net of deferred loan origination costs. Loan balances for the period ended December 31, 2022 are presented at unpaid principal balance.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Loans receivable are summarized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9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7"/>
        </w:trPr>
        <w:tc>
          <w:tcPr>
            <w:tcW w:w="6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1,094,955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967,521</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and land development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37,696</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commercial portfolio</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2,265,991</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1,409,530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1,371,779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416,849</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47,150</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retail portfolio</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1,835,778</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Total loans receivable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4,364,745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4,101,769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loan origination costs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Total loans receivable, net of deferred loan origination costs</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4,364,745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4,106,002</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Total loans receivable,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4,296,930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4,060,971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past due status of the Company’s loans as of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90 Days or</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Delinquent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30-89 Days</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and Still</w:t>
            </w:r>
          </w:p>
        </w:tc>
        <w:tc>
          <w:tcPr>
            <w:tcW w:w="16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Total Past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Accruing</w:t>
            </w: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Past Due</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Accrual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Due</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Receivable</w:t>
            </w:r>
          </w:p>
        </w:tc>
        <w:tc>
          <w:tcPr>
            <w:tcW w:w="0" w:type="dxa"/>
            <w:vAlign w:val="bottom"/>
          </w:tcPr>
          <w:p>
            <w:pPr>
              <w:spacing w:after="0"/>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1,050,355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1,086,580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1,094,955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324,139</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28,326</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commercial portfolio</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2,459,222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2,497,775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1,403,283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1,409,530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415,324</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42,116</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1,866,970</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4,311,795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4,364,745</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past due status of the Company’s loans as of December 31,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90 Days or</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More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Delinquent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30-89 Days</w:t>
            </w:r>
          </w:p>
        </w:tc>
        <w:tc>
          <w:tcPr>
            <w:tcW w:w="200" w:type="dxa"/>
            <w:vAlign w:val="bottom"/>
          </w:tcPr>
          <w:p>
            <w:pPr>
              <w:spacing w:after="0"/>
              <w:rPr>
                <w:sz w:val="17"/>
                <w:szCs w:val="17"/>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and Still</w:t>
            </w:r>
          </w:p>
        </w:tc>
        <w:tc>
          <w:tcPr>
            <w:tcW w:w="160" w:type="dxa"/>
            <w:vAlign w:val="bottom"/>
          </w:tcPr>
          <w:p>
            <w:pPr>
              <w:spacing w:after="0"/>
              <w:rPr>
                <w:sz w:val="17"/>
                <w:szCs w:val="17"/>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Total Past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Accruing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Past Due</w:t>
            </w:r>
          </w:p>
        </w:tc>
        <w:tc>
          <w:tcPr>
            <w:tcW w:w="2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Accrual</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Due</w:t>
            </w: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6"/>
                <w:szCs w:val="16"/>
                <w:b w:val="1"/>
                <w:bCs w:val="1"/>
                <w:color w:val="auto"/>
                <w:w w:val="93"/>
              </w:rPr>
              <w:t>Receivable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967,521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37,696</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commercial portfolio</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2,219,512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2,265,991</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1,368,787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1,371,779</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416,849</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47,150</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1,827,657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1,835,778</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4,047,169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4,101,769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regarding loan modifications granted to borrowers experiencing financial difficulty during the three and nine months ended September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7"/>
              </w:rPr>
              <w:t>Three Months Ended September 30, 2023</w:t>
            </w:r>
          </w:p>
        </w:tc>
        <w:tc>
          <w:tcPr>
            <w:tcW w:w="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178"/>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ind w:left="20"/>
              <w:spacing w:after="0" w:line="177" w:lineRule="exact"/>
              <w:rPr>
                <w:sz w:val="20"/>
                <w:szCs w:val="20"/>
                <w:color w:val="auto"/>
              </w:rPr>
            </w:pPr>
            <w:r>
              <w:rPr>
                <w:rFonts w:ascii="Arial" w:cs="Arial" w:eastAsia="Arial" w:hAnsi="Arial"/>
                <w:sz w:val="18"/>
                <w:szCs w:val="18"/>
                <w:b w:val="1"/>
                <w:bCs w:val="1"/>
                <w:color w:val="auto"/>
              </w:rPr>
              <w:t>Term Extension and</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34"/>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Term Extension</w:t>
            </w:r>
          </w:p>
        </w:tc>
        <w:tc>
          <w:tcPr>
            <w:tcW w:w="140" w:type="dxa"/>
            <w:vAlign w:val="bottom"/>
          </w:tcPr>
          <w:p>
            <w:pPr>
              <w:spacing w:after="0"/>
              <w:rPr>
                <w:sz w:val="20"/>
                <w:szCs w:val="20"/>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Payment Delay</w:t>
            </w:r>
          </w:p>
        </w:tc>
        <w:tc>
          <w:tcPr>
            <w:tcW w:w="42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b w:val="1"/>
                <w:bCs w:val="1"/>
                <w:color w:val="auto"/>
              </w:rPr>
              <w:t>% of Portfolio</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12,125</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2,303</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Nine Months Ended September 30, 2023</w:t>
            </w: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169"/>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89"/>
              </w:rPr>
              <w:t>Term Extension and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1"/>
                <w:szCs w:val="21"/>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Term Extension</w:t>
            </w:r>
          </w:p>
        </w:tc>
        <w:tc>
          <w:tcPr>
            <w:tcW w:w="140" w:type="dxa"/>
            <w:vAlign w:val="bottom"/>
          </w:tcPr>
          <w:p>
            <w:pPr>
              <w:spacing w:after="0"/>
              <w:rPr>
                <w:sz w:val="21"/>
                <w:szCs w:val="21"/>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Payment Delay</w:t>
            </w:r>
          </w:p>
        </w:tc>
        <w:tc>
          <w:tcPr>
            <w:tcW w:w="400" w:type="dxa"/>
            <w:vAlign w:val="bottom"/>
          </w:tcPr>
          <w:p>
            <w:pPr>
              <w:spacing w:after="0"/>
              <w:rPr>
                <w:sz w:val="21"/>
                <w:szCs w:val="21"/>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1"/>
                <w:szCs w:val="21"/>
                <w:color w:val="auto"/>
              </w:rPr>
            </w:pPr>
          </w:p>
        </w:tc>
        <w:tc>
          <w:tcPr>
            <w:tcW w:w="2040" w:type="dxa"/>
            <w:vAlign w:val="bottom"/>
          </w:tcPr>
          <w:p>
            <w:pPr>
              <w:jc w:val="right"/>
              <w:ind w:right="370"/>
              <w:spacing w:after="0"/>
              <w:rPr>
                <w:sz w:val="20"/>
                <w:szCs w:val="20"/>
                <w:color w:val="auto"/>
              </w:rPr>
            </w:pPr>
            <w:r>
              <w:rPr>
                <w:rFonts w:ascii="Arial" w:cs="Arial" w:eastAsia="Arial" w:hAnsi="Arial"/>
                <w:sz w:val="18"/>
                <w:szCs w:val="18"/>
                <w:b w:val="1"/>
                <w:bCs w:val="1"/>
                <w:color w:val="auto"/>
              </w:rPr>
              <w:t>% of Portfolio</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17,163</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60.6 %</w:t>
            </w: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financial effect of the modifications made to borrowers experiencing financial difficulty: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tcBorders>
              <w:bottom w:val="single" w:sz="8" w:color="auto"/>
            </w:tcBorders>
            <w:gridSpan w:val="3"/>
          </w:tcPr>
          <w:p>
            <w:pPr>
              <w:ind w:left="2360"/>
              <w:spacing w:after="0"/>
              <w:rPr>
                <w:sz w:val="20"/>
                <w:szCs w:val="20"/>
                <w:color w:val="auto"/>
              </w:rPr>
            </w:pPr>
            <w:r>
              <w:rPr>
                <w:rFonts w:ascii="Arial" w:cs="Arial" w:eastAsia="Arial" w:hAnsi="Arial"/>
                <w:sz w:val="18"/>
                <w:szCs w:val="18"/>
                <w:b w:val="1"/>
                <w:bCs w:val="1"/>
                <w:color w:val="auto"/>
              </w:rPr>
              <w:t>Three Months Ended September 30, 2023</w:t>
            </w:r>
          </w:p>
        </w:tc>
      </w:tr>
      <w:tr>
        <w:trPr>
          <w:trHeight w:val="169"/>
        </w:trPr>
        <w:tc>
          <w:tcPr>
            <w:tcW w:w="3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 Years of Term Extension and</w:t>
            </w:r>
          </w:p>
        </w:tc>
      </w:tr>
      <w:tr>
        <w:trPr>
          <w:trHeight w:val="243"/>
        </w:trPr>
        <w:tc>
          <w:tcPr>
            <w:tcW w:w="3360" w:type="dxa"/>
            <w:vAlign w:val="bottom"/>
          </w:tcPr>
          <w:p>
            <w:pPr>
              <w:spacing w:after="0"/>
              <w:rPr>
                <w:sz w:val="21"/>
                <w:szCs w:val="21"/>
                <w:color w:val="auto"/>
              </w:rPr>
            </w:pPr>
          </w:p>
        </w:tc>
        <w:tc>
          <w:tcPr>
            <w:tcW w:w="4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 Years of Term Extension</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Delay</w:t>
            </w: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39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tcBorders>
              <w:bottom w:val="single" w:sz="8" w:color="auto"/>
            </w:tcBorders>
            <w:gridSpan w:val="3"/>
          </w:tcPr>
          <w:p>
            <w:pPr>
              <w:ind w:left="2400"/>
              <w:spacing w:after="0"/>
              <w:rPr>
                <w:sz w:val="20"/>
                <w:szCs w:val="20"/>
                <w:color w:val="auto"/>
              </w:rPr>
            </w:pPr>
            <w:r>
              <w:rPr>
                <w:rFonts w:ascii="Arial" w:cs="Arial" w:eastAsia="Arial" w:hAnsi="Arial"/>
                <w:sz w:val="18"/>
                <w:szCs w:val="18"/>
                <w:b w:val="1"/>
                <w:bCs w:val="1"/>
                <w:color w:val="auto"/>
              </w:rPr>
              <w:t>Nine Months Ended September 30, 2023</w:t>
            </w:r>
          </w:p>
        </w:tc>
      </w:tr>
      <w:tr>
        <w:trPr>
          <w:trHeight w:val="169"/>
        </w:trPr>
        <w:tc>
          <w:tcPr>
            <w:tcW w:w="3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 Years of Term Extension and</w:t>
            </w:r>
          </w:p>
        </w:tc>
      </w:tr>
      <w:tr>
        <w:trPr>
          <w:trHeight w:val="243"/>
        </w:trPr>
        <w:tc>
          <w:tcPr>
            <w:tcW w:w="3360" w:type="dxa"/>
            <w:vAlign w:val="bottom"/>
          </w:tcPr>
          <w:p>
            <w:pPr>
              <w:spacing w:after="0"/>
              <w:rPr>
                <w:sz w:val="21"/>
                <w:szCs w:val="21"/>
                <w:color w:val="auto"/>
              </w:rPr>
            </w:pPr>
          </w:p>
        </w:tc>
        <w:tc>
          <w:tcPr>
            <w:tcW w:w="4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 Years of Term Extension</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Payment Delay</w:t>
            </w: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Borders>
              <w:top w:val="single" w:sz="8" w:color="CCEEFF"/>
            </w:tcBorders>
            <w:shd w:val="clear" w:color="auto" w:fill="CCEEFF"/>
          </w:tcPr>
          <w:p>
            <w:pPr>
              <w:spacing w:after="0"/>
              <w:rPr>
                <w:sz w:val="19"/>
                <w:szCs w:val="19"/>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39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390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Six and twelve loans were permanently modified in the three and nine months ended September 30, 2023, respectively. One loan that was modified had a payment default during the three months ended September 30, 2023, and two loans had a payment default during the nine months ended September 30, 2023.</w:t>
      </w: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w:t>
      </w:r>
    </w:p>
    <w:p>
      <w:pPr>
        <w:spacing w:after="0" w:line="2" w:lineRule="exact"/>
        <w:rPr>
          <w:sz w:val="20"/>
          <w:szCs w:val="20"/>
          <w:color w:val="auto"/>
        </w:rPr>
      </w:pPr>
    </w:p>
    <w:p>
      <w:pPr>
        <w:ind w:firstLine="8"/>
        <w:spacing w:after="0" w:line="290" w:lineRule="auto"/>
        <w:tabs>
          <w:tab w:leader="none" w:pos="330" w:val="left"/>
        </w:tabs>
        <w:numPr>
          <w:ilvl w:val="0"/>
          <w:numId w:val="2"/>
        </w:numPr>
        <w:rPr>
          <w:rFonts w:ascii="Arial" w:cs="Arial" w:eastAsia="Arial" w:hAnsi="Arial"/>
          <w:sz w:val="17"/>
          <w:szCs w:val="17"/>
          <w:color w:val="auto"/>
        </w:rPr>
      </w:pPr>
      <w:r>
        <w:rPr>
          <w:rFonts w:ascii="Arial" w:cs="Arial" w:eastAsia="Arial" w:hAnsi="Arial"/>
          <w:sz w:val="17"/>
          <w:szCs w:val="17"/>
          <w:color w:val="auto"/>
        </w:rPr>
        <w:t>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credit model to determine the associated allowance for credit loss. Non-rated loans generally include residential mortgages and consumer loans.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below classifications follow regulatory guidelines and can be generally described as follows: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pass loans are of satisfactory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 mention loans have a potential weakness or risk that may result in the deterioration of future repayment;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doubtful loans, based on existing circumstances, have weaknesses that make collection or liquidation in full highly questionable and improbable.</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tables summarize the Company’s loan portfolio by credit quality indicator as of September 30, 2023 and gross charge-offs for the nine months ended September 30, 2023:</w:t>
      </w: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rPr>
              <w:t>Term Loans by Origination Year</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Revolving Loans</w:t>
            </w: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9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2019 &amp; Prior</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Revolving loans</w:t>
            </w:r>
          </w:p>
        </w:tc>
        <w:tc>
          <w:tcPr>
            <w:tcW w:w="14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Converted to</w:t>
            </w:r>
          </w:p>
        </w:tc>
        <w:tc>
          <w:tcPr>
            <w:tcW w:w="260" w:type="dxa"/>
            <w:vAlign w:val="bottom"/>
          </w:tcPr>
          <w:p>
            <w:pPr>
              <w:spacing w:after="0"/>
              <w:rPr>
                <w:sz w:val="12"/>
                <w:szCs w:val="12"/>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115,434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212,031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200,729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112,444</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166,305</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197,601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1,004,544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14,060</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4,175</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20,590</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5,302</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17,091</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2,828</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25,221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Arial" w:cs="Arial" w:eastAsia="Arial" w:hAnsi="Arial"/>
                <w:sz w:val="14"/>
                <w:szCs w:val="14"/>
                <w:color w:val="auto"/>
              </w:rPr>
              <w:t>Total commercial and industrial</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115,434</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212,031</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214,789</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121,921</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184,344</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201,836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1,050,355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Multifamily:</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117,574</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383,293</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45,528</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138,584</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398,600</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1,083,582</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9,065</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9,065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2,308</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Doubtful</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multifamily</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117,574</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383,293</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45,528</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138,584</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409,973</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1,094,955</w:t>
            </w:r>
          </w:p>
        </w:tc>
        <w:tc>
          <w:tcPr>
            <w:tcW w:w="0" w:type="dxa"/>
            <w:vAlign w:val="bottom"/>
          </w:tcPr>
          <w:p>
            <w:pPr>
              <w:spacing w:after="0"/>
              <w:rPr>
                <w:sz w:val="1"/>
                <w:szCs w:val="1"/>
                <w:color w:val="auto"/>
              </w:rPr>
            </w:pP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2,355</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42,438</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43,099</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48,931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36,578</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141,382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3,303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315,731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3,833</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3,833</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1,876</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2,699</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Arial" w:cs="Arial" w:eastAsia="Arial" w:hAnsi="Arial"/>
                <w:sz w:val="14"/>
                <w:szCs w:val="14"/>
                <w:color w:val="auto"/>
              </w:rPr>
              <w:t>Total commercial real estate</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42,438</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43,099</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48,931</w:t>
            </w: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38,454</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147,914</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3,303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324,139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 $</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Construction and land development: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Pass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12,435</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Special Mention</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Substandard</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15,891</w:t>
            </w: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15,891</w:t>
            </w: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Doubtful</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construction and land development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7,237</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21,089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28,326</w:t>
            </w:r>
          </w:p>
        </w:tc>
        <w:tc>
          <w:tcPr>
            <w:tcW w:w="0" w:type="dxa"/>
            <w:vAlign w:val="bottom"/>
          </w:tcPr>
          <w:p>
            <w:pPr>
              <w:spacing w:after="0"/>
              <w:rPr>
                <w:sz w:val="1"/>
                <w:szCs w:val="1"/>
                <w:color w:val="auto"/>
              </w:rPr>
            </w:pP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 $</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60" w:type="dxa"/>
            <w:vAlign w:val="bottom"/>
            <w:gridSpan w:val="2"/>
          </w:tcPr>
          <w:p>
            <w:pPr>
              <w:ind w:left="800"/>
              <w:spacing w:after="0"/>
              <w:rPr>
                <w:sz w:val="20"/>
                <w:szCs w:val="20"/>
                <w:color w:val="auto"/>
              </w:rPr>
            </w:pPr>
            <w:r>
              <w:rPr>
                <w:rFonts w:ascii="Arial" w:cs="Arial" w:eastAsia="Arial" w:hAnsi="Arial"/>
                <w:sz w:val="14"/>
                <w:szCs w:val="14"/>
                <w:color w:val="auto"/>
              </w:rPr>
              <w:t>— $</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real estate lending: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101,396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420,423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334,121</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136,380</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411,739</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2,560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ind w:left="8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1,406,619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731</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673</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1,353</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2,911</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2960" w:type="dxa"/>
            <w:vAlign w:val="bottom"/>
          </w:tcPr>
          <w:p>
            <w:pPr>
              <w:ind w:left="360"/>
              <w:spacing w:after="0"/>
              <w:rPr>
                <w:sz w:val="20"/>
                <w:szCs w:val="20"/>
                <w:color w:val="auto"/>
              </w:rPr>
            </w:pPr>
            <w:r>
              <w:rPr>
                <w:rFonts w:ascii="Arial" w:cs="Arial" w:eastAsia="Arial" w:hAnsi="Arial"/>
                <w:sz w:val="14"/>
                <w:szCs w:val="14"/>
                <w:color w:val="auto"/>
              </w:rPr>
              <w:t>Total residential real estate lending</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101,396</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421,154</w:t>
            </w:r>
          </w:p>
        </w:tc>
        <w:tc>
          <w:tcPr>
            <w:tcW w:w="3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334,275</w:t>
            </w:r>
          </w:p>
        </w:tc>
        <w:tc>
          <w:tcPr>
            <w:tcW w:w="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137,053</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413,092</w:t>
            </w:r>
          </w:p>
        </w:tc>
        <w:tc>
          <w:tcPr>
            <w:tcW w:w="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2,560</w:t>
            </w:r>
          </w:p>
        </w:tc>
        <w:tc>
          <w:tcPr>
            <w:tcW w:w="5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1,409,530</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10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Consumer solar:</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Pass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28,515</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106,566</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133,958</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74,809</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68,882</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412,730</w:t>
            </w: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Special Mention</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Substandard</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2,594</w:t>
            </w: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Doubtful</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consumer solar</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28,574</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107,442</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134,901</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75,170</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69,237</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415,324</w:t>
            </w: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1,302</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2,126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5,580</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Consumer and other:</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Pass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1,920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15,345</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12,189</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12,205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41,659</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Special Mention</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2"/>
        </w:trPr>
        <w:tc>
          <w:tcPr>
            <w:tcW w:w="2960" w:type="dxa"/>
            <w:vAlign w:val="bottom"/>
          </w:tcPr>
          <w:p>
            <w:pPr>
              <w:ind w:left="240"/>
              <w:spacing w:after="0"/>
              <w:rPr>
                <w:sz w:val="20"/>
                <w:szCs w:val="20"/>
                <w:color w:val="auto"/>
              </w:rPr>
            </w:pPr>
            <w:r>
              <w:rPr>
                <w:rFonts w:ascii="Arial" w:cs="Arial" w:eastAsia="Arial" w:hAnsi="Arial"/>
                <w:sz w:val="14"/>
                <w:szCs w:val="14"/>
                <w:color w:val="auto"/>
              </w:rPr>
              <w:t>Substandard</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457</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Doubtful</w:t>
            </w: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2960" w:type="dxa"/>
            <w:vAlign w:val="bottom"/>
          </w:tcPr>
          <w:p>
            <w:pPr>
              <w:ind w:left="360"/>
              <w:spacing w:after="0"/>
              <w:rPr>
                <w:sz w:val="20"/>
                <w:szCs w:val="20"/>
                <w:color w:val="auto"/>
              </w:rPr>
            </w:pPr>
            <w:r>
              <w:rPr>
                <w:rFonts w:ascii="Arial" w:cs="Arial" w:eastAsia="Arial" w:hAnsi="Arial"/>
                <w:sz w:val="14"/>
                <w:szCs w:val="14"/>
                <w:color w:val="auto"/>
              </w:rPr>
              <w:t>Total consumer and other</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1,971</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15,514</w:t>
            </w:r>
          </w:p>
        </w:tc>
        <w:tc>
          <w:tcPr>
            <w:tcW w:w="3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12,426</w:t>
            </w:r>
          </w:p>
        </w:tc>
        <w:tc>
          <w:tcPr>
            <w:tcW w:w="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12,205</w:t>
            </w:r>
          </w:p>
        </w:tc>
        <w:tc>
          <w:tcPr>
            <w:tcW w:w="3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42,116</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Current period gross charge-offs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254</w:t>
            </w:r>
          </w:p>
        </w:tc>
      </w:tr>
      <w:tr>
        <w:trPr>
          <w:trHeight w:val="194"/>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Total Loans:</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Pass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407,277</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1,180,757</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775,456</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498,795</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1,206,350</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208,665</w:t>
            </w:r>
          </w:p>
        </w:tc>
        <w:tc>
          <w:tcPr>
            <w:tcW w:w="5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4,277,300</w:t>
            </w:r>
          </w:p>
        </w:tc>
      </w:tr>
      <w:tr>
        <w:trPr>
          <w:trHeight w:val="182"/>
        </w:trPr>
        <w:tc>
          <w:tcPr>
            <w:tcW w:w="2960" w:type="dxa"/>
            <w:vAlign w:val="bottom"/>
          </w:tcPr>
          <w:p>
            <w:pPr>
              <w:ind w:left="20"/>
              <w:spacing w:after="0"/>
              <w:rPr>
                <w:sz w:val="20"/>
                <w:szCs w:val="20"/>
                <w:color w:val="auto"/>
              </w:rPr>
            </w:pPr>
            <w:r>
              <w:rPr>
                <w:rFonts w:ascii="Arial" w:cs="Arial" w:eastAsia="Arial" w:hAnsi="Arial"/>
                <w:sz w:val="14"/>
                <w:szCs w:val="14"/>
                <w:color w:val="auto"/>
              </w:rPr>
              <w:t>Special Mention</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14,060</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4,175</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13,846</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1,407</w:t>
            </w:r>
          </w:p>
        </w:tc>
        <w:tc>
          <w:tcPr>
            <w:tcW w:w="5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33,488</w:t>
            </w:r>
          </w:p>
        </w:tc>
      </w:tr>
      <w:tr>
        <w:trPr>
          <w:trHeight w:val="20"/>
        </w:trPr>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Substandard</w:t>
            </w:r>
          </w:p>
        </w:tc>
        <w:tc>
          <w:tcPr>
            <w:tcW w:w="2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3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8,212</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23,806</w:t>
            </w: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18,719</w:t>
            </w:r>
          </w:p>
        </w:tc>
        <w:tc>
          <w:tcPr>
            <w:tcW w:w="5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53,957</w:t>
            </w:r>
          </w:p>
        </w:tc>
      </w:tr>
      <w:tr>
        <w:trPr>
          <w:trHeight w:val="182"/>
        </w:trPr>
        <w:tc>
          <w:tcPr>
            <w:tcW w:w="2960" w:type="dxa"/>
            <w:vAlign w:val="bottom"/>
          </w:tcPr>
          <w:p>
            <w:pPr>
              <w:ind w:left="20"/>
              <w:spacing w:after="0"/>
              <w:rPr>
                <w:sz w:val="20"/>
                <w:szCs w:val="20"/>
                <w:color w:val="auto"/>
              </w:rPr>
            </w:pPr>
            <w:r>
              <w:rPr>
                <w:rFonts w:ascii="Arial" w:cs="Arial" w:eastAsia="Arial" w:hAnsi="Arial"/>
                <w:sz w:val="14"/>
                <w:szCs w:val="14"/>
                <w:color w:val="auto"/>
              </w:rPr>
              <w:t>Doubtful</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2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loans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407,387</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1,182,533</w:t>
            </w:r>
          </w:p>
        </w:tc>
        <w:tc>
          <w:tcPr>
            <w:tcW w:w="3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790,850</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511,182</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1,244,002</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228,791</w:t>
            </w:r>
          </w:p>
        </w:tc>
        <w:tc>
          <w:tcPr>
            <w:tcW w:w="52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4,364,745</w:t>
            </w:r>
          </w:p>
        </w:tc>
      </w:tr>
      <w:tr>
        <w:trPr>
          <w:trHeight w:val="182"/>
        </w:trPr>
        <w:tc>
          <w:tcPr>
            <w:tcW w:w="2960" w:type="dxa"/>
            <w:vAlign w:val="bottom"/>
          </w:tcPr>
          <w:p>
            <w:pPr>
              <w:ind w:left="460"/>
              <w:spacing w:after="0"/>
              <w:rPr>
                <w:sz w:val="20"/>
                <w:szCs w:val="20"/>
                <w:color w:val="auto"/>
              </w:rPr>
            </w:pPr>
            <w:r>
              <w:rPr>
                <w:rFonts w:ascii="Arial" w:cs="Arial" w:eastAsia="Arial" w:hAnsi="Arial"/>
                <w:sz w:val="14"/>
                <w:szCs w:val="14"/>
                <w:color w:val="auto"/>
              </w:rPr>
              <w:t>Current period gross charge-offs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1,302</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2,126</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4,678</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600" w:type="dxa"/>
            <w:vAlign w:val="bottom"/>
          </w:tcPr>
          <w:p>
            <w:pPr>
              <w:ind w:left="4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9,978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loan portfolio by credit quality indicator as of December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8"/>
                <w:szCs w:val="18"/>
                <w:color w:val="auto"/>
              </w:rPr>
            </w:pP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Pass</w:t>
            </w: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Special Mention</w:t>
            </w: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Substandard</w:t>
            </w: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Doubtful</w:t>
            </w:r>
          </w:p>
        </w:tc>
        <w:tc>
          <w:tcPr>
            <w:tcW w:w="340" w:type="dxa"/>
            <w:vAlign w:val="bottom"/>
          </w:tcPr>
          <w:p>
            <w:pPr>
              <w:spacing w:after="0"/>
              <w:rPr>
                <w:sz w:val="18"/>
                <w:szCs w:val="18"/>
                <w:color w:val="auto"/>
              </w:rPr>
            </w:pPr>
          </w:p>
        </w:tc>
        <w:tc>
          <w:tcPr>
            <w:tcW w:w="116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2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893,637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925,641</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967,521</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37,696</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real estate lending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1,371,779</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463,999</w:t>
            </w: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4,101,769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three months ended September 30,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Commercial</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Residential</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Consumer</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Multifamily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and Land</w:t>
            </w: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and Industrial</w:t>
            </w: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Pr>
          <w:p>
            <w:pPr>
              <w:spacing w:after="0"/>
              <w:rPr>
                <w:sz w:val="17"/>
                <w:szCs w:val="17"/>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Lending</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Solar</w:t>
            </w: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16,793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67,431</w:t>
            </w: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color w:val="auto"/>
              </w:rPr>
              <w:t>Provision for (recovery of) credit losses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3,319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67,815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4" w:right="399" w:bottom="1440" w:gutter="0" w:footer="0" w:header="0"/>
        </w:sectPr>
      </w:pPr>
    </w:p>
    <w:bookmarkStart w:id="30" w:name="page31"/>
    <w:bookmarkEnd w:id="3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three months ended September 30, 2022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Construction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Residential</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Consumer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Multifamily</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and Land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Real Estate</w:t>
            </w: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and Industrial</w:t>
            </w: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Real Estate</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Development</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Lending</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Arial" w:cs="Arial" w:eastAsia="Arial" w:hAnsi="Arial"/>
                <w:sz w:val="18"/>
                <w:szCs w:val="18"/>
                <w:color w:val="auto"/>
              </w:rPr>
              <w:t>Provision for (recovery of) loan</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nine months ended September 30, 2023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Commercial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Commercial</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Construction</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Residential</w:t>
            </w:r>
          </w:p>
        </w:tc>
        <w:tc>
          <w:tcPr>
            <w:tcW w:w="1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Consumer</w:t>
            </w:r>
          </w:p>
        </w:tc>
        <w:tc>
          <w:tcPr>
            <w:tcW w:w="10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Multifamily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and Land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and Industrial</w:t>
            </w: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Lending</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Solar</w:t>
            </w: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8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 ALLL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7,104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45,031</w:t>
            </w: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color w:val="auto"/>
              </w:rPr>
              <w:t>Adoption of ASU No. 2016-13</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21,229</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 ACL</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14,406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23,033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66,260</w:t>
            </w: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color w:val="auto"/>
              </w:rPr>
              <w:t>Provision for (recovery of) credit losses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10,047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(9,978)</w:t>
            </w: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 ACL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15,649</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67,815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activities in the allowance by portfolio for the nine months ended September 30, 2022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Construction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Residential</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Consumer and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Multifamily</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and Land</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Real Estate</w:t>
            </w: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and Industrial</w:t>
            </w: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Real Estate</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Development</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Lending</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35,866</w:t>
            </w: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line="189" w:lineRule="exact"/>
              <w:rPr>
                <w:sz w:val="20"/>
                <w:szCs w:val="20"/>
                <w:color w:val="auto"/>
              </w:rPr>
            </w:pPr>
            <w:r>
              <w:rPr>
                <w:rFonts w:ascii="Arial" w:cs="Arial" w:eastAsia="Arial" w:hAnsi="Arial"/>
                <w:sz w:val="18"/>
                <w:szCs w:val="18"/>
                <w:color w:val="auto"/>
              </w:rPr>
              <w:t>Provision for (recovery of) loan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basis of loans on nonaccrual status and the specific allowance as of September 30, 2023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Nonaccrual with</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Allowance</w:t>
            </w:r>
          </w:p>
        </w:tc>
        <w:tc>
          <w:tcPr>
            <w:tcW w:w="320" w:type="dxa"/>
            <w:vAlign w:val="bottom"/>
          </w:tcPr>
          <w:p>
            <w:pPr>
              <w:spacing w:after="0"/>
              <w:rPr>
                <w:sz w:val="21"/>
                <w:szCs w:val="21"/>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Reserve</w:t>
            </w:r>
          </w:p>
        </w:tc>
        <w:tc>
          <w:tcPr>
            <w:tcW w:w="0" w:type="dxa"/>
            <w:vAlign w:val="bottom"/>
          </w:tcPr>
          <w:p>
            <w:pPr>
              <w:spacing w:after="0"/>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3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and land development</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commercial portfolio</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collateral dependent loans which were individually evaluated to determine expected credit losses as of September 30,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Real Estate Collateral</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Associated Allowance for</w:t>
            </w:r>
          </w:p>
        </w:tc>
      </w:tr>
      <w:tr>
        <w:trPr>
          <w:trHeight w:val="237"/>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Arial" w:cs="Arial" w:eastAsia="Arial" w:hAnsi="Arial"/>
                <w:sz w:val="18"/>
                <w:szCs w:val="18"/>
                <w:b w:val="1"/>
                <w:bCs w:val="1"/>
                <w:color w:val="auto"/>
              </w:rPr>
              <w:t>Credit Losses</w:t>
            </w:r>
          </w:p>
        </w:tc>
      </w:tr>
      <w:tr>
        <w:trPr>
          <w:trHeight w:val="216"/>
        </w:trPr>
        <w:tc>
          <w:tcPr>
            <w:tcW w:w="69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Construction and land development</w:t>
            </w:r>
          </w:p>
        </w:tc>
        <w:tc>
          <w:tcPr>
            <w:tcW w:w="1960" w:type="dxa"/>
            <w:vAlign w:val="bottom"/>
          </w:tcPr>
          <w:p>
            <w:pPr>
              <w:jc w:val="right"/>
              <w:spacing w:after="0"/>
              <w:rPr>
                <w:sz w:val="20"/>
                <w:szCs w:val="20"/>
                <w:color w:val="auto"/>
              </w:rPr>
            </w:pPr>
            <w:r>
              <w:rPr>
                <w:rFonts w:ascii="Arial" w:cs="Arial" w:eastAsia="Arial" w:hAnsi="Arial"/>
                <w:sz w:val="18"/>
                <w:szCs w:val="18"/>
                <w:color w:val="auto"/>
              </w:rPr>
              <w:t>21,090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248"/>
        </w:trPr>
        <w:tc>
          <w:tcPr>
            <w:tcW w:w="69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and December 31, 2022, mortgage loans with an unpaid principal balance of $2.15 billion and $819.4 million, respectively, were pledged to the FHLBNY to secure outstanding advances, letters of credit and to provide additional borrowing potential.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There were $1.6 million in related party loans outstanding as of September 30, 2023 compared to $1.6 million related party loans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2" w:name="page33"/>
    <w:bookmarkEnd w:id="3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 (prior to the adoption of ASU 2016-13)</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provides information regarding the methods used to evaluate the Company’s loans for impairment by portfolio prior to the adoption of ASU 2016-13, and the Company’s allowance by portfolio based upon the method of evaluating loan impairment as of as of December 31,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Commercial</w:t>
            </w:r>
          </w:p>
        </w:tc>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rPr>
              <w:t>Construction and</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Residential</w:t>
            </w:r>
          </w:p>
        </w:tc>
        <w:tc>
          <w:tcPr>
            <w:tcW w:w="14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Consumer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Multifamily</w:t>
            </w: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Land</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Real Estate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and Industrial</w:t>
            </w: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Real Estate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Development</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Lending</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40" w:type="dxa"/>
            <w:vAlign w:val="bottom"/>
          </w:tcPr>
          <w:p>
            <w:pPr>
              <w:ind w:left="20"/>
              <w:spacing w:after="0"/>
              <w:rPr>
                <w:sz w:val="20"/>
                <w:szCs w:val="20"/>
                <w:color w:val="auto"/>
              </w:rPr>
            </w:pPr>
            <w:r>
              <w:rPr>
                <w:rFonts w:ascii="Arial" w:cs="Arial" w:eastAsia="Arial" w:hAnsi="Arial"/>
                <w:sz w:val="18"/>
                <w:szCs w:val="18"/>
                <w:color w:val="auto"/>
              </w:rPr>
              <w:t>Loans: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Individually evaluated for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27,801</w:t>
            </w:r>
          </w:p>
        </w:tc>
        <w:tc>
          <w:tcPr>
            <w:tcW w:w="0" w:type="dxa"/>
            <w:vAlign w:val="bottom"/>
          </w:tcPr>
          <w:p>
            <w:pPr>
              <w:spacing w:after="0"/>
              <w:rPr>
                <w:sz w:val="1"/>
                <w:szCs w:val="1"/>
                <w:color w:val="auto"/>
              </w:rPr>
            </w:pPr>
          </w:p>
        </w:tc>
      </w:tr>
      <w:tr>
        <w:trPr>
          <w:trHeight w:val="188"/>
        </w:trPr>
        <w:tc>
          <w:tcPr>
            <w:tcW w:w="2640" w:type="dxa"/>
            <w:vAlign w:val="bottom"/>
          </w:tcPr>
          <w:p>
            <w:pPr>
              <w:ind w:left="140"/>
              <w:spacing w:after="0" w:line="189" w:lineRule="exact"/>
              <w:rPr>
                <w:sz w:val="20"/>
                <w:szCs w:val="20"/>
                <w:color w:val="auto"/>
              </w:rPr>
            </w:pPr>
            <w:r>
              <w:rPr>
                <w:rFonts w:ascii="Arial" w:cs="Arial" w:eastAsia="Arial" w:hAnsi="Arial"/>
                <w:sz w:val="18"/>
                <w:szCs w:val="18"/>
                <w:color w:val="auto"/>
              </w:rPr>
              <w:t>Collectively evaluated for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impairment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963,693</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330,282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1,369,797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463,999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4,073,968</w:t>
            </w:r>
          </w:p>
        </w:tc>
        <w:tc>
          <w:tcPr>
            <w:tcW w:w="0" w:type="dxa"/>
            <w:vAlign w:val="bottom"/>
          </w:tcPr>
          <w:p>
            <w:pPr>
              <w:spacing w:after="0"/>
              <w:rPr>
                <w:sz w:val="1"/>
                <w:szCs w:val="1"/>
                <w:color w:val="auto"/>
              </w:rPr>
            </w:pPr>
          </w:p>
        </w:tc>
      </w:tr>
      <w:tr>
        <w:trPr>
          <w:trHeight w:val="248"/>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4,101,769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40" w:type="dxa"/>
            <w:vAlign w:val="bottom"/>
          </w:tcPr>
          <w:p>
            <w:pPr>
              <w:ind w:left="140"/>
              <w:spacing w:after="0" w:line="189" w:lineRule="exact"/>
              <w:rPr>
                <w:sz w:val="20"/>
                <w:szCs w:val="20"/>
                <w:color w:val="auto"/>
              </w:rPr>
            </w:pPr>
            <w:r>
              <w:rPr>
                <w:rFonts w:ascii="Arial" w:cs="Arial" w:eastAsia="Arial" w:hAnsi="Arial"/>
                <w:sz w:val="18"/>
                <w:szCs w:val="18"/>
                <w:color w:val="auto"/>
              </w:rPr>
              <w:t>Individually evaluated for</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Collectively evaluated for</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39,363</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Arial" w:cs="Arial" w:eastAsia="Arial" w:hAnsi="Arial"/>
                <w:sz w:val="18"/>
                <w:szCs w:val="18"/>
                <w:color w:val="auto"/>
              </w:rPr>
              <w:t>Total allowance for loan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45,031</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following is additional information regarding the Company's impaired loans and the allowance related to such loans prior to the adoption of ASU 2016-13, as of and for the year ended December 31, 2022.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Unpaid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8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Related</w:t>
            </w: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Balance</w:t>
            </w: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Allowance</w:t>
            </w:r>
          </w:p>
        </w:tc>
        <w:tc>
          <w:tcPr>
            <w:tcW w:w="0" w:type="dxa"/>
            <w:vAlign w:val="bottom"/>
          </w:tcPr>
          <w:p>
            <w:pPr>
              <w:spacing w:after="0"/>
              <w:rPr>
                <w:sz w:val="1"/>
                <w:szCs w:val="1"/>
                <w:color w:val="auto"/>
              </w:rPr>
            </w:pPr>
          </w:p>
        </w:tc>
      </w:tr>
      <w:tr>
        <w:trPr>
          <w:trHeight w:val="27"/>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Loans without a related allowance: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lending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with a related allowance: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Residential real estate lending</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Multifamily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Total individually impaired loans: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real estate lending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56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78"/>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0"/>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10"/>
              <w:spacing w:after="0" w:line="177" w:lineRule="exact"/>
              <w:rPr>
                <w:sz w:val="20"/>
                <w:szCs w:val="20"/>
                <w:color w:val="auto"/>
              </w:rPr>
            </w:pPr>
            <w:r>
              <w:rPr>
                <w:rFonts w:ascii="Arial" w:cs="Arial" w:eastAsia="Arial" w:hAnsi="Arial"/>
                <w:sz w:val="18"/>
                <w:szCs w:val="18"/>
                <w:b w:val="1"/>
                <w:bCs w:val="1"/>
                <w:color w:val="auto"/>
                <w:w w:val="94"/>
              </w:rPr>
              <w:t>Weighted Average</w:t>
            </w:r>
          </w:p>
        </w:tc>
        <w:tc>
          <w:tcPr>
            <w:tcW w:w="0" w:type="dxa"/>
            <w:vAlign w:val="bottom"/>
          </w:tcPr>
          <w:p>
            <w:pPr>
              <w:spacing w:after="0"/>
              <w:rPr>
                <w:sz w:val="1"/>
                <w:szCs w:val="1"/>
                <w:color w:val="auto"/>
              </w:rPr>
            </w:pPr>
          </w:p>
        </w:tc>
      </w:tr>
      <w:tr>
        <w:trPr>
          <w:trHeight w:val="234"/>
        </w:trPr>
        <w:tc>
          <w:tcPr>
            <w:tcW w:w="4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Rate</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57"/>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2,808,300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3,331,067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192,654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206,434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0.73 %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3,059,982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2,445,396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357,470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386,190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180,529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151,699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Brokered CDs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391,919</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6,990,854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6,595,037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time deposits and brokered CDs as of September 30, 2023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216,926</w:t>
            </w: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186,788</w:t>
            </w: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49,605</w:t>
            </w: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46,025</w:t>
            </w: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w:t>
            </w:r>
          </w:p>
        </w:tc>
      </w:tr>
      <w:tr>
        <w:trPr>
          <w:trHeight w:val="229"/>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34,704</w:t>
            </w: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572,448</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Time deposits of greater than $250,000 totaled $32.1 million as of September 30, 2023 and $36.2 million as of December 31,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offers time deposits through the Certificate of Deposit Account Registry Service (“CDARS”) for the purpose of providing FDIC insurance to bank customers with balances in excess of FDIC insurance limits. CDARS deposits totaled approximately $65.6 million and $28.3 million as of September 30, 2023 and December 31, 2022, respectively, and are included in time deposits above.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deposits included deposits from Workers United and its related entities, a related party, in the amounts of $55.0 million as of September 30, 2023 and $52.2 million as of December 31, 2022.</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Included in total deposits are state and municipal deposits totaling $36.0 million and $88.3 million as of September 30, 2023 and December 31, 2022, respectively. Such deposits are secured by letters of credit issued by the FHLBNY or by securities pledged with the FHLBNY.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b w:val="1"/>
          <w:bCs w:val="1"/>
          <w:color w:val="auto"/>
        </w:rPr>
        <w:t>BORROWED FUNDS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FHLBNY advances are collateralized by the FHLBNY stock owned by the Bank plus a pledge of other eligible assets comprised of securities and mortgage loans. Assets are pledged to collateral capacity. As of September 30, 2023, the value of the other eligible assets had an estimated market value net of haircut totaling $1.88 billion (comprised of securities of $367.2 million and mortgage loans of $1.52 billion). The fair value of assets pledged to the FHLBNY is required to exceed outstanding advances. There were $4.4 million outstanding FHLBNY advances as of September 30, 2023 and $580.0 million in outstanding FHLBNY advances as of December 31, 2022. For the three months ended September 30, 2023, and 2022, interest expense on FHLBNY advances was $1.0 million and $24.8 thousand, respectively. For the nine months ended September 30, 2023, and 2022, interest expense on FHLBNY advances was $5.4 million and $24.8 thousand, respectively.</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FHLBNY advances, the Company uses other borrowings for short-term borrowing needs. Federal funds lines of credit are extended to the Company by non-affiliated banks with which a correspondent banking relationship exists. At September 30, 2023, and December 31, 2022 there was no outstanding balance related to federal funds purchased. In addition, following the recent bank failures, the Federal Reserve created a new Bank Term Funding Program ("BTFP") as an additional source of liquidity against high-quality securities, offering loans of up to one year to eligible institutions pledging qualifying assets as collateral. At September 30, 2023, there was an outstanding balance of $230.0 million related to the BTFP, and no outstanding balance at December 31, 2022. For the three months ended September 30, 2023, and 2022, interest expense on other borrowings was $2.6 million and zero, respectively. For the nine months ended September 30, 2023, and 2022, interest expense on other borrowings was $4.9 million and zero,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9"/>
          <w:szCs w:val="19"/>
          <w:b w:val="1"/>
          <w:bCs w:val="1"/>
          <w:color w:val="auto"/>
        </w:rPr>
        <w:t>SUBORDINATED DEBT</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8, 2021, the Company completed a public offering of $85.0 million of aggregated principal amount of 3.250%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on subordinated debt for the three months ended September 30, 2023 and 2022 was $0.7 million and $0.7 million, respectively. Interest expense on subordinated debt for the nine months ended September 30, 2023 and 2022 was $2.0 million and $2.1 million, respectively.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September 30, 2023 and 2022, the Company repurchased subordinated notes with a par value of $3.5 million and $6.3 million, for cash paid of $2.8 million and $5.6 million, respectively. During the nine months ended September 30, 2023 and 2022, subordinated notes with a par value of $7.5 million and $6.3 million were repurchased, for cash paid of $6.0 million and $5.6 million,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on repurchases of subordinated debt for the three months ended September 30, 2023 and 2022 were $0.6 million and $0.6 million, respectively. Gains on repurchases of subordinated debt for the nine months ended September 30, 2023 and 2022 were $1.4 million and $0.6 million, respectively, and are recorded in Non-interest income - other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9"/>
          <w:szCs w:val="19"/>
          <w:b w:val="1"/>
          <w:bCs w:val="1"/>
          <w:color w:val="auto"/>
        </w:rPr>
        <w:t>EARNINGS PER SHARE</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For the three months ended September 30, 2023 and September 30, 2022, we had 13 thousand and 38 thousand anti-dilutive shares, respectively. For the nine months ended September 30, 2023 and September 30, 2022, we had 49 thousand and 72 thousand anti-dilutive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table setting forth the factors used in the earnings per share computation follow: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3"/>
              </w:rPr>
              <w:t>Three Months</w:t>
            </w:r>
          </w:p>
        </w:tc>
        <w:tc>
          <w:tcPr>
            <w:tcW w:w="260" w:type="dxa"/>
            <w:vAlign w:val="bottom"/>
          </w:tcPr>
          <w:p>
            <w:pPr>
              <w:spacing w:after="0"/>
              <w:rPr>
                <w:sz w:val="17"/>
                <w:szCs w:val="17"/>
                <w:color w:val="auto"/>
              </w:rPr>
            </w:pPr>
          </w:p>
        </w:tc>
        <w:tc>
          <w:tcPr>
            <w:tcW w:w="22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89"/>
              </w:rPr>
              <w:t>Ended September 30,</w:t>
            </w:r>
          </w:p>
        </w:tc>
        <w:tc>
          <w:tcPr>
            <w:tcW w:w="26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7"/>
        </w:trPr>
        <w:tc>
          <w:tcPr>
            <w:tcW w:w="518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common stock</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56,722</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30,673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30,864</w:t>
            </w:r>
          </w:p>
        </w:tc>
        <w:tc>
          <w:tcPr>
            <w:tcW w:w="0" w:type="dxa"/>
            <w:vAlign w:val="bottom"/>
          </w:tcPr>
          <w:p>
            <w:pPr>
              <w:spacing w:after="0"/>
              <w:rPr>
                <w:sz w:val="1"/>
                <w:szCs w:val="1"/>
                <w:color w:val="auto"/>
              </w:rPr>
            </w:pPr>
          </w:p>
        </w:tc>
      </w:tr>
      <w:tr>
        <w:trPr>
          <w:trHeight w:val="24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common stock</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30,673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30,864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Incremental shares from assumed conversion of options and RSUs</w:t>
            </w:r>
          </w:p>
        </w:tc>
        <w:tc>
          <w:tcPr>
            <w:tcW w:w="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31,223</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0.74</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9"/>
          <w:szCs w:val="19"/>
          <w:b w:val="1"/>
          <w:bCs w:val="1"/>
          <w:color w:val="auto"/>
        </w:rPr>
        <w:t>EMPLOYEE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does not currently maintain an active stock option plan that is available for issuing new options. As of December 31, 2020, all options are fully vested and the Company will not incur any further expense related to options. A summary of the status of the Company’s options as of September 30, 2023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00" w:type="dxa"/>
            <w:vAlign w:val="bottom"/>
            <w:gridSpan w:val="2"/>
          </w:tcPr>
          <w:p>
            <w:pPr>
              <w:jc w:val="center"/>
              <w:ind w:right="630"/>
              <w:spacing w:after="0" w:line="181" w:lineRule="exact"/>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0" w:type="dxa"/>
            <w:vAlign w:val="bottom"/>
            <w:gridSpan w:val="2"/>
          </w:tcPr>
          <w:p>
            <w:pPr>
              <w:jc w:val="center"/>
              <w:ind w:right="630"/>
              <w:spacing w:after="0" w:line="176"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00" w:type="dxa"/>
            <w:vAlign w:val="bottom"/>
            <w:gridSpan w:val="2"/>
          </w:tcPr>
          <w:p>
            <w:pPr>
              <w:jc w:val="center"/>
              <w:ind w:right="630"/>
              <w:spacing w:after="0"/>
              <w:rPr>
                <w:sz w:val="20"/>
                <w:szCs w:val="20"/>
                <w:color w:val="auto"/>
              </w:rPr>
            </w:pPr>
            <w:r>
              <w:rPr>
                <w:rFonts w:ascii="Arial" w:cs="Arial" w:eastAsia="Arial" w:hAnsi="Arial"/>
                <w:sz w:val="18"/>
                <w:szCs w:val="18"/>
                <w:b w:val="1"/>
                <w:bCs w:val="1"/>
                <w:color w:val="auto"/>
                <w:w w:val="91"/>
              </w:rPr>
              <w:t>Contractual</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Intrinsic Value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9"/>
              </w:rPr>
              <w:t>Exercise Price</w:t>
            </w:r>
          </w:p>
        </w:tc>
        <w:tc>
          <w:tcPr>
            <w:tcW w:w="2000" w:type="dxa"/>
            <w:vAlign w:val="bottom"/>
            <w:gridSpan w:val="2"/>
          </w:tcPr>
          <w:p>
            <w:pPr>
              <w:jc w:val="center"/>
              <w:ind w:right="630"/>
              <w:spacing w:after="0" w:line="202" w:lineRule="exact"/>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426,880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Expired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280" w:type="dxa"/>
            <w:vAlign w:val="bottom"/>
          </w:tcPr>
          <w:p>
            <w:pPr>
              <w:jc w:val="right"/>
              <w:spacing w:after="0"/>
              <w:rPr>
                <w:sz w:val="20"/>
                <w:szCs w:val="20"/>
                <w:color w:val="auto"/>
              </w:rPr>
            </w:pPr>
            <w:r>
              <w:rPr>
                <w:rFonts w:ascii="Arial" w:cs="Arial" w:eastAsia="Arial" w:hAnsi="Arial"/>
                <w:sz w:val="18"/>
                <w:szCs w:val="18"/>
                <w:color w:val="auto"/>
              </w:rPr>
              <w:t>(42,840)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Vested and Exercisable, September 30, 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384,040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20" w:type="dxa"/>
            <w:vAlign w:val="bottom"/>
          </w:tcPr>
          <w:p>
            <w:pPr>
              <w:ind w:left="20"/>
              <w:spacing w:after="0"/>
              <w:rPr>
                <w:sz w:val="20"/>
                <w:szCs w:val="20"/>
                <w:color w:val="auto"/>
              </w:rPr>
            </w:pPr>
            <w:r>
              <w:rPr>
                <w:rFonts w:ascii="Arial" w:cs="Arial" w:eastAsia="Arial" w:hAnsi="Arial"/>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range of exercise prices is $11.00 to $14.65 per share.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there was no compensation cost attributable to the options for the three and nine months ended September 30, 2023 or for the three and nine months ended September 30, 2022 as all options had been fully expensed as of December 31, 2020. The fair value of all awards outstanding as of September 30, 2023 and December 31, 2022 was $1.7 million and $4.2 million, respectively. No cash was received for options exercised in the three and nine months ended September 30, 2023 or for the three and nine months ended September 30, 2022.</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repurchased 30,937 shares and 280,604 shares for options exercised in the nine months ended September 30, 2023 and September 30,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1,265,610 shares were available for issuance as of September 30, 2023.</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Restricted stock units ("RSUs") represent an obligation to deliver shares to an employee or director at a future date if certain vesting conditions are met. RSUs are subject to a time-based vesting schedule, the satisfaction of performance conditions, or the satisfaction of market conditions, and are settled in shares of the Company’s common stock. RSUs do not provide dividend equivalent rights from the date of grant and do not provide voting rights. RSUs accrue dividends based on dividends paid on common shares, but those dividends are paid in cash upon satisfaction of the specified vesting requirements on the underlying RSU.</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38" w:name="page39"/>
    <w:bookmarkEnd w:id="38"/>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time-based vesting RSUs for the nine months ended September 30, 2023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Grant Date Fair</w:t>
            </w:r>
          </w:p>
        </w:tc>
      </w:tr>
      <w:tr>
        <w:trPr>
          <w:trHeight w:val="243"/>
        </w:trPr>
        <w:tc>
          <w:tcPr>
            <w:tcW w:w="4120" w:type="dxa"/>
            <w:vAlign w:val="bottom"/>
          </w:tcPr>
          <w:p>
            <w:pPr>
              <w:spacing w:after="0"/>
              <w:rPr>
                <w:sz w:val="21"/>
                <w:szCs w:val="21"/>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January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331,023</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Awarded</w:t>
            </w:r>
          </w:p>
        </w:tc>
        <w:tc>
          <w:tcPr>
            <w:tcW w:w="1280" w:type="dxa"/>
            <w:vAlign w:val="bottom"/>
          </w:tcPr>
          <w:p>
            <w:pPr>
              <w:jc w:val="right"/>
              <w:spacing w:after="0"/>
              <w:rPr>
                <w:sz w:val="20"/>
                <w:szCs w:val="20"/>
                <w:color w:val="auto"/>
              </w:rPr>
            </w:pPr>
            <w:r>
              <w:rPr>
                <w:rFonts w:ascii="Arial" w:cs="Arial" w:eastAsia="Arial" w:hAnsi="Arial"/>
                <w:sz w:val="18"/>
                <w:szCs w:val="18"/>
                <w:color w:val="auto"/>
              </w:rPr>
              <w:t>135,837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20.95</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September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305,814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Company’s performance-based vesting RSUs for the nine months ended September 30, 2023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Grant Date Fair</w:t>
            </w:r>
          </w:p>
        </w:tc>
      </w:tr>
      <w:tr>
        <w:trPr>
          <w:trHeight w:val="243"/>
        </w:trPr>
        <w:tc>
          <w:tcPr>
            <w:tcW w:w="4120" w:type="dxa"/>
            <w:vAlign w:val="bottom"/>
          </w:tcPr>
          <w:p>
            <w:pPr>
              <w:spacing w:after="0"/>
              <w:rPr>
                <w:sz w:val="21"/>
                <w:szCs w:val="21"/>
                <w:color w:val="auto"/>
              </w:rPr>
            </w:pP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January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96,970</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Awarded</w:t>
            </w:r>
          </w:p>
        </w:tc>
        <w:tc>
          <w:tcPr>
            <w:tcW w:w="1280" w:type="dxa"/>
            <w:vAlign w:val="bottom"/>
          </w:tcPr>
          <w:p>
            <w:pPr>
              <w:jc w:val="right"/>
              <w:spacing w:after="0"/>
              <w:rPr>
                <w:sz w:val="20"/>
                <w:szCs w:val="20"/>
                <w:color w:val="auto"/>
              </w:rPr>
            </w:pPr>
            <w:r>
              <w:rPr>
                <w:rFonts w:ascii="Arial" w:cs="Arial" w:eastAsia="Arial" w:hAnsi="Arial"/>
                <w:sz w:val="18"/>
                <w:szCs w:val="18"/>
                <w:color w:val="auto"/>
              </w:rPr>
              <w:t>62,945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23.12</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September 30,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125,963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the Company granted 29,923 performance-based RSUs at a fair value of $23.42 per share, respectively which vest subject to the achievement of the Company’s corporate goal for the three-year period from January 1, 2023 to December 31, 2025. The corporate goal is based on the Company achieving a target increase in Tangible Book Value, adjusted for certain factors. The minimum and maximum awards that are achievable are 0 and 44,885 shares,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the Company granted 29,747 market-based RSUs at a fair value of $23.56 per share which vest subject to the Bank’s relative total shareholder return compared to a group of peer banks over a three-year period from February 15, 2023 to February 14, 2026. The minimum and maximum awards that are achievable are 0 and 44,621 shares,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 Company granted 619 and 2,656 shares at a fair value of $14.45 and $15.23 per share, respectively, related to the vesting of performance-based RSUs to satisfy the achievement of corporate goals above target.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reserved 188,945 shares for issuance upon vesting of performance-based RSUs assuming the Company’s employees achieve the maximum share payout.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repurchased 52,715 shares and 49,875 shares for RSUs vested in the nine months ended September 30, 2023 and 2022, respectively.</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431,777 unvested RSUs and PSUs on September 30, 2023, the minimum units that will vest, solely due to a service test, are 305,814. The maximum units that will vest, assuming the highest payout on performance and market-based units, are 494,759.</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attributable to RSUs and PSUs was $1.1 million and $3.1 million for the three and nine months ended September 30, 2023, and $0.5 million and $1.5 million for the three and nine months ended September 30, 2022. Other expenses for directors were $0.1 million and $0.3 million for the three and nine months ended September 30, 2023, and $0.1 million and $0.4 million for the three and nine months ended September 30, 2022. As of September 30, 2023, there was $7.4 million of total unrecognized compensation cost related to the non-vested RSUs and PSUs granted. This expense may increase or decrease depending on the expected number of performance-based shares to be issued. This expense is expected to be recognized over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Compensation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below following summarizes the shares purchased under the ESPP since the inception of the plan: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Number of Shares</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purchase at December 31, 2022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478,081</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Purchases during the three months ended:</w:t>
            </w:r>
          </w:p>
        </w:tc>
        <w:tc>
          <w:tcPr>
            <w:tcW w:w="2260" w:type="dxa"/>
            <w:vAlign w:val="bottom"/>
          </w:tcPr>
          <w:p>
            <w:pPr>
              <w:spacing w:after="0"/>
              <w:rPr>
                <w:sz w:val="19"/>
                <w:szCs w:val="19"/>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2023</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w:t>
            </w: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June 30, 2023</w:t>
            </w:r>
          </w:p>
        </w:tc>
        <w:tc>
          <w:tcPr>
            <w:tcW w:w="2260" w:type="dxa"/>
            <w:vAlign w:val="bottom"/>
          </w:tcPr>
          <w:p>
            <w:pPr>
              <w:jc w:val="right"/>
              <w:spacing w:after="0"/>
              <w:rPr>
                <w:sz w:val="20"/>
                <w:szCs w:val="20"/>
                <w:color w:val="auto"/>
              </w:rPr>
            </w:pPr>
            <w:r>
              <w:rPr>
                <w:rFonts w:ascii="Arial" w:cs="Arial" w:eastAsia="Arial" w:hAnsi="Arial"/>
                <w:sz w:val="18"/>
                <w:szCs w:val="18"/>
                <w:color w:val="auto"/>
              </w:rPr>
              <w:t>(7,835)</w:t>
            </w: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Year-to-date purchases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(37,672)</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shares available for purchase at September 30,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440,409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expense related to the discount on purchased shares for the three months ended September 30, 2023 and September 30, 2022 was $20.4 thousand and $25.2 thousand, respectively, and is recorded within compensation and employee benefits expense on the Consolidated Statements of Income. The expense for the nine months ended September 30, 2023 and September 30, 2022 was $97.4 thousand and $77.3 thousand, respectively.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6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7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4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for sale securities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management will typically value those instruments using observable market inputs in a discounted cash flow analysis.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Available for sale securities: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353,171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353,171</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 &amp; CMO</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128,241</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96,751</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84,877</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ABS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667,402</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112,966</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Residential PACE assessments</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38,526</w:t>
            </w: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b w:val="1"/>
                <w:bCs w:val="1"/>
                <w:color w:val="auto"/>
              </w:rPr>
              <w:t>Total assets carried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1,452,727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38,526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1,491,450</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55"/>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8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5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9"/>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Available for sale securities: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Mortgage-related: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GSE residential CMOs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389,260</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389,260</w:t>
            </w: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GSE commercial certificates &amp; CMO</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213,786</w:t>
            </w:r>
          </w:p>
        </w:tc>
      </w:tr>
      <w:tr>
        <w:trPr>
          <w:trHeight w:val="230"/>
        </w:trPr>
        <w:tc>
          <w:tcPr>
            <w:tcW w:w="5320" w:type="dxa"/>
            <w:vAlign w:val="bottom"/>
          </w:tcPr>
          <w:p>
            <w:pPr>
              <w:ind w:left="480"/>
              <w:spacing w:after="0"/>
              <w:rPr>
                <w:sz w:val="20"/>
                <w:szCs w:val="20"/>
                <w:color w:val="auto"/>
              </w:rPr>
            </w:pPr>
            <w:r>
              <w:rPr>
                <w:rFonts w:ascii="Arial" w:cs="Arial" w:eastAsia="Arial" w:hAnsi="Arial"/>
                <w:sz w:val="18"/>
                <w:szCs w:val="18"/>
                <w:color w:val="auto"/>
              </w:rPr>
              <w:t>Non-GSE residential certificates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107,080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107,080</w:t>
            </w:r>
          </w:p>
        </w:tc>
      </w:tr>
      <w:tr>
        <w:trPr>
          <w:trHeight w:val="229"/>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Non-GSE commercial certificates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97,482</w:t>
            </w:r>
          </w:p>
        </w:tc>
      </w:tr>
      <w:tr>
        <w:trPr>
          <w:trHeight w:val="229"/>
        </w:trPr>
        <w:tc>
          <w:tcPr>
            <w:tcW w:w="532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 Treasury</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862,163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862,163</w:t>
            </w:r>
          </w:p>
        </w:tc>
      </w:tr>
      <w:tr>
        <w:trPr>
          <w:trHeight w:val="230"/>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Trust preferred</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r>
      <w:tr>
        <w:trPr>
          <w:trHeight w:val="229"/>
        </w:trPr>
        <w:tc>
          <w:tcPr>
            <w:tcW w:w="5320" w:type="dxa"/>
            <w:vAlign w:val="bottom"/>
          </w:tcPr>
          <w:p>
            <w:pPr>
              <w:ind w:left="48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132,370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132,370</w:t>
            </w:r>
          </w:p>
        </w:tc>
      </w:tr>
      <w:tr>
        <w:trPr>
          <w:trHeight w:val="248"/>
        </w:trPr>
        <w:tc>
          <w:tcPr>
            <w:tcW w:w="53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 carried at fair value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1,812,476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(or impaired loans prior to the adoption of ASU 2016-13) reported at the fair value of the underlying collateral if repayment is expected solely from the collateral.</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assets measured at fair value on a non-recurring basis in the Consolidated Statements of Financial Condition as of the dates indicated, categorized by the relevant class of investment and level of the fair value hierarchy: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September 30, 2023</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78"/>
        </w:trPr>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w w:val="96"/>
              </w:rPr>
              <w:t>Estimated Fair</w:t>
            </w:r>
          </w:p>
        </w:tc>
      </w:tr>
      <w:tr>
        <w:trPr>
          <w:trHeight w:val="234"/>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Individually analyzed loans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r>
      <w:tr>
        <w:trPr>
          <w:trHeight w:val="567"/>
        </w:trPr>
        <w:tc>
          <w:tcPr>
            <w:tcW w:w="4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0"/>
              </w:rPr>
              <w:t>December 31, 2022</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69"/>
        </w:trPr>
        <w:tc>
          <w:tcPr>
            <w:tcW w:w="4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6"/>
              </w:rPr>
              <w:t>Estimated Fair</w:t>
            </w:r>
          </w:p>
        </w:tc>
      </w:tr>
      <w:tr>
        <w:trPr>
          <w:trHeight w:val="243"/>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Impaired loans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 For a description of the methods, factors and significant assumptions utilized in estimating the fair values for significant categories of financial instruments not measured at fair value, refer to footnote 14,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included in the Annual Report on Form 10-K for the year ended December 31, 2022. An additional category of financial instrument not measured at fair value that was not previously included in the Annual Report on Form 10-K is summarized below:</w:t>
      </w:r>
    </w:p>
    <w:p>
      <w:pPr>
        <w:spacing w:after="0" w:line="84"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borrowings - Other borrowings are valued using a present value technique that incorporates current rates offered on borrowings of comparable remaining maturity. Other borrowings are categorized as Level 2.</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statement basis and estimated fair values for significant categories of financial instruments: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Carrying Value</w:t>
            </w:r>
          </w:p>
        </w:tc>
        <w:tc>
          <w:tcPr>
            <w:tcW w:w="240" w:type="dxa"/>
            <w:vAlign w:val="bottom"/>
          </w:tcPr>
          <w:p>
            <w:pPr>
              <w:spacing w:after="0"/>
              <w:rPr>
                <w:sz w:val="13"/>
                <w:szCs w:val="13"/>
                <w:color w:val="auto"/>
              </w:rPr>
            </w:pPr>
          </w:p>
        </w:tc>
        <w:tc>
          <w:tcPr>
            <w:tcW w:w="10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240" w:type="dxa"/>
            <w:vAlign w:val="bottom"/>
          </w:tcPr>
          <w:p>
            <w:pPr>
              <w:spacing w:after="0"/>
              <w:rPr>
                <w:sz w:val="13"/>
                <w:szCs w:val="1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3"/>
                <w:szCs w:val="13"/>
                <w:color w:val="auto"/>
              </w:rPr>
            </w:pPr>
          </w:p>
        </w:tc>
        <w:tc>
          <w:tcPr>
            <w:tcW w:w="1180" w:type="dxa"/>
            <w:vAlign w:val="bottom"/>
          </w:tcPr>
          <w:p>
            <w:pPr>
              <w:jc w:val="right"/>
              <w:ind w:right="39"/>
              <w:spacing w:after="0" w:line="158" w:lineRule="exact"/>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9"/>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140,219</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Arial" w:cs="Arial" w:eastAsia="Arial" w:hAnsi="Arial"/>
                <w:sz w:val="16"/>
                <w:szCs w:val="16"/>
                <w:color w:val="auto"/>
              </w:rPr>
              <w:t>Held-to-maturity securities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1,681,860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930,734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1,477,806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Loans held for sale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Arial" w:cs="Arial" w:eastAsia="Arial" w:hAnsi="Arial"/>
                <w:sz w:val="16"/>
                <w:szCs w:val="16"/>
                <w:color w:val="auto"/>
              </w:rPr>
              <w:t>Loans receivable,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4,296,930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3,868,176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3,868,176</w:t>
            </w:r>
          </w:p>
        </w:tc>
        <w:tc>
          <w:tcPr>
            <w:tcW w:w="0" w:type="dxa"/>
            <w:vAlign w:val="bottom"/>
          </w:tcPr>
          <w:p>
            <w:pPr>
              <w:spacing w:after="0"/>
              <w:rPr>
                <w:sz w:val="1"/>
                <w:szCs w:val="1"/>
                <w:color w:val="auto"/>
              </w:rPr>
            </w:pPr>
          </w:p>
        </w:tc>
      </w:tr>
      <w:tr>
        <w:trPr>
          <w:trHeight w:val="246"/>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 receivable</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47,745</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Arial" w:cs="Arial" w:eastAsia="Arial" w:hAnsi="Arial"/>
                <w:sz w:val="16"/>
                <w:szCs w:val="16"/>
                <w:color w:val="auto"/>
              </w:rPr>
              <w:t>Deposits payable on demand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6,418,406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6,418,406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6,418,406</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Time deposits and brokered CDs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567,275</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Arial" w:cs="Arial" w:eastAsia="Arial" w:hAnsi="Arial"/>
                <w:sz w:val="16"/>
                <w:szCs w:val="16"/>
                <w:color w:val="auto"/>
              </w:rPr>
              <w:t>FHLBNY advances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borrowings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228,658</w:t>
            </w:r>
          </w:p>
        </w:tc>
        <w:tc>
          <w:tcPr>
            <w:tcW w:w="0" w:type="dxa"/>
            <w:vAlign w:val="bottom"/>
          </w:tcPr>
          <w:p>
            <w:pPr>
              <w:spacing w:after="0"/>
              <w:rPr>
                <w:sz w:val="1"/>
                <w:szCs w:val="1"/>
                <w:color w:val="auto"/>
              </w:rPr>
            </w:pPr>
          </w:p>
        </w:tc>
      </w:tr>
      <w:tr>
        <w:trPr>
          <w:trHeight w:val="213"/>
        </w:trPr>
        <w:tc>
          <w:tcPr>
            <w:tcW w:w="4360" w:type="dxa"/>
            <w:vAlign w:val="bottom"/>
          </w:tcPr>
          <w:p>
            <w:pPr>
              <w:ind w:left="460"/>
              <w:spacing w:after="0"/>
              <w:rPr>
                <w:sz w:val="20"/>
                <w:szCs w:val="20"/>
                <w:color w:val="auto"/>
              </w:rPr>
            </w:pPr>
            <w:r>
              <w:rPr>
                <w:rFonts w:ascii="Arial" w:cs="Arial" w:eastAsia="Arial" w:hAnsi="Arial"/>
                <w:sz w:val="16"/>
                <w:szCs w:val="16"/>
                <w:color w:val="auto"/>
              </w:rPr>
              <w:t>Subordinated debt, net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70,427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57,045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57,045</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 payable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371"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17145</wp:posOffset>
            </wp:positionV>
            <wp:extent cx="43630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6308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00"/>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63,540</w:t>
            </w: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Held-to-maturity securities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1,541,301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574,609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840,262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1,414,871</w:t>
            </w: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Loans held for sale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Loans receivable,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4,060,971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3,718,308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3,718,308</w:t>
            </w: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Resell agreements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25,754</w:t>
            </w: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Accrued interest and dividends receivable</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41,441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41,441</w:t>
            </w:r>
          </w:p>
        </w:tc>
      </w:tr>
      <w:tr>
        <w:trPr>
          <w:trHeight w:val="259"/>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Deposits payable on demand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6,369,087</w:t>
            </w: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Time deposits and brokered CDs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225,950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225,805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225,805</w:t>
            </w: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FHLBNY advances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580,000</w:t>
            </w:r>
          </w:p>
        </w:tc>
      </w:tr>
      <w:tr>
        <w:trPr>
          <w:trHeight w:val="213"/>
        </w:trPr>
        <w:tc>
          <w:tcPr>
            <w:tcW w:w="4340" w:type="dxa"/>
            <w:vAlign w:val="bottom"/>
          </w:tcPr>
          <w:p>
            <w:pPr>
              <w:ind w:left="460"/>
              <w:spacing w:after="0"/>
              <w:rPr>
                <w:sz w:val="20"/>
                <w:szCs w:val="20"/>
                <w:color w:val="auto"/>
              </w:rPr>
            </w:pPr>
            <w:r>
              <w:rPr>
                <w:rFonts w:ascii="Arial" w:cs="Arial" w:eastAsia="Arial" w:hAnsi="Arial"/>
                <w:sz w:val="16"/>
                <w:szCs w:val="16"/>
                <w:color w:val="auto"/>
              </w:rPr>
              <w:t>Subordinated debt, net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68,966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68,966</w:t>
            </w:r>
          </w:p>
        </w:tc>
      </w:tr>
      <w:tr>
        <w:trPr>
          <w:trHeight w:val="219"/>
        </w:trPr>
        <w:tc>
          <w:tcPr>
            <w:tcW w:w="4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 payable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4" w:right="359" w:bottom="1440" w:gutter="0" w:footer="0" w:header="0"/>
        </w:sectPr>
      </w:pPr>
    </w:p>
    <w:bookmarkStart w:id="44" w:name="page45"/>
    <w:bookmarkEnd w:id="44"/>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Commitments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2022</w:t>
            </w:r>
          </w:p>
        </w:tc>
        <w:tc>
          <w:tcPr>
            <w:tcW w:w="0" w:type="dxa"/>
            <w:vAlign w:val="bottom"/>
          </w:tcPr>
          <w:p>
            <w:pPr>
              <w:spacing w:after="0"/>
              <w:rPr>
                <w:sz w:val="1"/>
                <w:szCs w:val="1"/>
                <w:color w:val="auto"/>
              </w:rPr>
            </w:pPr>
          </w:p>
        </w:tc>
      </w:tr>
      <w:tr>
        <w:trPr>
          <w:trHeight w:val="157"/>
        </w:trPr>
        <w:tc>
          <w:tcPr>
            <w:tcW w:w="27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extend credit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723,902</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Standby letters of credit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753,470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reserves for the credit risk inherent in off balance sheet credit commitments. Upon adoption of ASU 2016-13 on January 1, 2023, the Day 1 adjustment to allowance for credit losses on off-balance sheet credit exposures was $2.7 million. This allowance, which is included in other liabilities, amounted to approximately $3.8 million as of September 30, 2023, compared to a reserve of $1.6 million as of December 31, 2022. The provision for credit losses related to off balance sheet credit commitments was a recovery of $1.3 million and $0.4 million for the three and nine months ended September 30, 2023, and the expense related to off balance sheet credit commitments in other non-interest expense was a recovery of $0.2 million and an expense of $0.2 million for the three and nine months ended September 30,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Obligations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a party to agreements with Pace Funding Group LLC, which operates Home Run Financing, for the purchase of PACE assessment securities until December 2023. As of September 30, 2023, the Company had purchased $662.4 million of these obligations and had an estimated remaining commitment of $69.3 million. The PACE assessments have equal-lien priority with property taxes and generally rank senior to first lien mortgages. These investments are currently held in the Company's held-to-maturity investment portfolio. The Company evaluates these obligations for credit risk and the recorded reserve is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 and Contingencies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 As part of the Company's ongoing investments in variable interest entity ("VIE") projects, we also have commitments to provide financing, which are included in Note 14.</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5" w:name="page46"/>
    <w:bookmarkEnd w:id="45"/>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LEASES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as a lessee has operating leases primarily consisting of real estate arrangements where the Company operates its headquarters, branches and business production offices. All leases identified as in scope are accounted for as operating leases as of September 30, 2023. These leases are typically long-term leases and generally are not complicated arrangements or structures. Several of the leases contain renewal options at a rate comparable to the fair market value based on comparable analysis to similar properties in the Bank’s geographies.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Real estate operating leases are presented as a right-of-use (“ROU”)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(“IBR”)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The following table summarizes our lease cost and other operating lease information:</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9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7"/>
        </w:trPr>
        <w:tc>
          <w:tcPr>
            <w:tcW w:w="6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operating leases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182"/>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 Sublease income and variable income or expense considered immaterial</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on operating leases at September 30, 2023 and September 30, 2022 was 3.2 years and 4.2 years, respectively.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discount rate used for the operating lease liability was 3.26% and 3.25% at September 30, 2023 and September 30, 2022, respectively.</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September 30, 2023:</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As of September 30, 2023</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9,200</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34,918</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adjustment</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leases liability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GAAP, the Company performs an annual test as of June 30 to identify potential impairment of goodwill, or more frequently if events or</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performed its annual test based upon market data as of June 30, 2023 and estimates and assumptions that the Company believes most appropriate for the analysis. Based on the qualitative analysis performed in accordance with ASC 350, the Company determined it is more likely than not that goodwill was not impaired as of June 30, 2023. During the three and nine months ended September 30, 2023, there were no events or circumstances that would indicate that a potential impairment exists.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the carrying amount of goodwill was $12.9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estimated amortization expense, comprised entirely by the Company’s core deposit intangible asset, for the next five years and thereafter: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48"/>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of the core deposit intangible was $6.6 million as of September 30, 2023.</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Amortization expense recognized on the core deposit intangible was $0.2 million and $0.3 million for the three months ended September 30, 2023 and September 30, 2022, respectively, and $0.7 million and $0.8 million for the nine months ended September 30, 2023 and September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2"/>
          <w:szCs w:val="22"/>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Credit Investments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September 30, 2023, the Company's maximum exposure to loss is $67.0 million.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2023</w:t>
            </w:r>
          </w:p>
        </w:tc>
        <w:tc>
          <w:tcPr>
            <w:tcW w:w="26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8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Unconsolidated Variable Interest Entities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 investments included in equity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Loans and letters of credit commitments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60,857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portion of loans and letters of credit commitments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320" w:type="dxa"/>
            <w:vAlign w:val="bottom"/>
            <w:gridSpan w:val="4"/>
          </w:tcPr>
          <w:p>
            <w:pPr>
              <w:ind w:left="2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57"/>
        </w:trPr>
        <w:tc>
          <w:tcPr>
            <w:tcW w:w="5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 and other tax benefits recognized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2,390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8" w:name="page49"/>
    <w:bookmarkEnd w:id="48"/>
    <w:p>
      <w:pPr>
        <w:spacing w:after="0" w:line="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this discussion, unless the context indicates otherwise, references to “we,” “us,” “our” and the “Company” refer to Amalgamated Financial Corp. and Amalgamated Bank. References to the “Bank” refer to Amalgamated Bank.</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is a discussion of our consolidated financial condition as of September 30, 2023, as compared to December 31, 2022, and our results of operations for the three and nine month periods ended September 30, 2023 and September 30, 2022.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unaudited consolidated financial statements and related notes as well as the financial and statistical data appearing elsewhere in this report and our Annual Report on Form 10-K for the year ended December 31, 2022 (the “2022 Annual Report”), filed with the Securities and Exchange Commission on March 9, 2023. Historical results of operations and the percentage relationships among any amounts included, and any trends that may appear, may not indicate results of operations for any future periods.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 beginning on page ii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was formed on August 25, 2020 to serve as the holding company for the Bank, effective March 1, 2021 when the Company acquired the common stock of the Bank. 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42% of our equity as of September 30, 2023. As of September 30, 2023, our total assets were $7.91 billion, our total loans, net of deferred fees and allowance were $4.30 billion, our total deposits were $6.99 billion, and our stockholders' equity was $546.3 million. As of September 30, 2023, our trust business held $39.60 billion in assets under custody and $13.90 billion in assets under management.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Our product line includes residential mortgage loans, commercial and industrial ("C&amp;I") loans, commercial real estate ("CRE") loans, multifamily mortgages, consumer loans (predominantly consumer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as well as the members and stakeholders of these commercial customers. In 2021, we introduced ResponsiFunds which are Environmental, Social and Governance ("ESG") impact products designed to align our clients' investment growth goals with their organizational values.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goal is to be the go-to financial partner for people and organizations who strive to make a meaningful impact in our society and who care about their communities, the environment, and social justice. The growth of our business is fundamental to our social mission and how we deliver impact and value for our stakeholders. The Company has obtained B Corporation</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certification, a distinction earned after being evaluated under rigorous standards of social and environmental performance, accountability, and transparency. The Company is also the largest of twelve commercial financial institutions in the United States that are members of the Global Alliance for Banking on Values ("GABV"), a network of banking leaders from around the world committed to advancing positive change in the banking sector. Earlier this year, the Company hosted the annual GABV conference in New York alongside its centennial celebrations. Along with fellow GABV members, the Company has worked to launch the Partnership for Carbon Accounting Financials (“PCAF”). This is the third year the Company has reported its financed emissions across its portfolio of loans, investments and assets under management through PCAF. The Company was the first U.S. bank to set full portfolio targets under the guidelines of the UN Net Zero Banking Alliance. The Company has targets verified by the Science-Based Targets Initiative, with a goal to achieve net-zero emissions across all of its activities by 2045.</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2023, the failures of Santa Clara, California-based Silicon Valley Bank (“SIVB”) and New York, New York-based Signature Bank have generated concerns regarding the overall health and liquidity of the banking sector. SIVB was placed into receivership on March 10, 2023, and Signature Bank was placed into receivership on March 12, 2023, with the Federal Deposit Insurance Corporation ("FDIC") being appointed receiver for both failed banks. On March 12, 2023, the Board of Governors of the Federal Reserve System, Department of Treasury and the FDIC issued a joint statement concerning actions they had taken in response to the SIVB and Signature Bank failures. The Federal Reserve Board announced that it would make available additional funding to eligible depository institutions through the creation of a new Bank Term Funding Program. Subsequently, on May 1, 2023, First Republic Bank was also placed into FDIC receivership. These failures represented the second, third, and fourth largest bank failures in U.S. history. As a result, there is increased scrutiny on the banking industry, particularly in the area of liquidity monitoring. In response, we have taken numerous precautionary actions to monitor and limit liquidity risk, including increased deposit monitoring and reporting, proactive customer outreach, increased pledging of loans and securities to the Federal Home Loan Bank of New York ("FHLBNY") and increased pledging of securities at the Federal Reserve Bank discount window to increase our borrowing capacity, pledging of securities to the Bank Term Funding Program, increased issuance of brokered certificates of deposit, and increasing our target cash balances.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and Significant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financial statements are prepared based on the application of accounting policies generally accepted in the United States, or GAAP, and conform to general practices within the banking industry. Our significant accounting policies are more fully described in Note 1 of our audited consolidated financial statements included in our 2022 Annual Report. The allowance for credit losses is a critical accounting policy, which has changed due to the adoption of ASU 2016-13 effective January 1, 2023. Our Current Expected Credit Losses ("CECL") policy is described under “Recently Adopted Accounting Standards” in Note 1 to the Consolidated Financial Statements in Item 1 of this Form 10-Q, in addition to our accounting policy related to treasury stock.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Apart from the aforementioned additions, there have been no other significant changes to our significant accounting policies, or the estimates made pursuant to those policies as described in our 2022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Regarding the Allowance for Credit Loss Estimate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Estimating the timing and amounts of future losses is subject to significant management judgment as these projected cash flows rely upon the estimates discussed within the CECL policy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 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Financial Condition and Results of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w:t>
      </w:r>
    </w:p>
    <w:p>
      <w:pPr>
        <w:sectPr>
          <w:pgSz w:w="11900" w:h="16838" w:orient="portrait"/>
          <w:cols w:equalWidth="0" w:num="1">
            <w:col w:w="11240"/>
          </w:cols>
          <w:pgMar w:left="320" w:top="1440"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t>charges to earnings and would materially decrease our net income. We may experience significant credit losses if borrowers experience financial difficulties, which could have a material adverse effect on our operating results. 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Effective in 2023 and onward</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7, 2021, the FASB has issued Accounting Standards Update No. 2021-01, Reference Rate Reform (Topic 848): Scope. The new guidance amends the scope of ASU 2020-04, Facilitation of the Effects of Reference Rate Reform on Financial Reporting, which was aimed at easing the potential accounting burden expected when global capital markets move away from the London Interbank Offered Rate ("LIBOR") (the benchmark interest rate banks use to make short-term loans to each other) and provided temporary, optional expedients and exceptions for applying accounting guidance to contract modifications and hedging relationships, subject to meeting certain criteria, that reference LIBOR or another reference rate expected to be discontinued. As the majority of our securities tied to LIBOR transitioned to the Secured Overnight Financing Rate ("SOFR") or were paid off before the transition date and given that we did not have a substantial amount of commercial loans or any derivative transactions tied to LIBOR, the Adoption of ASU 2021-01 is not expected to have a material impact on our operating results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income for the third quarter of 2023 was $22.3 million, or $0.73 per diluted share, compared to $22.9 million, or $0.74 per diluted share, for the third quarter of 2022. The $0.6 million decrease was primarily due to an increase in interest expense of $24.3 million primarily related to deposits, a $1.0 million increase in non-interest expense, and a $0.7 million increase in income tax expense, offset by $11.3 million increase in interest income on loans, an $8.4 million increase in interest income on securities, a $3.4 million decrease in the provision for credit losses, and a $1.8 million increase in non-interest income.</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income for the nine months ended September 30, 2023 was $65.3 million, or $2.12 per diluted share, compared to $56.7 million, or $1.82 per diluted share, for the same period in 2022. The $8.6 million increase was primarily due to a $82.2 million increase in interest income, offset by a $60.6 million increase in interest expense, a $8.5 million increase in non-interest expense, a $4.3 million increase in income tax expense.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FHLBNY advances, federal funds purchased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interest-earning assets. Because non-interest-bearing sources of funds, such as non-interest-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bearing deposits and stockholders’ equity, also fund interest-earning assets, net interest margin includes the benefit of these non-interest-bearing sources.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2022</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related to our average balance sheet, average yields on assets, and average costs of liabilities for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90"/>
              </w:rPr>
              <w:t>Three Months Ended</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7"/>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89"/>
              </w:rPr>
              <w:t>September 30, 2023</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8"/>
                <w:szCs w:val="18"/>
                <w:b w:val="1"/>
                <w:bCs w:val="1"/>
                <w:color w:val="auto"/>
                <w:w w:val="90"/>
              </w:rPr>
              <w:t>September 30, 2022</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w:t>
            </w:r>
          </w:p>
        </w:tc>
        <w:tc>
          <w:tcPr>
            <w:tcW w:w="900" w:type="dxa"/>
            <w:vAlign w:val="bottom"/>
          </w:tcPr>
          <w:p>
            <w:pPr>
              <w:jc w:val="center"/>
              <w:ind w:right="171"/>
              <w:spacing w:after="0"/>
              <w:rPr>
                <w:sz w:val="20"/>
                <w:szCs w:val="20"/>
                <w:color w:val="auto"/>
              </w:rPr>
            </w:pPr>
            <w:r>
              <w:rPr>
                <w:rFonts w:ascii="Arial" w:cs="Arial" w:eastAsia="Arial" w:hAnsi="Arial"/>
                <w:sz w:val="18"/>
                <w:szCs w:val="18"/>
                <w:b w:val="1"/>
                <w:bCs w:val="1"/>
                <w:color w:val="auto"/>
                <w:w w:val="90"/>
              </w:rPr>
              <w:t>Yield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Income /</w:t>
            </w:r>
          </w:p>
        </w:tc>
        <w:tc>
          <w:tcPr>
            <w:tcW w:w="900" w:type="dxa"/>
            <w:vAlign w:val="bottom"/>
          </w:tcPr>
          <w:p>
            <w:pPr>
              <w:jc w:val="right"/>
              <w:ind w:right="251"/>
              <w:spacing w:after="0"/>
              <w:rPr>
                <w:sz w:val="20"/>
                <w:szCs w:val="20"/>
                <w:color w:val="auto"/>
              </w:rPr>
            </w:pPr>
            <w:r>
              <w:rPr>
                <w:rFonts w:ascii="Arial" w:cs="Arial" w:eastAsia="Arial" w:hAnsi="Arial"/>
                <w:sz w:val="18"/>
                <w:szCs w:val="18"/>
                <w:b w:val="1"/>
                <w:bCs w:val="1"/>
                <w:color w:val="auto"/>
              </w:rPr>
              <w:t>Yield /</w:t>
            </w:r>
          </w:p>
        </w:tc>
        <w:tc>
          <w:tcPr>
            <w:tcW w:w="0" w:type="dxa"/>
            <w:vAlign w:val="bottom"/>
          </w:tcPr>
          <w:p>
            <w:pPr>
              <w:spacing w:after="0"/>
              <w:rPr>
                <w:sz w:val="1"/>
                <w:szCs w:val="1"/>
                <w:color w:val="auto"/>
              </w:rPr>
            </w:pPr>
          </w:p>
        </w:tc>
      </w:tr>
      <w:tr>
        <w:trPr>
          <w:trHeight w:val="189"/>
        </w:trPr>
        <w:tc>
          <w:tcPr>
            <w:tcW w:w="3900" w:type="dxa"/>
            <w:vAlign w:val="bottom"/>
            <w:vMerge w:val="restart"/>
          </w:tcPr>
          <w:p>
            <w:pPr>
              <w:ind w:left="160"/>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16"/>
                <w:szCs w:val="16"/>
                <w:color w:val="auto"/>
              </w:rPr>
            </w:pPr>
          </w:p>
        </w:tc>
        <w:tc>
          <w:tcPr>
            <w:tcW w:w="84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5"/>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Expense</w:t>
            </w:r>
          </w:p>
        </w:tc>
        <w:tc>
          <w:tcPr>
            <w:tcW w:w="1140" w:type="dxa"/>
            <w:vAlign w:val="bottom"/>
            <w:gridSpan w:val="2"/>
          </w:tcPr>
          <w:p>
            <w:pPr>
              <w:jc w:val="center"/>
              <w:ind w:right="500"/>
              <w:spacing w:after="0" w:line="189" w:lineRule="exact"/>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16"/>
                <w:szCs w:val="16"/>
                <w:color w:val="auto"/>
              </w:rPr>
            </w:pPr>
          </w:p>
        </w:tc>
        <w:tc>
          <w:tcPr>
            <w:tcW w:w="84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5"/>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Expense</w:t>
            </w:r>
          </w:p>
        </w:tc>
        <w:tc>
          <w:tcPr>
            <w:tcW w:w="900" w:type="dxa"/>
            <w:vAlign w:val="bottom"/>
          </w:tcPr>
          <w:p>
            <w:pPr>
              <w:jc w:val="right"/>
              <w:ind w:right="311"/>
              <w:spacing w:after="0" w:line="189" w:lineRule="exact"/>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222,071</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Arial" w:cs="Arial" w:eastAsia="Arial" w:hAnsi="Arial"/>
                <w:sz w:val="18"/>
                <w:szCs w:val="18"/>
                <w:color w:val="auto"/>
              </w:rPr>
              <w:t>Securities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3,208,334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39,971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3,522,863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Resell agreements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Total loans, net </w:t>
            </w:r>
            <w:r>
              <w:rPr>
                <w:rFonts w:ascii="Arial" w:cs="Arial" w:eastAsia="Arial" w:hAnsi="Arial"/>
                <w:sz w:val="23"/>
                <w:szCs w:val="23"/>
                <w:color w:val="auto"/>
                <w:vertAlign w:val="superscript"/>
              </w:rPr>
              <w:t>(2)(3)</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4,314,767</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3,732,976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7,693,931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7,710,866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29"/>
        </w:trPr>
        <w:tc>
          <w:tcPr>
            <w:tcW w:w="3900" w:type="dxa"/>
            <w:vAlign w:val="bottom"/>
          </w:tcPr>
          <w:p>
            <w:pPr>
              <w:ind w:left="160"/>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204,506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226,448</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7,904,566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7,942,097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Savings, NOW and money market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3,446,027</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3,031,402</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0.30 %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Brokered CDs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371,329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3,993,527</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3,215,878</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0" w:type="dxa"/>
            <w:vAlign w:val="bottom"/>
          </w:tcPr>
          <w:p>
            <w:pPr>
              <w:spacing w:after="0"/>
              <w:rPr>
                <w:sz w:val="1"/>
                <w:szCs w:val="1"/>
                <w:color w:val="auto"/>
              </w:rPr>
            </w:pPr>
          </w:p>
        </w:tc>
      </w:tr>
      <w:tr>
        <w:trPr>
          <w:trHeight w:val="229"/>
        </w:trPr>
        <w:tc>
          <w:tcPr>
            <w:tcW w:w="3900" w:type="dxa"/>
            <w:vAlign w:val="bottom"/>
          </w:tcPr>
          <w:p>
            <w:pPr>
              <w:ind w:left="160"/>
              <w:spacing w:after="0"/>
              <w:rPr>
                <w:sz w:val="20"/>
                <w:szCs w:val="20"/>
                <w:color w:val="auto"/>
              </w:rPr>
            </w:pPr>
            <w:r>
              <w:rPr>
                <w:rFonts w:ascii="Arial" w:cs="Arial" w:eastAsia="Arial" w:hAnsi="Arial"/>
                <w:sz w:val="18"/>
                <w:szCs w:val="18"/>
                <w:color w:val="auto"/>
              </w:rPr>
              <w:t>FHLBNY advances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5.23 %</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302,051</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borrowings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376,585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4,370,112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3,301,201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2,920,737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4,053,953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74,964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7,365,813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7,430,297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538,753</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511,800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7,904,566</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7,942,097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8"/>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3,323,819</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3.29 %</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4,409,665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6"/>
                <w:szCs w:val="16"/>
                <w:color w:val="auto"/>
              </w:rPr>
              <w:t>Total deposits / total cost of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6,914,264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1.33 %</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7,269,831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0.14 %</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funding / total cost of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7,290,849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7,355,154</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Includes FHLBNY stock in the average balance, and dividend income on FHLBNY stock in interest income</w:t>
      </w:r>
    </w:p>
    <w:p>
      <w:pPr>
        <w:spacing w:after="0" w:line="5" w:lineRule="exact"/>
        <w:rPr>
          <w:rFonts w:ascii="Arial" w:cs="Arial" w:eastAsia="Arial" w:hAnsi="Arial"/>
          <w:sz w:val="16"/>
          <w:szCs w:val="16"/>
          <w:color w:val="auto"/>
          <w:vertAlign w:val="superscript"/>
        </w:rPr>
      </w:pPr>
    </w:p>
    <w:p>
      <w:pPr>
        <w:ind w:right="140" w:firstLine="8"/>
        <w:spacing w:after="0" w:line="251" w:lineRule="auto"/>
        <w:tabs>
          <w:tab w:leader="none" w:pos="145"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Amounts are net of deferred origination costs. With the adoption of the CECL standard on January 1, 2023, the average balance of the allowance for credit losses on loans was reclassified for all presented periods to other assets to allow for comparability.</w:t>
      </w:r>
    </w:p>
    <w:p>
      <w:pPr>
        <w:ind w:left="140" w:hanging="132"/>
        <w:spacing w:after="0"/>
        <w:tabs>
          <w:tab w:leader="none" w:pos="1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prepayment penalty income in 3Q2023 and 3Q2022 of $0 and $800 thousand, respectively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8"/>
          <w:szCs w:val="18"/>
          <w:color w:val="auto"/>
        </w:rPr>
        <w:t>Net interest income was $63.7 million for the third quarter of 2023, compared to $67.6 million for the third quarter of 2022. The $3.9 million, or 5.8%, decrease from the third quarter of 2022 was primarily attributable to higher average balances and costs on interest-bearing liabilities, partially offset by higher yields on interest-earning assets.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net interest spread was 2.20% for the three months ended September 30, 2023, compared to 3.26% for the same period in 2022, a decrease of 106 basis points. Our net interest margin was 3.29% for the third quarter of 2023, a decrease of 19 basis points from 3.48% in the third quarter of 2022. No prepayment penalties were earned in loan income in the third quarter of 2023, compared to a four basis point contribution to net interest margin in the third quarter of 2022.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yield on average earning assets was 4.70% for the three months ended September 30, 2023, compared to 3.64% for the same period in 2022, an increase of 106 basis points. This increase was driven primarily by the rising rate environment.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rate on interest-bearing liabilities was 2.50% for the three months ended September 30, 2023, an increase of 212 basis points from the same period in 2022, which was primarily due to the rising rate environment that led to an increase in interest expense paid for deposits, as well as the utilization of brokered CDs and other borrowings. Non-interest-bearing deposits represented 42% of average deposits for the three months ended September 30, 2023, compared to 56% for the three months ended September 30,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Nine Months Ended September 30, 2023 and 2022</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information related to our average balance sheet, average yields on assets, and average costs of liabilities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Arial" w:cs="Arial" w:eastAsia="Arial" w:hAnsi="Arial"/>
                <w:sz w:val="18"/>
                <w:szCs w:val="18"/>
                <w:b w:val="1"/>
                <w:bCs w:val="1"/>
                <w:color w:val="auto"/>
                <w:w w:val="95"/>
              </w:rPr>
              <w:t>Nine Months Ended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Nine Months Ended</w:t>
            </w:r>
          </w:p>
        </w:tc>
        <w:tc>
          <w:tcPr>
            <w:tcW w:w="920" w:type="dxa"/>
            <w:vAlign w:val="bottom"/>
          </w:tcPr>
          <w:p>
            <w:pPr>
              <w:spacing w:after="0"/>
              <w:rPr>
                <w:sz w:val="17"/>
                <w:szCs w:val="17"/>
                <w:color w:val="auto"/>
              </w:rPr>
            </w:pPr>
          </w:p>
        </w:tc>
      </w:tr>
      <w:tr>
        <w:trPr>
          <w:trHeight w:val="239"/>
        </w:trPr>
        <w:tc>
          <w:tcPr>
            <w:tcW w:w="3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3"/>
              </w:rPr>
              <w:t>September 30, 2023</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3"/>
              </w:rPr>
              <w:t>September 30, 2022</w:t>
            </w:r>
          </w:p>
        </w:tc>
        <w:tc>
          <w:tcPr>
            <w:tcW w:w="920" w:type="dxa"/>
            <w:vAlign w:val="bottom"/>
            <w:tcBorders>
              <w:bottom w:val="single" w:sz="8" w:color="auto"/>
            </w:tcBorders>
          </w:tcPr>
          <w:p>
            <w:pPr>
              <w:spacing w:after="0"/>
              <w:rPr>
                <w:sz w:val="20"/>
                <w:szCs w:val="20"/>
                <w:color w:val="auto"/>
              </w:rPr>
            </w:pPr>
          </w:p>
        </w:tc>
      </w:tr>
      <w:tr>
        <w:trPr>
          <w:trHeight w:val="227"/>
        </w:trPr>
        <w:tc>
          <w:tcPr>
            <w:tcW w:w="3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Average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w:t>
            </w:r>
          </w:p>
        </w:tc>
        <w:tc>
          <w:tcPr>
            <w:tcW w:w="920" w:type="dxa"/>
            <w:vAlign w:val="bottom"/>
          </w:tcPr>
          <w:p>
            <w:pPr>
              <w:jc w:val="center"/>
              <w:ind w:right="171"/>
              <w:spacing w:after="0"/>
              <w:rPr>
                <w:sz w:val="20"/>
                <w:szCs w:val="20"/>
                <w:color w:val="auto"/>
              </w:rPr>
            </w:pPr>
            <w:r>
              <w:rPr>
                <w:rFonts w:ascii="Arial" w:cs="Arial" w:eastAsia="Arial" w:hAnsi="Arial"/>
                <w:sz w:val="18"/>
                <w:szCs w:val="18"/>
                <w:b w:val="1"/>
                <w:bCs w:val="1"/>
                <w:color w:val="auto"/>
                <w:w w:val="94"/>
              </w:rPr>
              <w:t>Yield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w:t>
            </w:r>
          </w:p>
        </w:tc>
        <w:tc>
          <w:tcPr>
            <w:tcW w:w="920" w:type="dxa"/>
            <w:vAlign w:val="bottom"/>
          </w:tcPr>
          <w:p>
            <w:pPr>
              <w:jc w:val="right"/>
              <w:ind w:right="251"/>
              <w:spacing w:after="0"/>
              <w:rPr>
                <w:sz w:val="20"/>
                <w:szCs w:val="20"/>
                <w:color w:val="auto"/>
              </w:rPr>
            </w:pPr>
            <w:r>
              <w:rPr>
                <w:rFonts w:ascii="Arial" w:cs="Arial" w:eastAsia="Arial" w:hAnsi="Arial"/>
                <w:sz w:val="18"/>
                <w:szCs w:val="18"/>
                <w:b w:val="1"/>
                <w:bCs w:val="1"/>
                <w:color w:val="auto"/>
              </w:rPr>
              <w:t>Yield /</w:t>
            </w:r>
          </w:p>
        </w:tc>
      </w:tr>
      <w:tr>
        <w:trPr>
          <w:trHeight w:val="189"/>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5"/>
              </w:rPr>
              <w:t>Balance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ind w:left="40"/>
              <w:spacing w:after="0" w:line="189" w:lineRule="exact"/>
              <w:rPr>
                <w:sz w:val="20"/>
                <w:szCs w:val="20"/>
                <w:color w:val="auto"/>
              </w:rPr>
            </w:pPr>
            <w:r>
              <w:rPr>
                <w:rFonts w:ascii="Arial" w:cs="Arial" w:eastAsia="Arial" w:hAnsi="Arial"/>
                <w:sz w:val="18"/>
                <w:szCs w:val="18"/>
                <w:b w:val="1"/>
                <w:bCs w:val="1"/>
                <w:color w:val="auto"/>
              </w:rPr>
              <w:t>Expense</w:t>
            </w:r>
          </w:p>
        </w:tc>
        <w:tc>
          <w:tcPr>
            <w:tcW w:w="1140" w:type="dxa"/>
            <w:vAlign w:val="bottom"/>
            <w:gridSpan w:val="2"/>
          </w:tcPr>
          <w:p>
            <w:pPr>
              <w:jc w:val="center"/>
              <w:ind w:right="460"/>
              <w:spacing w:after="0" w:line="189" w:lineRule="exact"/>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16"/>
                <w:szCs w:val="16"/>
                <w:color w:val="auto"/>
              </w:rPr>
            </w:pPr>
          </w:p>
        </w:tc>
        <w:tc>
          <w:tcPr>
            <w:tcW w:w="84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5"/>
              </w:rPr>
              <w:t>Balance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Expense</w:t>
            </w:r>
          </w:p>
        </w:tc>
        <w:tc>
          <w:tcPr>
            <w:tcW w:w="920" w:type="dxa"/>
            <w:vAlign w:val="bottom"/>
          </w:tcPr>
          <w:p>
            <w:pPr>
              <w:jc w:val="right"/>
              <w:ind w:right="311"/>
              <w:spacing w:after="0" w:line="189" w:lineRule="exact"/>
              <w:rPr>
                <w:sz w:val="20"/>
                <w:szCs w:val="20"/>
                <w:color w:val="auto"/>
              </w:rPr>
            </w:pPr>
            <w:r>
              <w:rPr>
                <w:rFonts w:ascii="Arial" w:cs="Arial" w:eastAsia="Arial" w:hAnsi="Arial"/>
                <w:sz w:val="18"/>
                <w:szCs w:val="18"/>
                <w:b w:val="1"/>
                <w:bCs w:val="1"/>
                <w:color w:val="auto"/>
              </w:rPr>
              <w:t>Rate</w:t>
            </w:r>
          </w:p>
        </w:tc>
      </w:tr>
      <w:tr>
        <w:trPr>
          <w:trHeight w:val="210"/>
        </w:trPr>
        <w:tc>
          <w:tcPr>
            <w:tcW w:w="3760" w:type="dxa"/>
            <w:vAlign w:val="bottom"/>
          </w:tcPr>
          <w:p>
            <w:pPr>
              <w:ind w:left="160"/>
              <w:spacing w:after="0"/>
              <w:rPr>
                <w:sz w:val="20"/>
                <w:szCs w:val="20"/>
                <w:color w:val="auto"/>
              </w:rPr>
            </w:pPr>
            <w:r>
              <w:rPr>
                <w:rFonts w:ascii="Arial" w:cs="Arial" w:eastAsia="Arial" w:hAnsi="Arial"/>
                <w:sz w:val="18"/>
                <w:szCs w:val="18"/>
                <w:color w:val="auto"/>
              </w:rPr>
              <w:t>Interest-earning assets:</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deposits in banks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125,560</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316,288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0.72 %</w:t>
            </w:r>
          </w:p>
        </w:tc>
      </w:tr>
      <w:tr>
        <w:trPr>
          <w:trHeight w:val="229"/>
        </w:trPr>
        <w:tc>
          <w:tcPr>
            <w:tcW w:w="3760" w:type="dxa"/>
            <w:vAlign w:val="bottom"/>
          </w:tcPr>
          <w:p>
            <w:pPr>
              <w:ind w:left="20"/>
              <w:spacing w:after="0" w:line="230" w:lineRule="exact"/>
              <w:rPr>
                <w:sz w:val="20"/>
                <w:szCs w:val="20"/>
                <w:color w:val="auto"/>
              </w:rPr>
            </w:pPr>
            <w:r>
              <w:rPr>
                <w:rFonts w:ascii="Arial" w:cs="Arial" w:eastAsia="Arial" w:hAnsi="Arial"/>
                <w:sz w:val="18"/>
                <w:szCs w:val="18"/>
                <w:color w:val="auto"/>
              </w:rPr>
              <w:t>Securities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3,276,065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118,557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4.84 %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3,387,707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Resell agreements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227,932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r>
      <w:tr>
        <w:trPr>
          <w:trHeight w:val="229"/>
        </w:trPr>
        <w:tc>
          <w:tcPr>
            <w:tcW w:w="3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Total loans, net </w:t>
            </w:r>
            <w:r>
              <w:rPr>
                <w:rFonts w:ascii="Arial" w:cs="Arial" w:eastAsia="Arial" w:hAnsi="Arial"/>
                <w:sz w:val="23"/>
                <w:szCs w:val="23"/>
                <w:color w:val="auto"/>
                <w:vertAlign w:val="superscript"/>
              </w:rPr>
              <w:t>(2)(3)</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4,216,391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3,493,405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3.95 %</w:t>
            </w:r>
          </w:p>
        </w:tc>
      </w:tr>
      <w:tr>
        <w:trPr>
          <w:trHeight w:val="223"/>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7,626,019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7,425,332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r>
      <w:tr>
        <w:trPr>
          <w:trHeight w:val="229"/>
        </w:trPr>
        <w:tc>
          <w:tcPr>
            <w:tcW w:w="3760" w:type="dxa"/>
            <w:vAlign w:val="bottom"/>
          </w:tcPr>
          <w:p>
            <w:pPr>
              <w:ind w:left="160"/>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210,112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267,315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7,841,198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7,700,399</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Savings, NOW and money market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3,248,278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1.65 %</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2,986,588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0.22 %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161,756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191,944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Brokered CDs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383,521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23"/>
        </w:trPr>
        <w:tc>
          <w:tcPr>
            <w:tcW w:w="3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3,793,555</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3,178,532</w:t>
            </w: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FHLBNY advances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143,873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4.98 %</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r>
      <w:tr>
        <w:trPr>
          <w:trHeight w:val="223"/>
        </w:trPr>
        <w:tc>
          <w:tcPr>
            <w:tcW w:w="3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borrowings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365,262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84,604</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3.28 %</w:t>
            </w:r>
          </w:p>
        </w:tc>
      </w:tr>
      <w:tr>
        <w:trPr>
          <w:trHeight w:val="223"/>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4,158,817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3,263,136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r>
      <w:tr>
        <w:trPr>
          <w:trHeight w:val="230"/>
        </w:trPr>
        <w:tc>
          <w:tcPr>
            <w:tcW w:w="3760" w:type="dxa"/>
            <w:vAlign w:val="bottom"/>
          </w:tcPr>
          <w:p>
            <w:pPr>
              <w:ind w:left="160"/>
              <w:spacing w:after="0"/>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Demand and transaction deposits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3,086,482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3,821,571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23"/>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7,318,120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7,170,703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523,078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529,696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r>
      <w:tr>
        <w:trPr>
          <w:trHeight w:val="248"/>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7,841,198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7,700,399</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17"/>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 interest rate spread</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23"/>
        </w:trPr>
        <w:tc>
          <w:tcPr>
            <w:tcW w:w="3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w w:val="94"/>
              </w:rPr>
              <w:t>Net interest-earning assets / net interest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3,467,202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3.40 %</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4,162,196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3.11 %</w:t>
            </w:r>
          </w:p>
        </w:tc>
      </w:tr>
      <w:tr>
        <w:trPr>
          <w:trHeight w:val="250"/>
        </w:trPr>
        <w:tc>
          <w:tcPr>
            <w:tcW w:w="3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Total deposits / total cost of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6,880,037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1.08 %</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7,000,103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0.10 %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funding / total cost of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7,245,299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7,084,707</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0.14 %</w:t>
            </w:r>
          </w:p>
        </w:tc>
      </w:tr>
    </w:tbl>
    <w:p>
      <w:pPr>
        <w:spacing w:after="0" w:line="7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FHLBNY stock in the average balance, and dividend income on FHLBNY stock in interest income.</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Amounts are net of deferred origination costs. With the adoption of the CECL standard on January 1, 2023, the average balance of the allowance for credit losses on loans was reclassified for</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all presented periods to other assets to allow for comparability.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(3) Includes prepayment penalty interest income in September YTD 2023 and September YTD 2022 of $0 million and $1.6 million, respectively</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5" w:right="419" w:bottom="1440" w:gutter="0" w:footer="0" w:header="0"/>
        </w:sectPr>
      </w:pPr>
    </w:p>
    <w:bookmarkStart w:id="54" w:name="page55"/>
    <w:bookmarkEnd w:id="54"/>
    <w:p>
      <w:pPr>
        <w:jc w:val="both"/>
        <w:ind w:right="160"/>
        <w:spacing w:after="0" w:line="263" w:lineRule="auto"/>
        <w:rPr>
          <w:sz w:val="20"/>
          <w:szCs w:val="20"/>
          <w:color w:val="auto"/>
        </w:rPr>
      </w:pPr>
      <w:r>
        <w:rPr>
          <w:rFonts w:ascii="Arial" w:cs="Arial" w:eastAsia="Arial" w:hAnsi="Arial"/>
          <w:sz w:val="18"/>
          <w:szCs w:val="18"/>
          <w:color w:val="auto"/>
        </w:rPr>
        <w:t>Net interest income was $194.0 million for the nine months ended September 30, 2023, compared to $172.5 million for the same period in 2022. The year-over-year increase of $21.5 million, or 12.5%, was primarily attributable to higher yields and average balances on interest-earning assets, partially offset by higher costs and average balances on interest-bearing liabilities.</w:t>
      </w:r>
    </w:p>
    <w:p>
      <w:pPr>
        <w:spacing w:after="0" w:line="21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net interest spread was 2.41% for the nine months ended September 30, 2023, compared to 2.93% for the same period in 2022, a decrease of 52 basis points. Our net interest margin was 3.40% for the nine months ended September 30, 2023, an increase of 29 basis points from 3.11% in the same period of 2022. No prepayment penalties were earned in loan income in the nine months ended September 30, 2023, compared to a 3 basis point contribution to net interest margin in the same period of 2022.</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yield on average earning assets was 4.60% for the nine months ended September 30, 2023, compared to 3.24% for the same period in 2022, an increase of 136 basis points. This increase was driven primarily by the rising rate environment.</w:t>
      </w:r>
    </w:p>
    <w:p>
      <w:pPr>
        <w:spacing w:after="0" w:line="19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 average rate on interest-bearing liabilities was 2.19% for the nine months ended September 30, 2023, an increase of 188 basis points from the same period in 2022, which was primarily due to the increase in interest expense on borrowings with the increase in the average balance other borrowings, brokered CDs utilization, and the rising rate environment that led to an increase in interest expense paid for deposits. Non-interest-bearing deposits represented 45% of average deposits for the nine months ended September 30, 2023, compared to 55% for the nine months ended September 30, 2022.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1"/>
              </w:rPr>
              <w:t>Nine Months Ended</w:t>
            </w:r>
          </w:p>
        </w:tc>
        <w:tc>
          <w:tcPr>
            <w:tcW w:w="760" w:type="dxa"/>
            <w:vAlign w:val="bottom"/>
          </w:tcPr>
          <w:p>
            <w:pPr>
              <w:spacing w:after="0"/>
              <w:rPr>
                <w:sz w:val="18"/>
                <w:szCs w:val="18"/>
                <w:color w:val="auto"/>
              </w:rPr>
            </w:pPr>
          </w:p>
        </w:tc>
      </w:tr>
      <w:tr>
        <w:trPr>
          <w:trHeight w:val="239"/>
        </w:trPr>
        <w:tc>
          <w:tcPr>
            <w:tcW w:w="3900" w:type="dxa"/>
            <w:vAlign w:val="bottom"/>
          </w:tcPr>
          <w:p>
            <w:pPr>
              <w:spacing w:after="0"/>
              <w:rPr>
                <w:sz w:val="20"/>
                <w:szCs w:val="20"/>
                <w:color w:val="auto"/>
              </w:rPr>
            </w:pPr>
          </w:p>
        </w:tc>
        <w:tc>
          <w:tcPr>
            <w:tcW w:w="38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9"/>
              </w:rPr>
              <w:t>September 30, 2023 over September 30, 2022</w:t>
            </w:r>
          </w:p>
        </w:tc>
        <w:tc>
          <w:tcPr>
            <w:tcW w:w="348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September 30, 2023 over September 30, 2022</w:t>
            </w:r>
          </w:p>
        </w:tc>
      </w:tr>
      <w:tr>
        <w:trPr>
          <w:trHeight w:val="173"/>
        </w:trPr>
        <w:tc>
          <w:tcPr>
            <w:tcW w:w="39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center"/>
              <w:ind w:right="140"/>
              <w:spacing w:after="0" w:line="173" w:lineRule="exact"/>
              <w:rPr>
                <w:sz w:val="20"/>
                <w:szCs w:val="20"/>
                <w:color w:val="auto"/>
              </w:rPr>
            </w:pPr>
            <w:r>
              <w:rPr>
                <w:rFonts w:ascii="Arial" w:cs="Arial" w:eastAsia="Arial" w:hAnsi="Arial"/>
                <w:sz w:val="18"/>
                <w:szCs w:val="18"/>
                <w:b w:val="1"/>
                <w:bCs w:val="1"/>
                <w:color w:val="auto"/>
                <w:w w:val="88"/>
              </w:rPr>
              <w:t>Changes Due</w:t>
            </w:r>
          </w:p>
        </w:tc>
        <w:tc>
          <w:tcPr>
            <w:tcW w:w="3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center"/>
              <w:ind w:right="120"/>
              <w:spacing w:after="0" w:line="173" w:lineRule="exact"/>
              <w:rPr>
                <w:sz w:val="20"/>
                <w:szCs w:val="20"/>
                <w:color w:val="auto"/>
              </w:rPr>
            </w:pPr>
            <w:r>
              <w:rPr>
                <w:rFonts w:ascii="Arial" w:cs="Arial" w:eastAsia="Arial" w:hAnsi="Arial"/>
                <w:sz w:val="18"/>
                <w:szCs w:val="18"/>
                <w:b w:val="1"/>
                <w:bCs w:val="1"/>
                <w:color w:val="auto"/>
                <w:w w:val="86"/>
              </w:rPr>
              <w:t>Changes Due</w:t>
            </w: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1"/>
              </w:rPr>
              <w:t>To</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To</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Volume</w:t>
            </w:r>
          </w:p>
        </w:tc>
        <w:tc>
          <w:tcPr>
            <w:tcW w:w="2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Rate</w:t>
            </w: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rPr>
              <w:t>Net Change</w:t>
            </w:r>
          </w:p>
        </w:tc>
        <w:tc>
          <w:tcPr>
            <w:tcW w:w="18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Volume</w:t>
            </w:r>
          </w:p>
        </w:tc>
        <w:tc>
          <w:tcPr>
            <w:tcW w:w="240" w:type="dxa"/>
            <w:vAlign w:val="bottom"/>
          </w:tcPr>
          <w:p>
            <w:pPr>
              <w:spacing w:after="0"/>
              <w:rPr>
                <w:sz w:val="21"/>
                <w:szCs w:val="21"/>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Rate</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Net Change</w:t>
            </w:r>
          </w:p>
        </w:tc>
      </w:tr>
      <w:tr>
        <w:trPr>
          <w:trHeight w:val="210"/>
        </w:trPr>
        <w:tc>
          <w:tcPr>
            <w:tcW w:w="3900" w:type="dxa"/>
            <w:vAlign w:val="bottom"/>
          </w:tcPr>
          <w:p>
            <w:pPr>
              <w:ind w:left="160"/>
              <w:spacing w:after="0"/>
              <w:rPr>
                <w:sz w:val="20"/>
                <w:szCs w:val="20"/>
                <w:color w:val="auto"/>
              </w:rPr>
            </w:pPr>
            <w:r>
              <w:rPr>
                <w:rFonts w:ascii="Arial" w:cs="Arial" w:eastAsia="Arial" w:hAnsi="Arial"/>
                <w:sz w:val="18"/>
                <w:szCs w:val="18"/>
                <w:color w:val="auto"/>
              </w:rPr>
              <w:t>Interest-earning 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deposits in banks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Securities and FHLBNY stock</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10,236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47,080</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Resell Agreements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loans, net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36,587</w:t>
            </w:r>
          </w:p>
        </w:tc>
      </w:tr>
      <w:tr>
        <w:trPr>
          <w:trHeight w:val="22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 income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20,421</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82,148</w:t>
            </w:r>
          </w:p>
        </w:tc>
      </w:tr>
      <w:tr>
        <w:trPr>
          <w:trHeight w:val="250"/>
        </w:trPr>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liabilities: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Savings, NOW and money market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14,828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35,102</w:t>
            </w: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Brokered CDs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13,769</w:t>
            </w:r>
          </w:p>
        </w:tc>
      </w:tr>
      <w:tr>
        <w:trPr>
          <w:trHeight w:val="223"/>
        </w:trPr>
        <w:tc>
          <w:tcPr>
            <w:tcW w:w="39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deposits</w:t>
            </w: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3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50,435</w:t>
            </w: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FHLBNY advances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5,330</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borrowings</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r>
      <w:tr>
        <w:trPr>
          <w:trHeight w:val="223"/>
        </w:trPr>
        <w:tc>
          <w:tcPr>
            <w:tcW w:w="3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borrowings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r>
      <w:tr>
        <w:trPr>
          <w:trHeight w:val="22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24,321</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60,650</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Change in net interest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21,498</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41"/>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8"/>
        </w:trPr>
        <w:tc>
          <w:tcPr>
            <w:tcW w:w="3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establish an allowance for credit losses through a provision for credit losses charged as an expense in our Consolidated Statements of Income. On January 1, 2023, we adopted the CECL standard for calculating the allowance for credit losses and the provision for credit losses. For further discussion of the adoption of and methodology under the CECL standard, refer to Note 1 to the Consolidated Financial Statements in Item 1 of this Form 10-Q.</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provision for credit losses totaled an expense of $2.0 million for the third quarter of 2023 compared to an expense of $5.4 million for the same period in 2022. The provision for credit losses on loans totaled $3.3 million, the provision for credit losses on securities totaled $18.0 thousand, and the provision for credit losses on off-balance sheet credit exposures was a release of reserves of $1.3 million. Overall, the expense in the third quarter of 2023 was primarily driven by portfolio growth, certain individual reserves, and $2.0 million of solar charge-offs, offset by improvements in macro-economic forecasts used in the CECL model and releases of reserves for lower unfunded exposures.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provision for credit losses totaled an expense of $10.9 million for the nine months ended September 30, 2023 compared to an expense of $10.6 million for the same period in 2022. The provision for credit losses on loans totaled $10.0 million, the provision for credit losses on securities totaled $83.0 thousand, and the provision for credit losses on off-balance sheet credit exposures was a release of reserves of $0.4 million. Overall, provision expense was primarily driven by portfolio growth, certain individual reserves, offset by improvements in macro-economic forecasts used in the CECL model and releases of reserves for lower unfunded exposures.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a further discussion of the allowance, see “</w:t>
      </w:r>
      <w:r>
        <w:rPr>
          <w:rFonts w:ascii="Arial" w:cs="Arial" w:eastAsia="Arial" w:hAnsi="Arial"/>
          <w:sz w:val="18"/>
          <w:szCs w:val="18"/>
          <w:i w:val="1"/>
          <w:iCs w:val="1"/>
          <w:color w:val="auto"/>
        </w:rPr>
        <w:t>Allowance for Credit Losses</w:t>
      </w:r>
      <w:r>
        <w:rPr>
          <w:rFonts w:ascii="Arial" w:cs="Arial" w:eastAsia="Arial" w:hAnsi="Arial"/>
          <w:sz w:val="18"/>
          <w:szCs w:val="18"/>
          <w:color w:val="auto"/>
        </w:rPr>
        <w: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income from equity method investments, and other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non-interest income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29"/>
        </w:trPr>
        <w:tc>
          <w:tcPr>
            <w:tcW w:w="5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Trust Department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3,872</w:t>
            </w:r>
          </w:p>
        </w:tc>
        <w:tc>
          <w:tcPr>
            <w:tcW w:w="3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10,842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Bank-owned life insurance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sale of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Gains (losses) on sale of loans,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48"/>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non-interest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2022</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Non-interest income was $6.8 million for the third quarter of 2023, compared to $5.0 million for the third quarter in 2022. The increase of $1.8 million in the third quarter of 2023 compared to the corresponding quarter in 2022, was primarily due to a $1.8 million increase in income from equity method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Trust Department fees consist of fees we receive in connection with our investment advisory and custodial management services of investment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Trust Department fees were $3.7 million in the third quarter of 2023, a decrease of $0.2 million, or 5.0%, from same period in 2022.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jc w:val="both"/>
        <w:spacing w:after="0" w:line="262" w:lineRule="auto"/>
        <w:rPr>
          <w:sz w:val="20"/>
          <w:szCs w:val="20"/>
          <w:color w:val="auto"/>
        </w:rPr>
      </w:pPr>
      <w:r>
        <w:rPr>
          <w:rFonts w:ascii="Arial" w:cs="Arial" w:eastAsia="Arial" w:hAnsi="Arial"/>
          <w:sz w:val="17"/>
          <w:szCs w:val="17"/>
          <w:color w:val="auto"/>
        </w:rPr>
        <w:t>Equity method investments income consists of income from solar tax equity investments. Due to the recognition of tax credits upon initial investment, income from these investments is volatile before achieving steady state. In the early stages of the investment, accelerated depreciation of the value of the investment creates net losses, after which steady state income is achieved, generally within four quarters of the initial investment. Equity method investments income was $0.6 million for the third quarter of 2023, compared to a loss of $1.2 million in the third quarter of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2022</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income was $19.9 million for the nine months ended September 30, 2023, compared to $19.7 million for the nine months ended September 30, 2022. The increase of $0.2 million was primarily due to a $2.7 million increase in income from equity investments, and an increase in other income of $0.5 million primarily attributed to increased gains on the repurchase of subordinated debt. This was partially offset by $2.8 million in increased losses on the sale of securities, $0.6 million of which relates to the loss on the sale of a portion of a SIVB Corporate bond, and the remainder as part of strategic sales in order to reinvest in higher yielding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Trust Department fees consist of fees we receive in connection with our investment advisory and custodial management services of investment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Trust Department fees were $11.6 million in the third quarter of 2023, an increase of $0.8 million, or 7.1%, from same period in 2022.</w:t>
      </w:r>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Equity method investments income consists of income from solar tax equity investments. Due to the recognition of tax credits upon initial investment, income from these investments is volatile before achieving steady state. In the early stages of the investment, accelerated depreciation of the value of the investment creates net losses, after which steady state income is achieved, generally within four quarters of the initial investment. Equity method investments income was $1.3 million in the nine months ended September 30, 2023, compared to a loss of $1.4 million for the same period in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expense includes compensation and employee benefits, occupancy and depreciation expense, professional fees (including legal, accounting and other professional services), data processing, office maintenance and depreciation, amortization of intangible assets, advertising and promotion, federal deposit insurance premiums, and other expenses. The following table presents non-interest expense for the periods indicated: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employee benefits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19,527</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Occupancy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10,378</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Data processing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13,660</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maintenance and depreciation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Federal deposit insurance premiums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r>
      <w:tr>
        <w:trPr>
          <w:trHeight w:val="223"/>
        </w:trPr>
        <w:tc>
          <w:tcPr>
            <w:tcW w:w="5400" w:type="dxa"/>
            <w:vAlign w:val="bottom"/>
          </w:tcPr>
          <w:p>
            <w:pPr>
              <w:ind w:left="300"/>
              <w:spacing w:after="0"/>
              <w:rPr>
                <w:sz w:val="20"/>
                <w:szCs w:val="20"/>
                <w:color w:val="auto"/>
              </w:rPr>
            </w:pPr>
            <w:r>
              <w:rPr>
                <w:rFonts w:ascii="Arial" w:cs="Arial" w:eastAsia="Arial" w:hAnsi="Arial"/>
                <w:sz w:val="18"/>
                <w:szCs w:val="18"/>
                <w:color w:val="auto"/>
              </w:rPr>
              <w:t>Total non-interest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36,258</w:t>
            </w:r>
          </w:p>
        </w:tc>
        <w:tc>
          <w:tcPr>
            <w:tcW w:w="4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105,001</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2022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expense for the third quarter of 2023 was $37.3 million, an increase of $1.0 million from the third quarter of 2022. The increase of $1.0 million from the third quarter of 2022 was primarily driven by a $1.8 million increase in compensation and benefits expense related to an expected increase in compensation due to increased headcount, offset by a decrease in professional fees of $1.0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2022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7" w:name="page58"/>
    <w:bookmarkEnd w:id="57"/>
    <w:p>
      <w:pPr>
        <w:jc w:val="both"/>
        <w:spacing w:after="0" w:line="249" w:lineRule="auto"/>
        <w:rPr>
          <w:sz w:val="20"/>
          <w:szCs w:val="20"/>
          <w:color w:val="auto"/>
        </w:rPr>
      </w:pPr>
      <w:r>
        <w:rPr>
          <w:rFonts w:ascii="Arial" w:cs="Arial" w:eastAsia="Arial" w:hAnsi="Arial"/>
          <w:sz w:val="18"/>
          <w:szCs w:val="18"/>
          <w:color w:val="auto"/>
        </w:rPr>
        <w:t>Non-interest expense for the nine months ended September 30, 2023 was $113.5 million, an increase of $8.5 million from $105.0 million for nine months ended September 30, 2022. The increase was driven by a $9.3 million increase in compensation and benefits expense related to an expected increase in compensation due to increased headcount, corporate incentive payments, and temporary personnel costs, offset by a decrease in professional fees of $1.5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2023 and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 provision for income tax expense of $8.8 million for the third quarter of 2023, compared to $8.1 million for the third quarter of 2022. Our effective tax rate for the third quarter of 2023 was 28.4%, compared to 26.0% for the third quarter of 2022, which reflects a higher effective tax rate for the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2023 and 2022</w:t>
      </w:r>
    </w:p>
    <w:p>
      <w:pPr>
        <w:spacing w:after="0" w:line="25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had a provision for income tax expense of $24.2 million for the nine months ended September 30, 2023, compared to $19.9 million for same period in 2022. Our effective tax rate for the nine months ended September 30, 2023 was 27.1%, compared to 25.9% for the same period in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total assets were $7.91 billion at September 30, 2023, compared to $7.84 billion at December 31, 2022. Notable changes within individual balance sheet line items include a $235.9 million increase in loans receivable, net, a $180.5 million decrease in investment securities, a $395.8 million increase in deposits, and a $345.6 million decrease in FHLB advances and other borrowings.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 portfolio according to written investment policies approved by our Board of Directors. Investments in our securities portfolio may change over time based on management’s objectives and market conditions.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or Property Assessed Clean Energy ("PACE") assessments, bonds,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securities portfolio consists of securities classified as available for sale and held-to-maturity. There were no trading securities in our investment portfolio at September 30, 2023 or at December 31, 2022. As of September 30, 2023, while the Company has the intent and ability to hold securities until maturity, if a strategic opportunity presents itself, the Company may sell available for sale securities in order to reposition into higher yielding loans and securities.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and December 31, 2022, we had available for sale securities of $1.49 billion and $1.81 billion,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At September 30, 2023, our held-to-maturity securities portfolio primarily consisted of PACE assessments, tax-exempt municipal securities, GSE commercial and residential certificates and other debt. We carry these securities at amortized cost. We had held-to-maturity securities of $1.68 billion at September 30, 2023, and $1.54 billion at December 31, 2022.</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the adoption of the CECL standard as of January 1, 2023, management measures expected credit losses on held-to-maturity debt securities on a collective basis by major security type. Accrued interest receivable on held-to-maturity debt securities totaled $18.7 million at September 30, 2023 and is excluded from the estimate of credit losses, as accrued interest receivable is reversed for securities placed on nonaccrual status. The allowance for credit losses for held-to-maturity securities at January 1, 2023 was $0.7 million. The provision for credit losses for held-to-maturity securities for the three months ended September 30, 2023 was $18.0 thousand, and $83.0 thousand for the nine months ended September 30, 2023.</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There was no allowance for credit losses for available for sale securities at January 1, 2023.</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interest receivable on available-for-sale debt securities totaled $9.4 million at September 30, 2023 and is excluded from the estimate of credit losses, as accrued interest receivable is reversed for securities placed on nonaccrual status.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spacing w:after="0" w:line="277" w:lineRule="auto"/>
        <w:rPr>
          <w:sz w:val="20"/>
          <w:szCs w:val="20"/>
          <w:color w:val="auto"/>
        </w:rPr>
      </w:pPr>
      <w:r>
        <w:rPr>
          <w:rFonts w:ascii="Arial" w:cs="Arial" w:eastAsia="Arial" w:hAnsi="Arial"/>
          <w:sz w:val="18"/>
          <w:szCs w:val="18"/>
          <w:color w:val="auto"/>
        </w:rPr>
        <w:t>The following table is a summary of our investment portfolio, using market value for available for sale securities and amortized cost excluding the allowance for credit losses for held-to-maturity securities, as of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4"/>
          </w:tcPr>
          <w:p>
            <w:pPr>
              <w:ind w:left="72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Pr>
          <w:p>
            <w:pPr>
              <w:spacing w:after="0"/>
              <w:rPr>
                <w:sz w:val="20"/>
                <w:szCs w:val="20"/>
                <w:color w:val="auto"/>
              </w:rPr>
            </w:pPr>
          </w:p>
        </w:tc>
        <w:tc>
          <w:tcPr>
            <w:tcW w:w="3300" w:type="dxa"/>
            <w:vAlign w:val="bottom"/>
            <w:gridSpan w:val="4"/>
          </w:tcPr>
          <w:p>
            <w:pPr>
              <w:ind w:left="76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39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7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8"/>
                <w:szCs w:val="18"/>
                <w:b w:val="1"/>
                <w:bCs w:val="1"/>
                <w:color w:val="auto"/>
              </w:rPr>
              <w:t>Amount</w:t>
            </w:r>
          </w:p>
        </w:tc>
        <w:tc>
          <w:tcPr>
            <w:tcW w:w="18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4"/>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Portfolio</w:t>
            </w:r>
          </w:p>
        </w:tc>
        <w:tc>
          <w:tcPr>
            <w:tcW w:w="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1"/>
              </w:rPr>
              <w:t>Portfolio</w:t>
            </w: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i w:val="1"/>
                <w:iCs w:val="1"/>
                <w:color w:val="auto"/>
              </w:rPr>
              <w:t>Mortgage-related:</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residential CMOs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353,171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389,260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GSE commercial certificates &amp; CMO</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128,241</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213,786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Non-GSE residential certificates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Non-GSE commercial certificates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84,877</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97,482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i w:val="1"/>
                <w:iCs w:val="1"/>
                <w:color w:val="auto"/>
              </w:rPr>
              <w:t>Other debt:</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ABS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667,402</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862,163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preferred</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112,966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132,370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40"/>
              <w:spacing w:after="0"/>
              <w:rPr>
                <w:sz w:val="20"/>
                <w:szCs w:val="20"/>
                <w:color w:val="auto"/>
              </w:rPr>
            </w:pPr>
            <w:r>
              <w:rPr>
                <w:rFonts w:ascii="Arial" w:cs="Arial" w:eastAsia="Arial" w:hAnsi="Arial"/>
                <w:sz w:val="18"/>
                <w:szCs w:val="18"/>
                <w:color w:val="auto"/>
              </w:rPr>
              <w:t>Total available for sale</w:t>
            </w: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1,491,450</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47.0 %</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1,812,476</w:t>
            </w:r>
          </w:p>
        </w:tc>
        <w:tc>
          <w:tcPr>
            <w:tcW w:w="10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Held-to-maturity:</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Traditional securities: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GSE residential CMOs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65,353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69,391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commercial certificates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GSE residential certificates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 GSE commercial certificates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Non GSE residential certificates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47,563</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50,468</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282,164</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288,682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Municipal</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94,275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95,485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PACE assessments: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Commercial PACE assessments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270,020</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255,424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PACE assessments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800,484</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656,453</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560"/>
              <w:spacing w:after="0"/>
              <w:rPr>
                <w:sz w:val="20"/>
                <w:szCs w:val="20"/>
                <w:color w:val="auto"/>
              </w:rPr>
            </w:pPr>
            <w:r>
              <w:rPr>
                <w:rFonts w:ascii="Arial" w:cs="Arial" w:eastAsia="Arial" w:hAnsi="Arial"/>
                <w:sz w:val="18"/>
                <w:szCs w:val="18"/>
                <w:color w:val="auto"/>
              </w:rPr>
              <w:t>Total held-to-maturity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1,682,585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53.0 %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1,541,301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Total securities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3,174,035</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3,353,777</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following table shows contractual maturities and yields for the available-for sale and held-to-maturity securities portfolios:</w:t>
      </w:r>
    </w:p>
    <w:p>
      <w:pPr>
        <w:spacing w:after="0" w:line="12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60" w:type="dxa"/>
            <w:vAlign w:val="bottom"/>
            <w:gridSpan w:val="8"/>
          </w:tcPr>
          <w:p>
            <w:pPr>
              <w:ind w:left="280"/>
              <w:spacing w:after="0"/>
              <w:rPr>
                <w:sz w:val="20"/>
                <w:szCs w:val="20"/>
                <w:color w:val="auto"/>
              </w:rPr>
            </w:pPr>
            <w:r>
              <w:rPr>
                <w:rFonts w:ascii="Arial" w:cs="Arial" w:eastAsia="Arial" w:hAnsi="Arial"/>
                <w:sz w:val="18"/>
                <w:szCs w:val="18"/>
                <w:b w:val="1"/>
                <w:bCs w:val="1"/>
                <w:color w:val="auto"/>
              </w:rPr>
              <w:t>Contractual Maturity as of September 30, 2023</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Pr>
          <w:p>
            <w:pPr>
              <w:spacing w:after="0"/>
              <w:rPr>
                <w:sz w:val="21"/>
                <w:szCs w:val="21"/>
                <w:color w:val="auto"/>
              </w:rPr>
            </w:pPr>
          </w:p>
        </w:tc>
        <w:tc>
          <w:tcPr>
            <w:tcW w:w="21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One Year or Less</w:t>
            </w:r>
          </w:p>
        </w:tc>
        <w:tc>
          <w:tcPr>
            <w:tcW w:w="80" w:type="dxa"/>
            <w:vAlign w:val="bottom"/>
          </w:tcPr>
          <w:p>
            <w:pPr>
              <w:spacing w:after="0"/>
              <w:rPr>
                <w:sz w:val="21"/>
                <w:szCs w:val="21"/>
                <w:color w:val="auto"/>
              </w:rPr>
            </w:pPr>
          </w:p>
        </w:tc>
        <w:tc>
          <w:tcPr>
            <w:tcW w:w="2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One to Five Years</w:t>
            </w:r>
          </w:p>
        </w:tc>
        <w:tc>
          <w:tcPr>
            <w:tcW w:w="100" w:type="dxa"/>
            <w:vAlign w:val="bottom"/>
          </w:tcPr>
          <w:p>
            <w:pPr>
              <w:spacing w:after="0"/>
              <w:rPr>
                <w:sz w:val="21"/>
                <w:szCs w:val="21"/>
                <w:color w:val="auto"/>
              </w:rPr>
            </w:pPr>
          </w:p>
        </w:tc>
        <w:tc>
          <w:tcPr>
            <w:tcW w:w="20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Five to Ten Years</w:t>
            </w:r>
          </w:p>
        </w:tc>
        <w:tc>
          <w:tcPr>
            <w:tcW w:w="100" w:type="dxa"/>
            <w:vAlign w:val="bottom"/>
          </w:tcPr>
          <w:p>
            <w:pPr>
              <w:spacing w:after="0"/>
              <w:rPr>
                <w:sz w:val="21"/>
                <w:szCs w:val="21"/>
                <w:color w:val="auto"/>
              </w:rPr>
            </w:pPr>
          </w:p>
        </w:tc>
        <w:tc>
          <w:tcPr>
            <w:tcW w:w="21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Due after Ten Years</w:t>
            </w:r>
          </w:p>
        </w:tc>
        <w:tc>
          <w:tcPr>
            <w:tcW w:w="0" w:type="dxa"/>
            <w:vAlign w:val="bottom"/>
          </w:tcPr>
          <w:p>
            <w:pPr>
              <w:spacing w:after="0"/>
              <w:rPr>
                <w:sz w:val="1"/>
                <w:szCs w:val="1"/>
                <w:color w:val="auto"/>
              </w:rPr>
            </w:pPr>
          </w:p>
        </w:tc>
      </w:tr>
      <w:tr>
        <w:trPr>
          <w:trHeight w:val="159"/>
        </w:trPr>
        <w:tc>
          <w:tcPr>
            <w:tcW w:w="240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Amortized</w:t>
            </w:r>
          </w:p>
        </w:tc>
        <w:tc>
          <w:tcPr>
            <w:tcW w:w="1120" w:type="dxa"/>
            <w:vAlign w:val="bottom"/>
            <w:gridSpan w:val="3"/>
          </w:tcPr>
          <w:p>
            <w:pPr>
              <w:jc w:val="center"/>
              <w:ind w:right="100"/>
              <w:spacing w:after="0" w:line="159" w:lineRule="exact"/>
              <w:rPr>
                <w:sz w:val="20"/>
                <w:szCs w:val="20"/>
                <w:color w:val="auto"/>
              </w:rPr>
            </w:pPr>
            <w:r>
              <w:rPr>
                <w:rFonts w:ascii="Arial" w:cs="Arial" w:eastAsia="Arial" w:hAnsi="Arial"/>
                <w:sz w:val="16"/>
                <w:szCs w:val="16"/>
                <w:color w:val="auto"/>
                <w:w w:val="91"/>
              </w:rPr>
              <w:t>Weighted</w:t>
            </w: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7"/>
              </w:rPr>
              <w:t>Amortized</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6"/>
                <w:szCs w:val="16"/>
                <w:color w:val="auto"/>
                <w:w w:val="91"/>
              </w:rPr>
              <w:t>Weighted</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4"/>
              </w:rPr>
              <w:t>Amortized</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6"/>
                <w:szCs w:val="16"/>
                <w:color w:val="auto"/>
                <w:w w:val="91"/>
              </w:rPr>
              <w:t>Weighted</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7"/>
              </w:rPr>
              <w:t>Amortized</w:t>
            </w:r>
          </w:p>
        </w:tc>
        <w:tc>
          <w:tcPr>
            <w:tcW w:w="1060" w:type="dxa"/>
            <w:vAlign w:val="bottom"/>
          </w:tcPr>
          <w:p>
            <w:pPr>
              <w:jc w:val="center"/>
              <w:spacing w:after="0" w:line="159" w:lineRule="exact"/>
              <w:rPr>
                <w:sz w:val="20"/>
                <w:szCs w:val="20"/>
                <w:color w:val="auto"/>
              </w:rPr>
            </w:pPr>
            <w:r>
              <w:rPr>
                <w:rFonts w:ascii="Arial" w:cs="Arial" w:eastAsia="Arial" w:hAnsi="Arial"/>
                <w:sz w:val="16"/>
                <w:szCs w:val="16"/>
                <w:color w:val="auto"/>
                <w:w w:val="91"/>
              </w:rPr>
              <w:t>Weighted</w:t>
            </w: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120" w:type="dxa"/>
            <w:vAlign w:val="bottom"/>
            <w:gridSpan w:val="3"/>
            <w:vMerge w:val="restart"/>
          </w:tcPr>
          <w:p>
            <w:pPr>
              <w:jc w:val="center"/>
              <w:ind w:right="100"/>
              <w:spacing w:after="0" w:line="162" w:lineRule="exact"/>
              <w:rPr>
                <w:sz w:val="20"/>
                <w:szCs w:val="20"/>
                <w:color w:val="auto"/>
              </w:rPr>
            </w:pPr>
            <w:r>
              <w:rPr>
                <w:rFonts w:ascii="Arial" w:cs="Arial" w:eastAsia="Arial" w:hAnsi="Arial"/>
                <w:sz w:val="16"/>
                <w:szCs w:val="16"/>
                <w:color w:val="auto"/>
                <w:w w:val="90"/>
              </w:rPr>
              <w:t>Average</w:t>
            </w:r>
          </w:p>
        </w:tc>
        <w:tc>
          <w:tcPr>
            <w:tcW w:w="1060" w:type="dxa"/>
            <w:vAlign w:val="bottom"/>
            <w:vMerge w:val="continue"/>
          </w:tcPr>
          <w:p>
            <w:pPr>
              <w:spacing w:after="0"/>
              <w:rPr>
                <w:sz w:val="7"/>
                <w:szCs w:val="7"/>
                <w:color w:val="auto"/>
              </w:rPr>
            </w:pPr>
          </w:p>
        </w:tc>
        <w:tc>
          <w:tcPr>
            <w:tcW w:w="114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color w:val="auto"/>
                <w:w w:val="90"/>
              </w:rPr>
              <w:t>Average</w:t>
            </w:r>
          </w:p>
        </w:tc>
        <w:tc>
          <w:tcPr>
            <w:tcW w:w="1040" w:type="dxa"/>
            <w:vAlign w:val="bottom"/>
            <w:gridSpan w:val="2"/>
            <w:vMerge w:val="continue"/>
          </w:tcPr>
          <w:p>
            <w:pPr>
              <w:spacing w:after="0"/>
              <w:rPr>
                <w:sz w:val="7"/>
                <w:szCs w:val="7"/>
                <w:color w:val="auto"/>
              </w:rPr>
            </w:pPr>
          </w:p>
        </w:tc>
        <w:tc>
          <w:tcPr>
            <w:tcW w:w="114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color w:val="auto"/>
                <w:w w:val="90"/>
              </w:rPr>
              <w:t>Average</w:t>
            </w:r>
          </w:p>
        </w:tc>
        <w:tc>
          <w:tcPr>
            <w:tcW w:w="1080" w:type="dxa"/>
            <w:vAlign w:val="bottom"/>
            <w:vMerge w:val="continue"/>
          </w:tcPr>
          <w:p>
            <w:pPr>
              <w:spacing w:after="0"/>
              <w:rPr>
                <w:sz w:val="7"/>
                <w:szCs w:val="7"/>
                <w:color w:val="auto"/>
              </w:rPr>
            </w:pPr>
          </w:p>
        </w:tc>
        <w:tc>
          <w:tcPr>
            <w:tcW w:w="10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1"/>
              </w:rPr>
              <w:t>Cost</w:t>
            </w:r>
          </w:p>
        </w:tc>
        <w:tc>
          <w:tcPr>
            <w:tcW w:w="1120" w:type="dxa"/>
            <w:vAlign w:val="bottom"/>
            <w:gridSpan w:val="3"/>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w w:val="91"/>
              </w:rPr>
              <w:t>Cost</w:t>
            </w:r>
          </w:p>
        </w:tc>
        <w:tc>
          <w:tcPr>
            <w:tcW w:w="1140" w:type="dxa"/>
            <w:vAlign w:val="bottom"/>
            <w:gridSpan w:val="2"/>
            <w:vMerge w:val="continue"/>
          </w:tcPr>
          <w:p>
            <w:pPr>
              <w:spacing w:after="0"/>
              <w:rPr>
                <w:sz w:val="7"/>
                <w:szCs w:val="7"/>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84"/>
              </w:rPr>
              <w:t>Cost</w:t>
            </w:r>
          </w:p>
        </w:tc>
        <w:tc>
          <w:tcPr>
            <w:tcW w:w="1140" w:type="dxa"/>
            <w:vAlign w:val="bottom"/>
            <w:gridSpan w:val="2"/>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1"/>
              </w:rPr>
              <w:t>Cost</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4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vMerge w:val="continue"/>
          </w:tcPr>
          <w:p>
            <w:pPr>
              <w:spacing w:after="0"/>
              <w:rPr>
                <w:sz w:val="19"/>
                <w:szCs w:val="19"/>
                <w:color w:val="auto"/>
              </w:rPr>
            </w:pPr>
          </w:p>
        </w:tc>
        <w:tc>
          <w:tcPr>
            <w:tcW w:w="1120" w:type="dxa"/>
            <w:vAlign w:val="bottom"/>
            <w:gridSpan w:val="3"/>
          </w:tcPr>
          <w:p>
            <w:pPr>
              <w:jc w:val="center"/>
              <w:ind w:right="80"/>
              <w:spacing w:after="0" w:line="228" w:lineRule="exact"/>
              <w:rPr>
                <w:sz w:val="20"/>
                <w:szCs w:val="20"/>
                <w:color w:val="auto"/>
              </w:rPr>
            </w:pPr>
            <w:r>
              <w:rPr>
                <w:rFonts w:ascii="Arial" w:cs="Arial" w:eastAsia="Arial" w:hAnsi="Arial"/>
                <w:sz w:val="16"/>
                <w:szCs w:val="16"/>
                <w:color w:val="auto"/>
                <w:w w:val="90"/>
              </w:rPr>
              <w:t xml:space="preserve">Yield </w:t>
            </w:r>
            <w:r>
              <w:rPr>
                <w:rFonts w:ascii="Arial" w:cs="Arial" w:eastAsia="Arial" w:hAnsi="Arial"/>
                <w:sz w:val="21"/>
                <w:szCs w:val="21"/>
                <w:color w:val="auto"/>
                <w:w w:val="90"/>
                <w:vertAlign w:val="superscript"/>
              </w:rPr>
              <w:t>(1)</w:t>
            </w:r>
          </w:p>
        </w:tc>
        <w:tc>
          <w:tcPr>
            <w:tcW w:w="1060" w:type="dxa"/>
            <w:vAlign w:val="bottom"/>
            <w:vMerge w:val="continue"/>
          </w:tcPr>
          <w:p>
            <w:pPr>
              <w:spacing w:after="0"/>
              <w:rPr>
                <w:sz w:val="19"/>
                <w:szCs w:val="19"/>
                <w:color w:val="auto"/>
              </w:rPr>
            </w:pPr>
          </w:p>
        </w:tc>
        <w:tc>
          <w:tcPr>
            <w:tcW w:w="1140" w:type="dxa"/>
            <w:vAlign w:val="bottom"/>
            <w:gridSpan w:val="2"/>
          </w:tcPr>
          <w:p>
            <w:pPr>
              <w:jc w:val="center"/>
              <w:ind w:right="100"/>
              <w:spacing w:after="0" w:line="228" w:lineRule="exact"/>
              <w:rPr>
                <w:sz w:val="20"/>
                <w:szCs w:val="20"/>
                <w:color w:val="auto"/>
              </w:rPr>
            </w:pPr>
            <w:r>
              <w:rPr>
                <w:rFonts w:ascii="Arial" w:cs="Arial" w:eastAsia="Arial" w:hAnsi="Arial"/>
                <w:sz w:val="16"/>
                <w:szCs w:val="16"/>
                <w:color w:val="auto"/>
                <w:w w:val="90"/>
              </w:rPr>
              <w:t xml:space="preserve">Yield </w:t>
            </w:r>
            <w:r>
              <w:rPr>
                <w:rFonts w:ascii="Arial" w:cs="Arial" w:eastAsia="Arial" w:hAnsi="Arial"/>
                <w:sz w:val="21"/>
                <w:szCs w:val="21"/>
                <w:color w:val="auto"/>
                <w:w w:val="90"/>
                <w:vertAlign w:val="superscript"/>
              </w:rPr>
              <w:t>(1)</w:t>
            </w:r>
          </w:p>
        </w:tc>
        <w:tc>
          <w:tcPr>
            <w:tcW w:w="1040" w:type="dxa"/>
            <w:vAlign w:val="bottom"/>
            <w:gridSpan w:val="2"/>
            <w:vMerge w:val="continue"/>
          </w:tcPr>
          <w:p>
            <w:pPr>
              <w:spacing w:after="0"/>
              <w:rPr>
                <w:sz w:val="19"/>
                <w:szCs w:val="19"/>
                <w:color w:val="auto"/>
              </w:rPr>
            </w:pPr>
          </w:p>
        </w:tc>
        <w:tc>
          <w:tcPr>
            <w:tcW w:w="1140" w:type="dxa"/>
            <w:vAlign w:val="bottom"/>
            <w:gridSpan w:val="2"/>
          </w:tcPr>
          <w:p>
            <w:pPr>
              <w:jc w:val="center"/>
              <w:ind w:right="80"/>
              <w:spacing w:after="0" w:line="228" w:lineRule="exact"/>
              <w:rPr>
                <w:sz w:val="20"/>
                <w:szCs w:val="20"/>
                <w:color w:val="auto"/>
              </w:rPr>
            </w:pPr>
            <w:r>
              <w:rPr>
                <w:rFonts w:ascii="Arial" w:cs="Arial" w:eastAsia="Arial" w:hAnsi="Arial"/>
                <w:sz w:val="16"/>
                <w:szCs w:val="16"/>
                <w:color w:val="auto"/>
                <w:w w:val="87"/>
              </w:rPr>
              <w:t xml:space="preserve">Yield </w:t>
            </w:r>
            <w:r>
              <w:rPr>
                <w:rFonts w:ascii="Arial" w:cs="Arial" w:eastAsia="Arial" w:hAnsi="Arial"/>
                <w:sz w:val="21"/>
                <w:szCs w:val="21"/>
                <w:color w:val="auto"/>
                <w:w w:val="87"/>
                <w:vertAlign w:val="superscript"/>
              </w:rPr>
              <w:t>(1)</w:t>
            </w:r>
          </w:p>
        </w:tc>
        <w:tc>
          <w:tcPr>
            <w:tcW w:w="1080" w:type="dxa"/>
            <w:vAlign w:val="bottom"/>
            <w:vMerge w:val="continue"/>
          </w:tcPr>
          <w:p>
            <w:pPr>
              <w:spacing w:after="0"/>
              <w:rPr>
                <w:sz w:val="19"/>
                <w:szCs w:val="19"/>
                <w:color w:val="auto"/>
              </w:rPr>
            </w:pPr>
          </w:p>
        </w:tc>
        <w:tc>
          <w:tcPr>
            <w:tcW w:w="1060" w:type="dxa"/>
            <w:vAlign w:val="bottom"/>
          </w:tcPr>
          <w:p>
            <w:pPr>
              <w:jc w:val="center"/>
              <w:spacing w:after="0" w:line="228" w:lineRule="exact"/>
              <w:rPr>
                <w:sz w:val="20"/>
                <w:szCs w:val="20"/>
                <w:color w:val="auto"/>
              </w:rPr>
            </w:pPr>
            <w:r>
              <w:rPr>
                <w:rFonts w:ascii="Arial" w:cs="Arial" w:eastAsia="Arial" w:hAnsi="Arial"/>
                <w:sz w:val="16"/>
                <w:szCs w:val="16"/>
                <w:color w:val="auto"/>
                <w:w w:val="90"/>
              </w:rPr>
              <w:t xml:space="preserve">Yield </w:t>
            </w:r>
            <w:r>
              <w:rPr>
                <w:rFonts w:ascii="Arial" w:cs="Arial" w:eastAsia="Arial" w:hAnsi="Arial"/>
                <w:sz w:val="21"/>
                <w:szCs w:val="21"/>
                <w:color w:val="auto"/>
                <w:w w:val="90"/>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-8890</wp:posOffset>
            </wp:positionV>
            <wp:extent cx="55289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28945" cy="8890"/>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p>
      <w:pPr>
        <w:ind w:left="80"/>
        <w:spacing w:after="0"/>
        <w:rPr>
          <w:sz w:val="20"/>
          <w:szCs w:val="20"/>
          <w:color w:val="auto"/>
        </w:rPr>
      </w:pPr>
      <w:r>
        <w:rPr>
          <w:rFonts w:ascii="Arial" w:cs="Arial" w:eastAsia="Arial" w:hAnsi="Arial"/>
          <w:sz w:val="18"/>
          <w:szCs w:val="18"/>
          <w:b w:val="1"/>
          <w:bCs w:val="1"/>
          <w:color w:val="auto"/>
        </w:rPr>
        <w:t>Available for sale:</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Mortgage-related:</w:t>
      </w:r>
    </w:p>
    <w:p>
      <w:pPr>
        <w:spacing w:after="0" w:line="23" w:lineRule="exact"/>
        <w:rPr>
          <w:sz w:val="20"/>
          <w:szCs w:val="20"/>
          <w:color w:val="auto"/>
        </w:rPr>
      </w:pPr>
    </w:p>
    <w:p>
      <w:pPr>
        <w:ind w:left="80"/>
        <w:spacing w:after="0"/>
        <w:tabs>
          <w:tab w:leader="none" w:pos="2480" w:val="left"/>
        </w:tabs>
        <w:rPr>
          <w:sz w:val="20"/>
          <w:szCs w:val="20"/>
          <w:color w:val="auto"/>
        </w:rPr>
      </w:pPr>
      <w:r>
        <w:rPr>
          <w:rFonts w:ascii="Arial" w:cs="Arial" w:eastAsia="Arial" w:hAnsi="Arial"/>
          <w:sz w:val="18"/>
          <w:szCs w:val="18"/>
          <w:color w:val="auto"/>
        </w:rPr>
        <w:t>GSE residential CMOs</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80" w:right="240"/>
        <w:spacing w:after="0" w:line="234" w:lineRule="auto"/>
        <w:rPr>
          <w:sz w:val="20"/>
          <w:szCs w:val="20"/>
          <w:color w:val="auto"/>
        </w:rPr>
      </w:pPr>
      <w:r>
        <w:rPr>
          <w:rFonts w:ascii="Arial" w:cs="Arial" w:eastAsia="Arial" w:hAnsi="Arial"/>
          <w:sz w:val="18"/>
          <w:szCs w:val="18"/>
          <w:color w:val="auto"/>
        </w:rPr>
        <w:t>GSE commercial certificates &amp; CMO</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Non-GSE residential certificates</w:t>
      </w:r>
    </w:p>
    <w:p>
      <w:pPr>
        <w:spacing w:after="0" w:line="35" w:lineRule="exact"/>
        <w:rPr>
          <w:sz w:val="20"/>
          <w:szCs w:val="20"/>
          <w:color w:val="auto"/>
        </w:rPr>
      </w:pPr>
    </w:p>
    <w:p>
      <w:pPr>
        <w:ind w:left="80" w:right="900"/>
        <w:spacing w:after="0" w:line="277" w:lineRule="auto"/>
        <w:rPr>
          <w:sz w:val="20"/>
          <w:szCs w:val="20"/>
          <w:color w:val="auto"/>
        </w:rPr>
      </w:pPr>
      <w:r>
        <w:rPr>
          <w:rFonts w:ascii="Arial" w:cs="Arial" w:eastAsia="Arial" w:hAnsi="Arial"/>
          <w:sz w:val="16"/>
          <w:szCs w:val="16"/>
          <w:color w:val="auto"/>
        </w:rPr>
        <w:t>Non-GSE commercial certificates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360"/>
              <w:spacing w:after="0"/>
              <w:rPr>
                <w:sz w:val="20"/>
                <w:szCs w:val="20"/>
                <w:color w:val="auto"/>
              </w:rPr>
            </w:pPr>
            <w:r>
              <w:rPr>
                <w:rFonts w:ascii="Arial" w:cs="Arial" w:eastAsia="Arial" w:hAnsi="Arial"/>
                <w:sz w:val="18"/>
                <w:szCs w:val="18"/>
                <w:color w:val="auto"/>
              </w:rPr>
              <w:t>0.0 %  $</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0.0 %  $</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46,137</w:t>
            </w:r>
          </w:p>
        </w:tc>
        <w:tc>
          <w:tcPr>
            <w:tcW w:w="1160" w:type="dxa"/>
            <w:vAlign w:val="bottom"/>
          </w:tcPr>
          <w:p>
            <w:pPr>
              <w:ind w:left="380"/>
              <w:spacing w:after="0"/>
              <w:rPr>
                <w:sz w:val="20"/>
                <w:szCs w:val="20"/>
                <w:color w:val="auto"/>
              </w:rPr>
            </w:pPr>
            <w:r>
              <w:rPr>
                <w:rFonts w:ascii="Arial" w:cs="Arial" w:eastAsia="Arial" w:hAnsi="Arial"/>
                <w:sz w:val="18"/>
                <w:szCs w:val="18"/>
                <w:color w:val="auto"/>
              </w:rPr>
              <w:t>2.0 %  $</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350,322</w:t>
            </w:r>
          </w:p>
        </w:tc>
        <w:tc>
          <w:tcPr>
            <w:tcW w:w="80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360"/>
              <w:spacing w:after="0"/>
              <w:rPr>
                <w:sz w:val="20"/>
                <w:szCs w:val="20"/>
                <w:color w:val="auto"/>
              </w:rPr>
            </w:pPr>
            <w:r>
              <w:rPr>
                <w:rFonts w:ascii="Arial" w:cs="Arial" w:eastAsia="Arial" w:hAnsi="Arial"/>
                <w:sz w:val="18"/>
                <w:szCs w:val="18"/>
                <w:color w:val="auto"/>
              </w:rPr>
              <w:t>0.0 %</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17,359</w:t>
            </w:r>
          </w:p>
        </w:tc>
        <w:tc>
          <w:tcPr>
            <w:tcW w:w="1160" w:type="dxa"/>
            <w:vAlign w:val="bottom"/>
          </w:tcPr>
          <w:p>
            <w:pPr>
              <w:ind w:left="380"/>
              <w:spacing w:after="0"/>
              <w:rPr>
                <w:sz w:val="20"/>
                <w:szCs w:val="20"/>
                <w:color w:val="auto"/>
              </w:rPr>
            </w:pPr>
            <w:r>
              <w:rPr>
                <w:rFonts w:ascii="Arial" w:cs="Arial" w:eastAsia="Arial" w:hAnsi="Arial"/>
                <w:sz w:val="18"/>
                <w:szCs w:val="18"/>
                <w:color w:val="auto"/>
              </w:rPr>
              <w:t>2.8 %</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82,363</w:t>
            </w:r>
          </w:p>
        </w:tc>
        <w:tc>
          <w:tcPr>
            <w:tcW w:w="1160" w:type="dxa"/>
            <w:vAlign w:val="bottom"/>
          </w:tcPr>
          <w:p>
            <w:pPr>
              <w:ind w:left="380"/>
              <w:spacing w:after="0"/>
              <w:rPr>
                <w:sz w:val="20"/>
                <w:szCs w:val="20"/>
                <w:color w:val="auto"/>
              </w:rPr>
            </w:pPr>
            <w:r>
              <w:rPr>
                <w:rFonts w:ascii="Arial" w:cs="Arial" w:eastAsia="Arial" w:hAnsi="Arial"/>
                <w:sz w:val="18"/>
                <w:szCs w:val="18"/>
                <w:color w:val="auto"/>
              </w:rPr>
              <w:t>5.4 %</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38,189</w:t>
            </w:r>
          </w:p>
        </w:tc>
        <w:tc>
          <w:tcPr>
            <w:tcW w:w="8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360"/>
              <w:spacing w:after="0"/>
              <w:rPr>
                <w:sz w:val="20"/>
                <w:szCs w:val="20"/>
                <w:color w:val="auto"/>
              </w:rPr>
            </w:pPr>
            <w:r>
              <w:rPr>
                <w:rFonts w:ascii="Arial" w:cs="Arial" w:eastAsia="Arial" w:hAnsi="Arial"/>
                <w:sz w:val="18"/>
                <w:szCs w:val="18"/>
                <w:color w:val="auto"/>
              </w:rPr>
              <w:t>0.0 %</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0.0 %</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0.0 %</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113,429</w:t>
            </w:r>
          </w:p>
        </w:tc>
        <w:tc>
          <w:tcPr>
            <w:tcW w:w="80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ind w:left="360"/>
              <w:spacing w:after="0"/>
              <w:rPr>
                <w:sz w:val="20"/>
                <w:szCs w:val="20"/>
                <w:color w:val="auto"/>
              </w:rPr>
            </w:pPr>
            <w:r>
              <w:rPr>
                <w:rFonts w:ascii="Arial" w:cs="Arial" w:eastAsia="Arial" w:hAnsi="Arial"/>
                <w:sz w:val="18"/>
                <w:szCs w:val="18"/>
                <w:color w:val="auto"/>
              </w:rPr>
              <w:t>0.0 %</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0.0 %</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Pr>
          <w:p>
            <w:pPr>
              <w:ind w:left="380"/>
              <w:spacing w:after="0"/>
              <w:rPr>
                <w:sz w:val="20"/>
                <w:szCs w:val="20"/>
                <w:color w:val="auto"/>
              </w:rPr>
            </w:pPr>
            <w:r>
              <w:rPr>
                <w:rFonts w:ascii="Arial" w:cs="Arial" w:eastAsia="Arial" w:hAnsi="Arial"/>
                <w:sz w:val="18"/>
                <w:szCs w:val="18"/>
                <w:color w:val="auto"/>
              </w:rPr>
              <w:t>0.0 %</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95,270</w:t>
            </w:r>
          </w:p>
        </w:tc>
        <w:tc>
          <w:tcPr>
            <w:tcW w:w="800" w:type="dxa"/>
            <w:vAlign w:val="bottom"/>
          </w:tcPr>
          <w:p>
            <w:pPr>
              <w:jc w:val="right"/>
              <w:spacing w:after="0"/>
              <w:rPr>
                <w:sz w:val="20"/>
                <w:szCs w:val="20"/>
                <w:color w:val="auto"/>
              </w:rPr>
            </w:pPr>
            <w:r>
              <w:rPr>
                <w:rFonts w:ascii="Arial" w:cs="Arial" w:eastAsia="Arial" w:hAnsi="Arial"/>
                <w:sz w:val="18"/>
                <w:szCs w:val="18"/>
                <w:color w:val="auto"/>
              </w:rPr>
              <w:t>3.8 %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-762635</wp:posOffset>
            </wp:positionV>
            <wp:extent cx="706374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-350520</wp:posOffset>
            </wp:positionV>
            <wp:extent cx="706374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580" w:space="620"/>
            <w:col w:w="7980"/>
          </w:cols>
          <w:pgMar w:left="320" w:top="1057" w:right="399" w:bottom="1440" w:gutter="0" w:footer="0" w:header="0"/>
          <w:type w:val="continuous"/>
        </w:sectPr>
      </w:pPr>
    </w:p>
    <w:tbl>
      <w:tblPr>
        <w:tblLayout w:type="fixed"/>
        <w:tblInd w:w="60" w:type="dxa"/>
        <w:tblCellMar>
          <w:top w:w="0" w:type="dxa"/>
          <w:left w:w="0" w:type="dxa"/>
          <w:bottom w:w="0" w:type="dxa"/>
          <w:right w:w="0" w:type="dxa"/>
        </w:tblCellMar>
      </w:tblPr>
      <w:tr>
        <w:trPr>
          <w:trHeight w:val="263"/>
        </w:trPr>
        <w:tc>
          <w:tcPr>
            <w:tcW w:w="24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i w:val="1"/>
                <w:iCs w:val="1"/>
                <w:color w:val="auto"/>
              </w:rPr>
              <w:t>Other debt:</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 Treasury</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ABS</w:t>
            </w:r>
          </w:p>
        </w:tc>
        <w:tc>
          <w:tcPr>
            <w:tcW w:w="3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280,119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411,553</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Trust preferred</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54,047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Residential PACE assessments</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Held-to-maturity:</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i w:val="1"/>
                <w:iCs w:val="1"/>
                <w:color w:val="auto"/>
              </w:rPr>
              <w:t>Traditional securities:</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residential CMOs</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GSE commercial certificates</w:t>
            </w:r>
          </w:p>
        </w:tc>
        <w:tc>
          <w:tcPr>
            <w:tcW w:w="3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16,146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58,475</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GSE residential certificates</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line="176" w:lineRule="exact"/>
              <w:rPr>
                <w:sz w:val="20"/>
                <w:szCs w:val="20"/>
                <w:color w:val="auto"/>
              </w:rPr>
            </w:pPr>
            <w:r>
              <w:rPr>
                <w:rFonts w:ascii="Arial" w:cs="Arial" w:eastAsia="Arial" w:hAnsi="Arial"/>
                <w:sz w:val="18"/>
                <w:szCs w:val="18"/>
                <w:color w:val="auto"/>
              </w:rPr>
              <w:t>Non GSE commercial</w:t>
            </w:r>
          </w:p>
        </w:tc>
        <w:tc>
          <w:tcPr>
            <w:tcW w:w="3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32,669</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20" w:type="dxa"/>
            <w:vAlign w:val="bottom"/>
            <w:vMerge w:val="restart"/>
          </w:tcPr>
          <w:p>
            <w:pPr>
              <w:ind w:left="20"/>
              <w:spacing w:after="0"/>
              <w:rPr>
                <w:sz w:val="20"/>
                <w:szCs w:val="20"/>
                <w:color w:val="auto"/>
              </w:rPr>
            </w:pPr>
            <w:r>
              <w:rPr>
                <w:rFonts w:ascii="Arial" w:cs="Arial" w:eastAsia="Arial" w:hAnsi="Arial"/>
                <w:sz w:val="18"/>
                <w:szCs w:val="18"/>
                <w:color w:val="auto"/>
              </w:rPr>
              <w:t>certificates</w:t>
            </w:r>
          </w:p>
        </w:tc>
        <w:tc>
          <w:tcPr>
            <w:tcW w:w="3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94"/>
        </w:trPr>
        <w:tc>
          <w:tcPr>
            <w:tcW w:w="24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Non GSE residential certificates</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ABS</w:t>
            </w:r>
          </w:p>
        </w:tc>
        <w:tc>
          <w:tcPr>
            <w:tcW w:w="3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31,917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250,247</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PACE assessments:</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w w:val="91"/>
              </w:rPr>
              <w:t>Commercial PACE assessments</w:t>
            </w:r>
          </w:p>
        </w:tc>
        <w:tc>
          <w:tcPr>
            <w:tcW w:w="3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270,020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Residential PACE assessments</w:t>
            </w:r>
          </w:p>
        </w:tc>
        <w:tc>
          <w:tcPr>
            <w:tcW w:w="3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800,484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securities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540,241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$ 2,654,231</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shows a breakdown of our asset-backed securities by sector and ratings as of September 30,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6"/>
                <w:szCs w:val="16"/>
                <w:color w:val="auto"/>
                <w:w w:val="89"/>
              </w:rPr>
              <w:t>Expected</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Credit Ratings</w:t>
            </w: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gridSpan w:val="3"/>
            <w:vMerge w:val="restart"/>
          </w:tcPr>
          <w:p>
            <w:pPr>
              <w:jc w:val="right"/>
              <w:ind w:right="219"/>
              <w:spacing w:after="0"/>
              <w:rPr>
                <w:sz w:val="20"/>
                <w:szCs w:val="20"/>
                <w:color w:val="auto"/>
              </w:rPr>
            </w:pPr>
            <w:r>
              <w:rPr>
                <w:rFonts w:ascii="Arial" w:cs="Arial" w:eastAsia="Arial" w:hAnsi="Arial"/>
                <w:sz w:val="16"/>
                <w:szCs w:val="16"/>
                <w:i w:val="1"/>
                <w:iCs w:val="1"/>
                <w:color w:val="auto"/>
                <w:w w:val="98"/>
              </w:rPr>
              <w:t>Highest Rating if split rated</w:t>
            </w: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restart"/>
          </w:tcPr>
          <w:p>
            <w:pPr>
              <w:jc w:val="center"/>
              <w:spacing w:after="0" w:line="162" w:lineRule="exact"/>
              <w:rPr>
                <w:sz w:val="20"/>
                <w:szCs w:val="20"/>
                <w:color w:val="auto"/>
              </w:rPr>
            </w:pPr>
            <w:r>
              <w:rPr>
                <w:rFonts w:ascii="Arial" w:cs="Arial" w:eastAsia="Arial" w:hAnsi="Arial"/>
                <w:sz w:val="16"/>
                <w:szCs w:val="16"/>
                <w:color w:val="auto"/>
                <w:w w:val="93"/>
              </w:rPr>
              <w:t>Avg.</w:t>
            </w: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color w:val="auto"/>
              </w:rPr>
              <w:t>%Not</w:t>
            </w: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219"/>
              <w:spacing w:after="0"/>
              <w:rPr>
                <w:sz w:val="20"/>
                <w:szCs w:val="20"/>
                <w:color w:val="auto"/>
              </w:rPr>
            </w:pPr>
            <w:r>
              <w:rPr>
                <w:rFonts w:ascii="Arial" w:cs="Arial" w:eastAsia="Arial" w:hAnsi="Arial"/>
                <w:sz w:val="16"/>
                <w:szCs w:val="16"/>
                <w:color w:val="auto"/>
                <w:w w:val="97"/>
              </w:rPr>
              <w:t>Amount</w:t>
            </w:r>
          </w:p>
        </w:tc>
        <w:tc>
          <w:tcPr>
            <w:tcW w:w="70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rPr>
              <w:t>Life in</w:t>
            </w:r>
          </w:p>
        </w:tc>
        <w:tc>
          <w:tcPr>
            <w:tcW w:w="820" w:type="dxa"/>
            <w:vAlign w:val="bottom"/>
            <w:vMerge w:val="continue"/>
          </w:tcPr>
          <w:p>
            <w:pPr>
              <w:spacing w:after="0"/>
              <w:rPr>
                <w:sz w:val="14"/>
                <w:szCs w:val="14"/>
                <w:color w:val="auto"/>
              </w:rPr>
            </w:pPr>
          </w:p>
        </w:tc>
        <w:tc>
          <w:tcPr>
            <w:tcW w:w="840" w:type="dxa"/>
            <w:vAlign w:val="bottom"/>
            <w:vMerge w:val="restart"/>
          </w:tcPr>
          <w:p>
            <w:pPr>
              <w:jc w:val="right"/>
              <w:ind w:right="119"/>
              <w:spacing w:after="0"/>
              <w:rPr>
                <w:sz w:val="20"/>
                <w:szCs w:val="20"/>
                <w:color w:val="auto"/>
              </w:rPr>
            </w:pPr>
            <w:r>
              <w:rPr>
                <w:rFonts w:ascii="Arial" w:cs="Arial" w:eastAsia="Arial" w:hAnsi="Arial"/>
                <w:sz w:val="16"/>
                <w:szCs w:val="16"/>
                <w:color w:val="auto"/>
              </w:rPr>
              <w:t>% AAA</w:t>
            </w: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color w:val="auto"/>
              </w:rPr>
              <w:t>% AA</w:t>
            </w:r>
          </w:p>
        </w:tc>
        <w:tc>
          <w:tcPr>
            <w:tcW w:w="720" w:type="dxa"/>
            <w:vAlign w:val="bottom"/>
            <w:vMerge w:val="restart"/>
          </w:tcPr>
          <w:p>
            <w:pPr>
              <w:jc w:val="right"/>
              <w:ind w:right="219"/>
              <w:spacing w:after="0"/>
              <w:rPr>
                <w:sz w:val="20"/>
                <w:szCs w:val="20"/>
                <w:color w:val="auto"/>
              </w:rPr>
            </w:pPr>
            <w:r>
              <w:rPr>
                <w:rFonts w:ascii="Arial" w:cs="Arial" w:eastAsia="Arial" w:hAnsi="Arial"/>
                <w:sz w:val="16"/>
                <w:szCs w:val="16"/>
                <w:color w:val="auto"/>
              </w:rPr>
              <w:t>% A</w:t>
            </w:r>
          </w:p>
        </w:tc>
        <w:tc>
          <w:tcPr>
            <w:tcW w:w="700" w:type="dxa"/>
            <w:vAlign w:val="bottom"/>
            <w:vMerge w:val="restart"/>
          </w:tcPr>
          <w:p>
            <w:pPr>
              <w:jc w:val="right"/>
              <w:ind w:right="99"/>
              <w:spacing w:after="0"/>
              <w:rPr>
                <w:sz w:val="20"/>
                <w:szCs w:val="20"/>
                <w:color w:val="auto"/>
              </w:rPr>
            </w:pPr>
            <w:r>
              <w:rPr>
                <w:rFonts w:ascii="Arial" w:cs="Arial" w:eastAsia="Arial" w:hAnsi="Arial"/>
                <w:sz w:val="16"/>
                <w:szCs w:val="16"/>
                <w:color w:val="auto"/>
                <w:w w:val="98"/>
              </w:rPr>
              <w:t>% BBB</w:t>
            </w:r>
          </w:p>
        </w:tc>
        <w:tc>
          <w:tcPr>
            <w:tcW w:w="660" w:type="dxa"/>
            <w:vAlign w:val="bottom"/>
            <w:vMerge w:val="continue"/>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6"/>
              </w:rPr>
              <w:t>Years</w:t>
            </w: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Floating</w:t>
            </w:r>
          </w:p>
        </w:tc>
        <w:tc>
          <w:tcPr>
            <w:tcW w:w="8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535,790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2 %</w:t>
            </w:r>
          </w:p>
        </w:tc>
        <w:tc>
          <w:tcPr>
            <w:tcW w:w="7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6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20" w:type="dxa"/>
            <w:vAlign w:val="bottom"/>
            <w:tcBorders>
              <w:right w:val="single" w:sz="8" w:color="auto"/>
            </w:tcBorders>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66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20" w:type="dxa"/>
            <w:vAlign w:val="bottom"/>
          </w:tcPr>
          <w:p>
            <w:pPr>
              <w:ind w:left="2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172,401</w:t>
            </w:r>
          </w:p>
        </w:tc>
        <w:tc>
          <w:tcPr>
            <w:tcW w:w="700" w:type="dxa"/>
            <w:vAlign w:val="bottom"/>
          </w:tcPr>
          <w:p>
            <w:pPr>
              <w:jc w:val="right"/>
              <w:spacing w:after="0"/>
              <w:rPr>
                <w:sz w:val="20"/>
                <w:szCs w:val="20"/>
                <w:color w:val="auto"/>
              </w:rPr>
            </w:pPr>
            <w:r>
              <w:rPr>
                <w:rFonts w:ascii="Arial" w:cs="Arial" w:eastAsia="Arial" w:hAnsi="Arial"/>
                <w:sz w:val="16"/>
                <w:szCs w:val="16"/>
                <w:color w:val="auto"/>
              </w:rPr>
              <w:t>18 %</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840" w:type="dxa"/>
            <w:vAlign w:val="bottom"/>
          </w:tcPr>
          <w:p>
            <w:pPr>
              <w:jc w:val="right"/>
              <w:spacing w:after="0"/>
              <w:rPr>
                <w:sz w:val="20"/>
                <w:szCs w:val="20"/>
                <w:color w:val="auto"/>
              </w:rPr>
            </w:pPr>
            <w:r>
              <w:rPr>
                <w:rFonts w:ascii="Arial" w:cs="Arial" w:eastAsia="Arial" w:hAnsi="Arial"/>
                <w:sz w:val="16"/>
                <w:szCs w:val="16"/>
                <w:color w:val="auto"/>
              </w:rPr>
              <w:t>96 %</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0 %</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0 %</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4 %</w:t>
            </w: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70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59"/>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169,883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0 %</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6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54"/>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71,492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4.3</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21 %</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0 %</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0 %</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949,566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3 %</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0 %</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1 %</w:t>
            </w:r>
          </w:p>
        </w:tc>
        <w:tc>
          <w:tcPr>
            <w:tcW w:w="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securities portfolio primarily consists of high quality investments in mortgage-backed securities to government sponsored entities and other asset-backed securities and PACE investments. All non-agency securities, composed of non-agency commercial mortgage-backed securities, collateralized loan obligations, non-agency mortgage-backed securities, and asset-backed securities, are senior tranche and approximately 96% carry AAA credit ratings and 3% carry A credit ratings or higher. Approximately 70% of this portfolio is classified as “available for sale.”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Lending-related income is the most important component of our net interest income and is the main driver of our results of operations. Total loans, net of deferred origination fees and allowance for credit losses, were $4.30 billion as of September 30, 2023 compared to $4.06 billion as of December 31, 2022. Within our commercial loan portfolio, our primary focus has been on C&amp;I, multifamily and CRE lending. Within our retail loan portfolio, our primary focus has been on residential 1-4 family (1st lien) mortgages. We intend to focus any organic growth in our loan portfolio on these lending areas as part of our strategic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composition of our loan portfolio, as of September 30, 2023 and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63"/>
        </w:trPr>
        <w:tc>
          <w:tcPr>
            <w:tcW w:w="40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300" w:type="dxa"/>
            <w:vAlign w:val="bottom"/>
          </w:tcPr>
          <w:p>
            <w:pPr>
              <w:spacing w:after="0"/>
              <w:rPr>
                <w:sz w:val="22"/>
                <w:szCs w:val="22"/>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b w:val="1"/>
                <w:bCs w:val="1"/>
                <w:color w:val="auto"/>
              </w:rPr>
              <w:t>% of total loans</w:t>
            </w:r>
          </w:p>
        </w:tc>
        <w:tc>
          <w:tcPr>
            <w:tcW w:w="320" w:type="dxa"/>
            <w:vAlign w:val="bottom"/>
          </w:tcPr>
          <w:p>
            <w:pPr>
              <w:spacing w:after="0"/>
              <w:rPr>
                <w:sz w:val="22"/>
                <w:szCs w:val="22"/>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1,050,355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925,641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Multifamily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1,094,955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967,521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 mortgages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324,139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Construction and land development mortgages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28,326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37,696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2,497,775</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2,265,991</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1,409,530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32.3 %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1,371,779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Consumer solar</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415,324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416,849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Consumer and other</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42,116</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47,150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1,866,970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1,835,778</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3"/>
        </w:trPr>
        <w:tc>
          <w:tcPr>
            <w:tcW w:w="4040" w:type="dxa"/>
            <w:vAlign w:val="bottom"/>
          </w:tcPr>
          <w:p>
            <w:pPr>
              <w:ind w:left="28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4,364,745</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4,101,769</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line="230" w:lineRule="exact"/>
              <w:rPr>
                <w:sz w:val="20"/>
                <w:szCs w:val="20"/>
                <w:color w:val="auto"/>
              </w:rPr>
            </w:pPr>
            <w:r>
              <w:rPr>
                <w:rFonts w:ascii="Arial" w:cs="Arial" w:eastAsia="Arial" w:hAnsi="Arial"/>
                <w:sz w:val="18"/>
                <w:szCs w:val="18"/>
                <w:color w:val="auto"/>
              </w:rPr>
              <w:t>Net deferred loan origination costs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Allowance for credit losses</w:t>
            </w:r>
            <w:r>
              <w:rPr>
                <w:rFonts w:ascii="Arial" w:cs="Arial" w:eastAsia="Arial" w:hAnsi="Arial"/>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320"/>
              <w:spacing w:after="0"/>
              <w:rPr>
                <w:sz w:val="20"/>
                <w:szCs w:val="20"/>
                <w:color w:val="auto"/>
              </w:rPr>
            </w:pPr>
            <w:r>
              <w:rPr>
                <w:rFonts w:ascii="Arial" w:cs="Arial" w:eastAsia="Arial" w:hAnsi="Arial"/>
                <w:sz w:val="18"/>
                <w:szCs w:val="18"/>
                <w:color w:val="auto"/>
              </w:rPr>
              <w:t>Total loans,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4,296,930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4,060,971</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right="200" w:firstLine="8"/>
        <w:spacing w:after="0" w:line="255" w:lineRule="auto"/>
        <w:tabs>
          <w:tab w:leader="none" w:pos="2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adopted the CECL standard on January 1, 2023. As a result, the classification of loan segments was updated, and all loan balances for presented periods have been reclassified.</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the adoption of the CECL standard, loans balances as of September 30, 2023 are presented at amortized cost, net of deferred loan origination costs.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2" w:name="page63"/>
    <w:bookmarkEnd w:id="62"/>
    <w:p>
      <w:pPr>
        <w:ind w:right="200" w:firstLine="8"/>
        <w:spacing w:after="0" w:line="261" w:lineRule="auto"/>
        <w:tabs>
          <w:tab w:leader="none" w:pos="2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the adoption of the CECL standard, the allowance for credit losses on both loans and securities as of September 30, 2023 is calculated under the current expected credit losses model. For December 31, 2022, no allowance was calculated on securities, and the allowance on loans presented is the allowance for loan losses calculated using the incurred loss model.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loan portfolio</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commercial loan portfolio comprised 57.2% of our total loan portfolio at September 30, 2023 and 55.2% of our total loan portfolio at December 31, 2022. The major categories of our commercial loan portfolio are discussed below:</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C&amp;I. </w:t>
      </w:r>
      <w:r>
        <w:rPr>
          <w:rFonts w:ascii="Arial" w:cs="Arial" w:eastAsia="Arial" w:hAnsi="Arial"/>
          <w:sz w:val="18"/>
          <w:szCs w:val="18"/>
          <w:color w:val="auto"/>
        </w:rPr>
        <w:t>Our C&amp;I loans are generally made to small and medium-sized manufacturers and wholesale, retail and service-based businesses to provide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 that generate cash flow). The average size of our C&amp;I loans at September 30, 2023 by exposure was $4.0 million with a median size of $0.9 million. We have shifted our lending strategy to focus on developing full customer relationships including deposits, cash management, and lending. The businesses that we focus on are generally mission-aligned with our core values, including organic and natural products, sustainable companies, clean energy, nonprofits, and B Corporations </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C&amp;I loans totaled $1.05 billion at September 30, 2023, which comprised 24.1% of our total loan portfolio. During the nine months ended September 30, 2023, the C&amp;I loan portfolio increased by 13.5% from $925.6 million at December 31,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Multifamily</w:t>
      </w:r>
      <w:r>
        <w:rPr>
          <w:rFonts w:ascii="Arial" w:cs="Arial" w:eastAsia="Arial" w:hAnsi="Arial"/>
          <w:sz w:val="18"/>
          <w:szCs w:val="18"/>
          <w:color w:val="auto"/>
        </w:rPr>
        <w:t>. Our multifamily loans are generally used to purchase or refinance apartment buildings of five units or more, which collateralize the loan, in</w:t>
      </w:r>
      <w:r>
        <w:rPr>
          <w:rFonts w:ascii="Arial" w:cs="Arial" w:eastAsia="Arial" w:hAnsi="Arial"/>
          <w:sz w:val="18"/>
          <w:szCs w:val="18"/>
          <w:i w:val="1"/>
          <w:iCs w:val="1"/>
          <w:color w:val="auto"/>
        </w:rPr>
        <w:t xml:space="preserve"> </w:t>
      </w:r>
      <w:r>
        <w:rPr>
          <w:rFonts w:ascii="Arial" w:cs="Arial" w:eastAsia="Arial" w:hAnsi="Arial"/>
          <w:sz w:val="18"/>
          <w:szCs w:val="18"/>
          <w:color w:val="auto"/>
        </w:rPr>
        <w:t>major metropolitan areas within our markets. Multifamily loans have 70% of their exposure in New York City - our largest geographic concentration. Our multifamily loans have been underwritten under stringent guidelines on loan-to-value and debt service coverage ratios that are designed to mitigate credit and concentration risk in this loan category.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multifamily loans totaled $1.09 billion at September 30, 2023, which comprised 25.1% of our total loan portfolio. During the nine months ended September 30, 2023, the multifamily loan portfolio increased by 13.2% from $967.5 million at December 31,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CRE. </w:t>
      </w:r>
      <w:r>
        <w:rPr>
          <w:rFonts w:ascii="Arial" w:cs="Arial" w:eastAsia="Arial" w:hAnsi="Arial"/>
          <w:sz w:val="18"/>
          <w:szCs w:val="18"/>
          <w:color w:val="auto"/>
        </w:rPr>
        <w:t>Our CRE loans are used to purchase or refinance office buildings, retail centers, industrial facilities, medical facilities and mixed-used buildings. Our</w:t>
      </w:r>
      <w:r>
        <w:rPr>
          <w:rFonts w:ascii="Arial" w:cs="Arial" w:eastAsia="Arial" w:hAnsi="Arial"/>
          <w:sz w:val="18"/>
          <w:szCs w:val="18"/>
          <w:i w:val="1"/>
          <w:iCs w:val="1"/>
          <w:color w:val="auto"/>
        </w:rPr>
        <w:t xml:space="preserve"> </w:t>
      </w:r>
      <w:r>
        <w:rPr>
          <w:rFonts w:ascii="Arial" w:cs="Arial" w:eastAsia="Arial" w:hAnsi="Arial"/>
          <w:sz w:val="18"/>
          <w:szCs w:val="18"/>
          <w:color w:val="auto"/>
        </w:rPr>
        <w:t>CRE loans totaled $324.1 million at September 30, 2023, which comprised 7.4% of our total loan portfolio. During the nine months ended September 30, 2023, the CRE loan portfolio decreased by 3.3% from $335.1 million at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loan portfolio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retail loan portfolio comprised 42.8% of our total loan portfolio at September 30, 2023 and 44.8% of our loan portfolio at December 31, 2022. The major categories of our retail loan portfolio are discussed below.</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Residential real estate lending</w:t>
      </w:r>
      <w:r>
        <w:rPr>
          <w:rFonts w:ascii="Arial" w:cs="Arial" w:eastAsia="Arial" w:hAnsi="Arial"/>
          <w:sz w:val="19"/>
          <w:szCs w:val="19"/>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residential 1-4 family mortgage loans are residential mortgages that are primarily secured by single-family homes,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can be owner occupied or investor owned. These loans are either originated by our loan officers or purchased from other originators with the servicing generally retained by such originators. Our residential real estate lending portfolio is 99% first mortgage loans and 1% second mortgage loans. As of September 30, 2023, 82% of our residential 1-4 family mortgage loans were either originated by our loan officers since 2012 or were acquired in our acquisition of New Resource Bank, 16% were purchased from two third parties on or after July 2014, and 2% were purchased by us from other originators before 2010. Our residential real estate lending loans totaled $1.41 billion at September 30, 2023, which comprised 75.5% of our retail loan portfolio and 32.3% of our total loan portfolio. As of September 30, 2023, our residential real estate lending loans increased by 2.8% from $1.37 billion at December 31,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solar. </w:t>
      </w:r>
      <w:r>
        <w:rPr>
          <w:rFonts w:ascii="Arial" w:cs="Arial" w:eastAsia="Arial" w:hAnsi="Arial"/>
          <w:sz w:val="18"/>
          <w:szCs w:val="18"/>
          <w:color w:val="auto"/>
        </w:rPr>
        <w:t>Our consumer solar portfolio is comprised of purchased residential solar loans, secured by Uniform Commercial Code (UCC)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Our consumer solar loans totaled $415.3 million at September 30, 2023, which comprised 9.5% of our total loan portfolio, compared to $416.8 million, or 10.2%, of our total loan portfolio at December 31, 2022.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and other. </w:t>
      </w:r>
      <w:r>
        <w:rPr>
          <w:rFonts w:ascii="Arial" w:cs="Arial" w:eastAsia="Arial" w:hAnsi="Arial"/>
          <w:sz w:val="18"/>
          <w:szCs w:val="18"/>
          <w:color w:val="auto"/>
        </w:rPr>
        <w:t>Our consumer and other portfolio is comprised of purchased student loans, unsecured consumer loans and overdraft lines.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and other loans totaled $42.1 million at September 30, 2023, which comprised 1.0% of our total loan portfolio, compared to $47.2 million, or 1.1% of our total loan portfolio, at December 31, 2022.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Maturities of 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 modification of terms upon maturity. Actual repayments of loans may differ from the maturities reflected below because borrowers have the right to prepay obligations with or without prepayment penalties. The following tables summarize the loan maturity distribution by type and related interest rate characteristics excluding deferred loan origination costs at September 30,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One year or less</w:t>
            </w:r>
          </w:p>
        </w:tc>
        <w:tc>
          <w:tcPr>
            <w:tcW w:w="16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After one but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After five years but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After 15 years</w:t>
            </w:r>
          </w:p>
        </w:tc>
        <w:tc>
          <w:tcPr>
            <w:tcW w:w="360" w:type="dxa"/>
            <w:vAlign w:val="bottom"/>
          </w:tcPr>
          <w:p>
            <w:pPr>
              <w:spacing w:after="0"/>
              <w:rPr>
                <w:sz w:val="16"/>
                <w:szCs w:val="16"/>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within five years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within 15 years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309,018</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374,695</w:t>
            </w:r>
          </w:p>
        </w:tc>
        <w:tc>
          <w:tcPr>
            <w:tcW w:w="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Multifamily</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173,553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550,491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364,740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1,094,955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real estate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w w:val="97"/>
              </w:rPr>
              <w:t>Construction and land development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Retail Portfolio:</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real estate lending</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Arial" w:cs="Arial" w:eastAsia="Arial" w:hAnsi="Arial"/>
                <w:sz w:val="18"/>
                <w:szCs w:val="18"/>
                <w:color w:val="auto"/>
              </w:rPr>
              <w:t>Consumer solar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358,046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and other</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60"/>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1,073,431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1,046,798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1,844,160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4,364,745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One year or less</w:t>
            </w:r>
          </w:p>
        </w:tc>
        <w:tc>
          <w:tcPr>
            <w:tcW w:w="16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After one but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After 5 years but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More than 15 years</w:t>
            </w:r>
          </w:p>
        </w:tc>
        <w:tc>
          <w:tcPr>
            <w:tcW w:w="360" w:type="dxa"/>
            <w:vAlign w:val="bottom"/>
          </w:tcPr>
          <w:p>
            <w:pPr>
              <w:spacing w:after="0"/>
              <w:rPr>
                <w:sz w:val="24"/>
                <w:szCs w:val="24"/>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within five years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within 15 years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4"/>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920" w:type="dxa"/>
            <w:vAlign w:val="bottom"/>
          </w:tcPr>
          <w:p>
            <w:pPr>
              <w:ind w:left="20"/>
              <w:spacing w:after="0" w:line="161" w:lineRule="exact"/>
              <w:rPr>
                <w:sz w:val="20"/>
                <w:szCs w:val="20"/>
                <w:color w:val="auto"/>
              </w:rPr>
            </w:pPr>
            <w:r>
              <w:rPr>
                <w:rFonts w:ascii="Arial" w:cs="Arial" w:eastAsia="Arial" w:hAnsi="Arial"/>
                <w:sz w:val="18"/>
                <w:szCs w:val="18"/>
                <w:color w:val="auto"/>
              </w:rPr>
              <w:t>Gross loan maturing after one year</w:t>
            </w: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with:</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interest rates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803,738</w:t>
            </w: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925,970</w:t>
            </w:r>
          </w:p>
        </w:tc>
        <w:tc>
          <w:tcPr>
            <w:tcW w:w="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1,201,761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Floating or adjustable interest rates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159,817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642,399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Loans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1,046,798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1,844,160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maintain the allowance at a level we believe is sufficient to absorb current expected credit losses in our loan portfolio. For further discussion of the adoption of and methodology under the CECL standard, refer to Note 1 to the Consolidated Financial Statements in Item 1 of this Form 10-Q.</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The following tables presents, by loan type, the changes in the allowance for credit losses at September 30, 2023 under the CECL standard, and the allowance for loans losses at September 30, 2022 under the incurred loss methodology: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8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2022</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2022</w:t>
            </w:r>
          </w:p>
        </w:tc>
      </w:tr>
      <w:tr>
        <w:trPr>
          <w:trHeight w:val="439"/>
        </w:trPr>
        <w:tc>
          <w:tcPr>
            <w:tcW w:w="44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67,431</w:t>
            </w:r>
          </w:p>
        </w:tc>
        <w:tc>
          <w:tcPr>
            <w:tcW w:w="14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39,477</w:t>
            </w:r>
          </w:p>
        </w:tc>
        <w:tc>
          <w:tcPr>
            <w:tcW w:w="34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45,031</w:t>
            </w:r>
          </w:p>
        </w:tc>
        <w:tc>
          <w:tcPr>
            <w:tcW w:w="12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35,866</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Adoption of ASU 2016-13</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Loan charge-offs: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Multifamily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Retail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real estate lending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Consumer solar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3,019</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44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loan charge-offs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loans previously charged-off:</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Multifamily</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Construction and land development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Residential real estate lending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solar</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4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loan recoveries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charge-offs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4,312</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10,568</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67,815</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42,122</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42,122</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the allowance for credit losses on loans increased $0.4 million to $67.8 million at September 30, 2023 from $67.4 million at June 30, 2023. The ratio of allowance to total loans was 1.55%, a decrease of 4 basis points from 1.59% in the second quarter of 2023.</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credit losses on loans increased $22.8 million to $67.8 million at September 30, 2023 from $45.0 million at December 31, 2022. On January 1, 2023, the adoption of the CECL standard increased the allowance for credit losses on loans by $21.2 million to recognize the Day 1 cumulative effect, primarily attributed to our consumer solar portfolio. The ratio of allowance to total loans was 1.55% at September 30, 2023 and 1.10% at December 31, 2022. Considering the Day 1 cumulative effect, the ratio of allowance to total loans at January 1, 2023 was 1.61%.</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allowance for credit losses on held-to-maturity securities was $0.7 million, compared to $0.7 million at June 30, 2023. On January 1, 2023, an allowance of $0.7 million was recorded to recognize the Day 1 cumulative effect, primarily attributed to commercial and residential PACE assessments. Additionally, the allowance for expected credit losses 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off-balance sheet loan exposures was increased by $2.7 million to recognize the Day 1 cumulative impact of adopting the CECL standard.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Allowance for Credit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allocation of the allowance and the percentage of the total amount of loans in each loan category listed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380"/>
              <w:spacing w:after="0"/>
              <w:rPr>
                <w:sz w:val="20"/>
                <w:szCs w:val="20"/>
                <w:color w:val="auto"/>
              </w:rPr>
            </w:pPr>
            <w:r>
              <w:rPr>
                <w:rFonts w:ascii="Arial" w:cs="Arial" w:eastAsia="Arial" w:hAnsi="Arial"/>
                <w:sz w:val="18"/>
                <w:szCs w:val="18"/>
                <w:b w:val="1"/>
                <w:bCs w:val="1"/>
                <w:color w:val="auto"/>
              </w:rPr>
              <w:t>At September 30, 2023</w:t>
            </w:r>
          </w:p>
        </w:tc>
        <w:tc>
          <w:tcPr>
            <w:tcW w:w="240" w:type="dxa"/>
            <w:vAlign w:val="bottom"/>
          </w:tcPr>
          <w:p>
            <w:pPr>
              <w:spacing w:after="0"/>
              <w:rPr>
                <w:sz w:val="20"/>
                <w:szCs w:val="20"/>
                <w:color w:val="auto"/>
              </w:rPr>
            </w:pPr>
          </w:p>
        </w:tc>
        <w:tc>
          <w:tcPr>
            <w:tcW w:w="27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At December 31, 2022</w:t>
            </w:r>
          </w:p>
        </w:tc>
      </w:tr>
      <w:tr>
        <w:trPr>
          <w:trHeight w:val="22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total loans</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of total loans</w:t>
            </w: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Commercial Portfolio:</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23.6 %</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0.9 %</w:t>
            </w:r>
          </w:p>
        </w:tc>
      </w:tr>
      <w:tr>
        <w:trPr>
          <w:trHeight w:val="223"/>
        </w:trPr>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commercial portfolio</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55.2 %</w:t>
            </w:r>
          </w:p>
        </w:tc>
      </w:tr>
      <w:tr>
        <w:trPr>
          <w:trHeight w:val="257"/>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Retail Portfolio:</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Residential real estate lending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15,649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32.3 %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11,338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33.5 %</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solar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3"/>
        </w:trPr>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retail portfolio</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44.8 %</w:t>
            </w:r>
          </w:p>
        </w:tc>
      </w:tr>
      <w:tr>
        <w:trPr>
          <w:trHeight w:val="257"/>
        </w:trPr>
        <w:tc>
          <w:tcPr>
            <w:tcW w:w="5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allowance for credit losses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sets forth our nonperforming assets as of September 30, 2023 and December 31,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90 days past due and accruing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Nonaccrual loans held for sale</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6,914</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 - Commercial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18,308</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Nonaccrual loans - Retail</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3,391</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36,544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28,649</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Nonaccrual loans: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9,629</w:t>
            </w:r>
          </w:p>
        </w:tc>
      </w:tr>
      <w:tr>
        <w:trPr>
          <w:trHeight w:val="229"/>
        </w:trPr>
        <w:tc>
          <w:tcPr>
            <w:tcW w:w="7100" w:type="dxa"/>
            <w:vAlign w:val="bottom"/>
          </w:tcPr>
          <w:p>
            <w:pPr>
              <w:ind w:left="120"/>
              <w:spacing w:after="0"/>
              <w:rPr>
                <w:sz w:val="20"/>
                <w:szCs w:val="20"/>
                <w:color w:val="auto"/>
              </w:rPr>
            </w:pPr>
            <w:r>
              <w:rPr>
                <w:rFonts w:ascii="Arial" w:cs="Arial" w:eastAsia="Arial" w:hAnsi="Arial"/>
                <w:sz w:val="18"/>
                <w:szCs w:val="18"/>
                <w:color w:val="auto"/>
              </w:rPr>
              <w:t>Multifamily</w:t>
            </w:r>
          </w:p>
        </w:tc>
        <w:tc>
          <w:tcPr>
            <w:tcW w:w="180" w:type="dxa"/>
            <w:vAlign w:val="bottom"/>
          </w:tcPr>
          <w:p>
            <w:pPr>
              <w:spacing w:after="0"/>
              <w:rPr>
                <w:sz w:val="19"/>
                <w:szCs w:val="19"/>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3,828</w:t>
            </w:r>
          </w:p>
        </w:tc>
      </w:tr>
      <w:tr>
        <w:trPr>
          <w:trHeight w:val="230"/>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4,851</w:t>
            </w:r>
          </w:p>
        </w:tc>
      </w:tr>
      <w:tr>
        <w:trPr>
          <w:trHeight w:val="229"/>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Construction and land development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15,891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commercial portfolio</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28,041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18,308</w:t>
            </w:r>
          </w:p>
        </w:tc>
      </w:tr>
      <w:tr>
        <w:trPr>
          <w:trHeight w:val="250"/>
        </w:trPr>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1,807</w:t>
            </w:r>
          </w:p>
        </w:tc>
      </w:tr>
      <w:tr>
        <w:trPr>
          <w:trHeight w:val="229"/>
        </w:trPr>
        <w:tc>
          <w:tcPr>
            <w:tcW w:w="7100" w:type="dxa"/>
            <w:vAlign w:val="bottom"/>
          </w:tcPr>
          <w:p>
            <w:pPr>
              <w:ind w:left="120"/>
              <w:spacing w:after="0"/>
              <w:rPr>
                <w:sz w:val="20"/>
                <w:szCs w:val="20"/>
                <w:color w:val="auto"/>
              </w:rPr>
            </w:pPr>
            <w:r>
              <w:rPr>
                <w:rFonts w:ascii="Arial" w:cs="Arial" w:eastAsia="Arial" w:hAnsi="Arial"/>
                <w:sz w:val="18"/>
                <w:szCs w:val="18"/>
                <w:color w:val="auto"/>
              </w:rPr>
              <w:t>Consumer solar</w:t>
            </w: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1,584</w:t>
            </w:r>
          </w:p>
        </w:tc>
      </w:tr>
      <w:tr>
        <w:trPr>
          <w:trHeight w:val="230"/>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other</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6,283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3,391</w:t>
            </w:r>
          </w:p>
        </w:tc>
      </w:tr>
      <w:tr>
        <w:trPr>
          <w:trHeight w:val="248"/>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nonaccrual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21,699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Nonperforming assets to total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0.44 %</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Nonaccrual assets to total assets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0.36 %</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Nonaccrual loans to total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0.53 %</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Allowance for credit losses on loans to nonaccrual loans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197.58 %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207.53 %</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loans to total loans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Annualized net charge-offs (recoveries) to average loans</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0.27 %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0.16 %</w:t>
            </w:r>
          </w:p>
        </w:tc>
      </w:tr>
    </w:tbl>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Nonperforming assets totaled $36.5 million, or 0.46% of period-end total assets at September 30, 2023, an increase of $7.9 million, compared with $28.6 million, or 0.44% of period-end total assets at December 31, 2022. The increase in non-performing assets at September 30, 2023 compared to December 31, 2022 assets was primarily driven by $8.8 million in construction loans that were placed on nonaccrual status in the third quarter. In addition, a $4.7 million construction loan was transferred from held for sale to held for investment in the second quarter.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$62.9 million, or 0.8% of total assets, at September 30, 2023, as follows: $54.8 million are commercial loans currently in workout that management expects will be rehabilitated; $8.1 million are residential 1-4 family or retail loans at 30-89 days delinquent.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Resell Agreements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2023, we have not entered into any short term investments of resell agreements. As of December 31, 2022, we had entered into $25.8 million of short term investments of resell agreements backed by residential first-lien mortgage loans, with a weighted interest rate of 6.86%.</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Deferred Tax Asset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 deferred tax asset, net of deferred tax liabilities, of $63.3 million at September 30, 2023 and $62.5 million at December 31, 2022. As of September 30, 2023, our deferred tax assets were fully realizable with no valuation allowance held against the balance. Our management concluded that it was more likely than not that the entire amount will be realized.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represent our primary source of funds. We are focused on growing our core deposits through relationship-based banking with our business and consumer clients. Total deposits were $6.99 billion at September 30, 2023, compared to $6.60 billion at December 31, 2022. We believe that our strong deposit franchise is attributable to our mission-based strategy of developing and maintaining relationships with our clients who share similar values and through maintaining a high level of service.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Insured Cash Sweep accounts, Certificate of Deposit Account Registry Service accounts, and brokered certificates of deposit. We bank politically active customers, such as campaigns, political action committees ("PACs"), and state and national party committees, which we refer to as political deposits. These deposits exhibit seasonality based on election cycles. As of September 30, 2023 and December 31, 2022, we had approximately $951.2 million and $643.6 million, respectively, in political deposits which are primarily in demand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uninsured deposits at September 30, 2023 and December 31, 2022 were $3.76 billion and $4.52 billion,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Maturities of time certificates of deposit and other time deposits of more than $250,000 outstanding at September 30, 2023 are summarized as follows:</w:t>
      </w:r>
    </w:p>
    <w:p>
      <w:pPr>
        <w:spacing w:after="0" w:line="2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Maturities as of September 30,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three months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22,026</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After three but within six months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1,865</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six months but within twelve months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twelve months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32,104</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Interest Rate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Potential changes to our net interest income and economic value of equity in hypothetical rising and declining rate scenarios calculated as of September 30, 2023 are presented in the following table. The projections assume immediate, parallel shifts downward of the yield curve of 100 and 200 basis points and immediate, parallel shifts upward of the yield curve of 100, 200, 300, and 400 basis points.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jc w:val="both"/>
        <w:spacing w:after="0" w:line="289" w:lineRule="auto"/>
        <w:rPr>
          <w:sz w:val="20"/>
          <w:szCs w:val="20"/>
          <w:color w:val="auto"/>
        </w:rPr>
      </w:pPr>
      <w:r>
        <w:rPr>
          <w:rFonts w:ascii="Arial" w:cs="Arial" w:eastAsia="Arial" w:hAnsi="Arial"/>
          <w:sz w:val="16"/>
          <w:szCs w:val="16"/>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Change in Market Interest Rates as of</w:t>
            </w:r>
          </w:p>
        </w:tc>
        <w:tc>
          <w:tcPr>
            <w:tcW w:w="19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2023</w:t>
            </w:r>
          </w:p>
        </w:tc>
        <w:tc>
          <w:tcPr>
            <w:tcW w:w="1900" w:type="dxa"/>
            <w:vAlign w:val="bottom"/>
          </w:tcPr>
          <w:p>
            <w:pPr>
              <w:spacing w:after="0"/>
              <w:rPr>
                <w:sz w:val="21"/>
                <w:szCs w:val="21"/>
                <w:color w:val="auto"/>
              </w:rPr>
            </w:pPr>
          </w:p>
        </w:tc>
        <w:tc>
          <w:tcPr>
            <w:tcW w:w="4020" w:type="dxa"/>
            <w:vAlign w:val="bottom"/>
            <w:gridSpan w:val="2"/>
          </w:tcPr>
          <w:p>
            <w:pPr>
              <w:ind w:left="720"/>
              <w:spacing w:after="0"/>
              <w:rPr>
                <w:sz w:val="20"/>
                <w:szCs w:val="20"/>
                <w:color w:val="auto"/>
              </w:rPr>
            </w:pPr>
            <w:r>
              <w:rPr>
                <w:rFonts w:ascii="Arial" w:cs="Arial" w:eastAsia="Arial" w:hAnsi="Arial"/>
                <w:sz w:val="18"/>
                <w:szCs w:val="18"/>
                <w:b w:val="1"/>
                <w:bCs w:val="1"/>
                <w:color w:val="auto"/>
              </w:rPr>
              <w:t>Estimated Increase (Decrease) in:</w:t>
            </w:r>
          </w:p>
        </w:tc>
        <w:tc>
          <w:tcPr>
            <w:tcW w:w="1900" w:type="dxa"/>
            <w:vAlign w:val="bottom"/>
          </w:tcPr>
          <w:p>
            <w:pPr>
              <w:spacing w:after="0"/>
              <w:rPr>
                <w:sz w:val="21"/>
                <w:szCs w:val="21"/>
                <w:color w:val="auto"/>
              </w:rPr>
            </w:pPr>
          </w:p>
        </w:tc>
      </w:tr>
      <w:tr>
        <w:trPr>
          <w:trHeight w:val="169"/>
        </w:trPr>
        <w:tc>
          <w:tcPr>
            <w:tcW w:w="3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color w:val="auto"/>
                <w:w w:val="91"/>
              </w:rPr>
              <w:t>Economic Value of</w:t>
            </w:r>
          </w:p>
        </w:tc>
        <w:tc>
          <w:tcPr>
            <w:tcW w:w="2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Economic Value of</w:t>
            </w:r>
          </w:p>
        </w:tc>
        <w:tc>
          <w:tcPr>
            <w:tcW w:w="2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Year 1 Net Interest</w:t>
            </w:r>
          </w:p>
        </w:tc>
        <w:tc>
          <w:tcPr>
            <w:tcW w:w="1900" w:type="dxa"/>
            <w:vAlign w:val="bottom"/>
            <w:tcBorders>
              <w:top w:val="single" w:sz="8" w:color="auto"/>
            </w:tcBorders>
          </w:tcPr>
          <w:p>
            <w:pPr>
              <w:jc w:val="center"/>
              <w:ind w:left="10"/>
              <w:spacing w:after="0" w:line="169" w:lineRule="exact"/>
              <w:rPr>
                <w:sz w:val="20"/>
                <w:szCs w:val="20"/>
                <w:color w:val="auto"/>
              </w:rPr>
            </w:pPr>
            <w:r>
              <w:rPr>
                <w:rFonts w:ascii="Arial" w:cs="Arial" w:eastAsia="Arial" w:hAnsi="Arial"/>
                <w:sz w:val="18"/>
                <w:szCs w:val="18"/>
                <w:color w:val="auto"/>
                <w:w w:val="89"/>
              </w:rPr>
              <w:t>Year 1 Net Interest</w:t>
            </w:r>
          </w:p>
        </w:tc>
      </w:tr>
      <w:tr>
        <w:trPr>
          <w:trHeight w:val="243"/>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Immediate Shift</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5"/>
              </w:rPr>
              <w:t>Equity</w:t>
            </w:r>
          </w:p>
        </w:tc>
        <w:tc>
          <w:tcPr>
            <w:tcW w:w="2000" w:type="dxa"/>
            <w:vAlign w:val="bottom"/>
          </w:tcPr>
          <w:p>
            <w:pPr>
              <w:jc w:val="center"/>
              <w:spacing w:after="0"/>
              <w:rPr>
                <w:sz w:val="20"/>
                <w:szCs w:val="20"/>
                <w:color w:val="auto"/>
              </w:rPr>
            </w:pPr>
            <w:r>
              <w:rPr>
                <w:rFonts w:ascii="Arial" w:cs="Arial" w:eastAsia="Arial" w:hAnsi="Arial"/>
                <w:sz w:val="18"/>
                <w:szCs w:val="18"/>
                <w:color w:val="auto"/>
                <w:w w:val="96"/>
              </w:rPr>
              <w:t>Equity ($)</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2"/>
              </w:rPr>
              <w:t>Income ($)</w:t>
            </w: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+400 basis points</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-28.5%</w:t>
            </w: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(405,626)</w:t>
            </w: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-18.8%</w:t>
            </w:r>
          </w:p>
        </w:tc>
        <w:tc>
          <w:tcPr>
            <w:tcW w:w="19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(48,463)</w:t>
            </w: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+300 basis points</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1"/>
              </w:rPr>
              <w:t>-19.6%</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(279,661)</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-11.1%</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89"/>
              </w:rPr>
              <w:t>(28,780)</w:t>
            </w:r>
          </w:p>
        </w:tc>
      </w:tr>
      <w:tr>
        <w:trPr>
          <w:trHeight w:val="23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 basis points</w:t>
            </w:r>
          </w:p>
        </w:tc>
        <w:tc>
          <w:tcPr>
            <w:tcW w:w="19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-11.7%</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(167,007)</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(13,926)</w:t>
            </w: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+100 basis points</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3"/>
              </w:rPr>
              <w:t>-4.5%</w:t>
            </w: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(63,638)</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1"/>
              </w:rPr>
              <w:t>(4,538)</w:t>
            </w: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-100 basis points</w:t>
            </w:r>
          </w:p>
        </w:tc>
        <w:tc>
          <w:tcPr>
            <w:tcW w:w="19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-2.1%</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(29,334)</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(3,103)</w:t>
            </w:r>
          </w:p>
        </w:tc>
      </w:tr>
      <w:tr>
        <w:trPr>
          <w:trHeight w:val="230"/>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-200 basis points</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3"/>
              </w:rPr>
              <w:t>-8.1%</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(116,146)</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900" w:type="dxa"/>
            <w:vAlign w:val="bottom"/>
          </w:tcPr>
          <w:p>
            <w:pPr>
              <w:jc w:val="center"/>
              <w:ind w:left="10"/>
              <w:spacing w:after="0"/>
              <w:rPr>
                <w:sz w:val="20"/>
                <w:szCs w:val="20"/>
                <w:color w:val="auto"/>
              </w:rPr>
            </w:pPr>
            <w:r>
              <w:rPr>
                <w:rFonts w:ascii="Arial" w:cs="Arial" w:eastAsia="Arial" w:hAnsi="Arial"/>
                <w:sz w:val="18"/>
                <w:szCs w:val="18"/>
                <w:color w:val="auto"/>
                <w:w w:val="91"/>
              </w:rPr>
              <w:t>(8,187)</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 securities and loan portfolios and deposits. Liquidity management is made more complicated because different balance sheet components are subject to varying degrees of management control.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24 months without the support of dividends from subsidiaries and assuming access to the wholesale markets is maintained. The Company maintains sufficient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liquidity to meet its capital and debt service obligations for 12 months under adverse conditions without the support of dividends from subsidiaries or access to the wholesale markets.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other borrowings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the ability to acquire additional national market non-core deposits, borrowings through the Federal Reserve’s discount window, federal fund purchases and the issuance of debt or equity securities. In addition, following the failures of SIVB and Signature Bank, the Federal Reserve created a new Bank Term Funding Program ("BTFP") as an additional source of liquidity against high-quality securities, offering loans of up to one year to eligible institutions pledging qualifying assets as collateral. We believe that the sources of available liquidity are adequate to meet our current and reasonably foreseeable future liquidity needs.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September 30, 2023, our cash and equivalents, which consist of cash and amounts due from banks and interest-bearing deposits in other financial institutions, amounted to $140.2 million, or 1.8% of total assets, compared to $63.5 million, or 0.8% of total assets at December 31, 2022. The $76.7 million, or 120.7%, increase is due to strategic investment securities sales and borrowings. Our available for sale securities at September 30, 2023 were $1.49 billion, or 18.9% of total assets, compared to $1.81 billion, or 23.1% of total assets at December 31, 2022. Investment securities with an aggregate fair value of $116.2 million at September 30, 2023 were pledged to secure public deposits and repurchase agreements.</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liability portion of the balance sheet serves as our primary source of liquidity.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September 30, 2023, we had $4.4 million advances from the FHLBNY and a remaining credit availability of $1.88 billion. In addition, we maintain borrowing capacity of approximately $588.1 million with the Federal Reserve’s discount window or BTFP that is secured by certain securities from our portfolio which are not pledged for other purposes. Our cash and borrowing capacity totaled $2.6 billion of immediately available funds, in addition to unpledged securities with two-day availability of $576.0 million for total liquidity within two-days of $3.2 billion, which provided coverage for 85% of total uninsured deposits.</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balance related to borrowings from the BTFP at September 30, 2023 was $230.0 million, and is recorded in Other borrowings on the consolidated statements of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Total stockholders’ equity at September 30, 2023 was $546.3 million, compared to $509.0 million at December 31, 2022, an increase of $37.3 million. The increase was primarily driven by $65.3 million of net income and a $3.4 million improvement in accumulated other comprehensive loss due to the tax effected mark-to-market on our securities portfolio, offset by $9.3 million of dividends, $7.2 million in stock repurchases, and a $17.8 million tax effected charge to retained earnings related to the adoption of the CECL standard. We did not elect to utilize the optional three-year phase-in period for the Day 1 adverse regulatory capital effects upon adopting the CECL standard.</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5, 2021, we filed a shelf registration statement with the SEC under which we may offer for sale, from time to time, either separately or together in any combination, equity, debt or other securities described in the shelf registration statement. The registration statement expires on October 5, 2024.</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capital rules adopted in July 2013 and fully phased in as of January 1, 2019, which are referred to as the Basel III rules, impose minimum capital requirements for bank holding companies and banks. The Basel III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is equal to 2.5% of risk-weighted assets.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 shows the regulatory capital ratios for the Bank and the Company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5"/>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3"/>
          </w:tcPr>
          <w:p>
            <w:pPr>
              <w:ind w:left="700"/>
              <w:spacing w:after="0"/>
              <w:rPr>
                <w:sz w:val="20"/>
                <w:szCs w:val="20"/>
                <w:color w:val="auto"/>
              </w:rPr>
            </w:pPr>
            <w:r>
              <w:rPr>
                <w:rFonts w:ascii="Arial" w:cs="Arial" w:eastAsia="Arial" w:hAnsi="Arial"/>
                <w:sz w:val="18"/>
                <w:szCs w:val="18"/>
                <w:b w:val="1"/>
                <w:bCs w:val="1"/>
                <w:color w:val="auto"/>
              </w:rPr>
              <w:t>Actual</w:t>
            </w: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4"/>
          </w:tcPr>
          <w:p>
            <w:pPr>
              <w:jc w:val="center"/>
              <w:ind w:right="420"/>
              <w:spacing w:after="0" w:line="243" w:lineRule="exact"/>
              <w:rPr>
                <w:sz w:val="20"/>
                <w:szCs w:val="20"/>
                <w:color w:val="auto"/>
              </w:rPr>
            </w:pPr>
            <w:r>
              <w:rPr>
                <w:rFonts w:ascii="Arial" w:cs="Arial" w:eastAsia="Arial" w:hAnsi="Arial"/>
                <w:sz w:val="18"/>
                <w:szCs w:val="18"/>
                <w:b w:val="1"/>
                <w:bCs w:val="1"/>
                <w:color w:val="auto"/>
                <w:w w:val="86"/>
              </w:rPr>
              <w:t>Adequacy Purposes</w:t>
            </w:r>
            <w:r>
              <w:rPr>
                <w:rFonts w:ascii="Arial" w:cs="Arial" w:eastAsia="Arial" w:hAnsi="Arial"/>
                <w:sz w:val="23"/>
                <w:szCs w:val="23"/>
                <w:b w:val="1"/>
                <w:bCs w:val="1"/>
                <w:color w:val="auto"/>
                <w:w w:val="86"/>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Ratio</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gridSpan w:val="3"/>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September 30, 2023</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766,401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15.28 %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401,208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633,166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321,014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501,495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Tier I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688,306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300,897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401,196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Tier I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401,264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2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688,306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225,673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325,972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721,324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14.87 %</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387,957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290,967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317,738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Bank:</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485,134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Tier 1 capital to risk weighted assets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668,864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13.79 %</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291,080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388,107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396,389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Common equity tier 1 to risk weighted assets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668,864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13.79 %</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218,310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w w:val="98"/>
              </w:rPr>
              <w:t>315,337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(1) Amounts are shown exclusive of the capital conservation buffer of 2.50%.</w:t>
      </w:r>
    </w:p>
    <w:p>
      <w:pPr>
        <w:spacing w:after="0" w:line="22"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As of September 30, 2023, the Bank was categorized as “well capitalized” under the prompt corrective action measures and met the capital conservation buffer requirements.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entered into contractual obligations in the normal course of business that involve elements of credit risk, interest rate risk and liquidity risk. The following table summarizes these relations as of September 30,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8"/>
              </w:rPr>
              <w:t>More than 5</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5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Less than 1 year</w:t>
            </w:r>
          </w:p>
        </w:tc>
        <w:tc>
          <w:tcPr>
            <w:tcW w:w="24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4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Subordinated Debt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70,427</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i w:val="1"/>
                <w:iCs w:val="1"/>
                <w:color w:val="auto"/>
              </w:rPr>
              <w:t>Operating Leases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Purchase Obligations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572,448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34,704</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109,681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Investment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party to agreements with Pace Funding Group LLC, which operates Home Run Financing, for the purchase of PACE, assessment securities until December 2023. As of September 30, 2023, we had purchased $662.4 million of these obligations and had an estimated remaining commitment of $69.3 million. The PACE assessments have equal-lien priority with property taxes and generally rank senior to first lien mortgages. The PACE assessments held in the Company's available for sale and held-to-maturity investment portfolios at September 30, 2023 were $38.5 million and $1.07 billion,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Material changes in our market risk as of September 30, 2023 from that presented in the 2022 Annual Report are described in Part II, Item 1A of this Form 10-Q below. Our interest rate sensitivity position at September 30, 2023 is set forth in the table labeled “Evaluation of Interest Rate Risk” in Management’s Discussion and Analysis of Financial Condition and Results of Operation of this Quarterly Report on Form 10-Q and incorporated herein by this reference.</w:t>
      </w: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have evaluated the effectiveness of our disclosure controls and procedures (as defined in Exchange Act Rule 13a-15(e), as of September 30, 2023. Based on such evaluations, our principal executive officer and principal financial officer concluded that, as of such date, our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such term is defined in Exchange Act Rule 13a-15(f)) that occurred during the quarter ended September 30, 2023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in shares of our common stock involves certain risks, including those identified and described in Item 1A. of our Annual Report on Form 10-K for the fiscal year ended December 31, 2022, as filed with the SEC on March 9, 2023, as well as cautionary statements contained in this report, including those under the caption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risks and matters described elsewhere in this report and in our other filings with the SEC.</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Material changes to the risk factors previously disclosed in our Annual Report on Form 10-K for the fiscal year ended December 31, 2022 are listed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stress and volatility in the banking sector related to recent bank failures.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March 10, 2023 failure of Santa Clara, California-based Silicon Valley Bank, and subsequent bank failures in 2023, have generated concerns regarding the overall health and liquidity of the banking sector. The Board of Governors of the Federal Reserve System, Department of Treasury and the FDIC issued a joint statement concerning actions they had taken in response to the bank failures. The Federal Reserve Board announced that it would make available additional funding to eligible depository institutions through the creation of a new Bank Term Funding Program. Despite these actions, concern about the banking sector could continue into the future, which could lead to difficulties in attracting and maintaining deposits and customers. In addition, the FDIC is likely to increase the costs of insurance assessments and impose special assessments on some or all banks in order to replenish the Deposit Insurance Fund, the amounts of which are outside of our control. Any of these events could materially and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see increased credit risk due to recent bank failures.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net income for the first quarter of 2023 reflected a $1.2 million impairment charge to provision expense on a SIVB Corporate bond and a $0.6 million loss related to the sale of a portion of the SIVB Corporate bond. Because the financial system contains many interdependencies, the failures of additional banks and financial institutions that are counterparties to commercial agreements with us could lead to additional credit losses, threaten our investments, and adversely affect our ability to meet our own contractual obligations, originate new loans, invest in securities, or fulfill obligations to customers and depositors. If any of our customers are unable to access deposits or lending arrangements with other financial institutions, they could experience a downgrade in their credit quality or lose their ability to repay their obligations to us. These negative events may cause us to incur losses and may adversely affect our capital, liquidity and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require liquidity to meet our deposit and debt obligations as they come due. Our access to funding sources in amounts adequate to finance our activities or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are concentrated, difficult credit markets, adverse regulatory or judicial actions against labor unions, political organizations or not-for profits, adverse regulatory actions against us, declines in the value of our investments, and ongoing instability and concerns in the banking sector following recent high-profile bank failures.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Liquidity constraints may require that we sell investment securities at a loss, negatively impacting our net income, earnings, and capital. As of September 30, 2023, our net unrealized losses on available for sale securities totaled $128.7 million, and our net unrecognized losses on held-to-maturity securities totaled $204.8 million. Our access to deposits may also be affected by the liquidity needs of our depositors, particularly in an inflationary environment where they may be compelled to withdraw deposits in order to cover rising expenses. As a part of our liquidity management, we must ensure we can respond effectively to potential volatility in our customers’ deposit balances. For instance, our political campaigns, PACs, and state and national party committee clients totaled $951.2 million in deposits as of September 30, 2023 and may increase or decrease their deposit balances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3" w:name="page74"/>
    <w:bookmarkEnd w:id="73"/>
    <w:p>
      <w:pPr>
        <w:jc w:val="both"/>
        <w:spacing w:after="0" w:line="239" w:lineRule="auto"/>
        <w:rPr>
          <w:sz w:val="20"/>
          <w:szCs w:val="20"/>
          <w:color w:val="auto"/>
        </w:rPr>
      </w:pPr>
      <w:r>
        <w:rPr>
          <w:rFonts w:ascii="Arial" w:cs="Arial" w:eastAsia="Arial" w:hAnsi="Arial"/>
          <w:sz w:val="18"/>
          <w:szCs w:val="18"/>
          <w:color w:val="auto"/>
        </w:rPr>
        <w:t>significantly as we approach an election campaign, resulting in short-term volatility in their deposit balances held with us through election cycles. Although we have been able to replace maturing or withdrawn deposits and advances historically as necessary, we might not be able to replace such funds in the future, especially if a large number of our depositors or those depositors with a high concentration of deposits sought to withdraw their accounts. We could encounter difficulty meeting a significant deposit outflow which could negatively impact our profitability or reputation. Any long-term decline in deposit funding would adversely affect our liquidity. While we believe our funding sources are adequate to meet any significant unanticipated deposit withdrawal, we may not be able to manage the risk of deposit volatility effectively. A failure to maintain adequate liquidity could materially and adversely affect our business, results of operations or financial condition.</w:t>
      </w:r>
    </w:p>
    <w:p>
      <w:pPr>
        <w:spacing w:after="0" w:line="20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recent bank failures caused substantial market disruption that has not yet stabilized, leading to ongoing concerns about the liquidity of the financial services industry. Ongoing destabilization could exacerbate deposit outflows due to concerns that deposits held at the Bank exceed the amount of insurance provided by the FDIC, which provides basic deposit coverage with limits up to $250,000 per customer. In particular, continuing negative media attention and the rapid spread of rumors, concerns and misinformation on social media could cause panic among investors, depositors, customers and the general public. Deposit outflows could increase if customers with uninsured deposits look for alternative placements for their funds to weather banking sector volatility and instability. Our total estimated uninsured deposits at September 30, 2023 was $3.8 billion. Our cash and borrowing capacity totaled</w:t>
      </w:r>
    </w:p>
    <w:p>
      <w:pPr>
        <w:spacing w:after="0" w:line="3"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$2.6 billion of immediately available funds, in addition to unpledged securities with two-day availability of $576.0 million for total liquidity within two-days of $3.2 billion, which provided coverage for 85% of total uninsured deposits. An increase in deposit outflows could require us to seek alternate sources of liquidity to fund our operations and meet withdrawal demands. These alternate sources of liquidity could include higher-cost borrowings (as a result of competition for liquidity and rising interest rates), which could negatively affect our financial performance. Regulators could impose new requirements on banks, which could limit future growth. These changes may be more difficult or expensive than we anticipate.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could face volatility due to banking sector uncertainty.</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recent bank failures have negatively impacted the price of securities issued by financial institutions, which underscores the sensitivity of bank holding company public trading prices to generalized concerns about the health of the banking industry as a whole, regardless of the health of a particular institution. Ongoing stress in the banking sector could adversely impact the market price of our common stock and our business, financial condition and results of operations. We cannot predict if investors will find our common stock less attractive as a result of these market stresses.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Fiscal challenges facing the U.S. government could negatively impact the value of investments in GSEs and the financial markets, which in turn could have an adverse effect on our financial position or results of operations.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Fiscal challenges facing the U.S. government, such as the recent downgrade of the sovereign credit ratings of the U.S. by Fitch Ratings, could have an adverse impact on value of investments in GSEs and on the financial markets, interest rates and economic conditions in the U.S. and worldwide. Federal budget deficit concerns and the potential for political conflict over legislation to fund U.S. government operations and raise the U.S. government's debt limit may increase the possibility of a default by the U.S. government on its debt obligations, additional related credit-rating downgrades, or an economic recession in the U.S. A significant portion of our securities portfolio is invested in GSE securities. As a result of uncertain domestic political conditions, including potential future federal government shutdowns or the possibility of the federal government defaulting on its obligations for a period of time, investments in financial instruments issued or guaranteed by the federal government pose liquidity and credit risks.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debt default or further downgrades to the U.S. government’s sovereign credit rating or its perceived creditworthiness could also adversely affect the ability of the U.S. government to support the financial stability of Fannie Mae, Freddie Mac and the FHLBNY, with which we do business and in whose securities we invest.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contains information regarding purchases of our common stock during the three months ended September 30, 2023 by or on behalf of the Company or any “affiliate purchaser” as defined in Rule 10b-18(a)(3) under the Exchange Act: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Period (Settlement 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 through July 31,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 through August 31,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September 1 through September 30, 2023</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Total number of</w:t>
            </w: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r>
      <w:tr>
        <w:trPr>
          <w:trHeight w:val="189"/>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5"/>
              </w:rPr>
              <w:t>shares purchased as</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w w:val="92"/>
              </w:rPr>
              <w:t>Approximate dollar value</w:t>
            </w:r>
          </w:p>
        </w:tc>
      </w:tr>
      <w:tr>
        <w:trPr>
          <w:trHeight w:val="176"/>
        </w:trPr>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that may yet be</w:t>
            </w:r>
          </w:p>
        </w:tc>
      </w:tr>
      <w:tr>
        <w:trPr>
          <w:trHeight w:val="189"/>
        </w:trPr>
        <w:tc>
          <w:tcPr>
            <w:tcW w:w="188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1"/>
              </w:rPr>
              <w:t>Total number of</w:t>
            </w:r>
          </w:p>
        </w:tc>
        <w:tc>
          <w:tcPr>
            <w:tcW w:w="140" w:type="dxa"/>
            <w:vAlign w:val="bottom"/>
          </w:tcPr>
          <w:p>
            <w:pPr>
              <w:spacing w:after="0"/>
              <w:rPr>
                <w:sz w:val="16"/>
                <w:szCs w:val="16"/>
                <w:color w:val="auto"/>
              </w:rPr>
            </w:pPr>
          </w:p>
        </w:tc>
        <w:tc>
          <w:tcPr>
            <w:tcW w:w="150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rPr>
              <w:t>Average price</w:t>
            </w:r>
          </w:p>
        </w:tc>
        <w:tc>
          <w:tcPr>
            <w:tcW w:w="16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announced plans or</w:t>
            </w:r>
          </w:p>
        </w:tc>
        <w:tc>
          <w:tcPr>
            <w:tcW w:w="200" w:type="dxa"/>
            <w:vAlign w:val="bottom"/>
          </w:tcPr>
          <w:p>
            <w:pPr>
              <w:spacing w:after="0"/>
              <w:rPr>
                <w:sz w:val="16"/>
                <w:szCs w:val="16"/>
                <w:color w:val="auto"/>
              </w:rPr>
            </w:pPr>
          </w:p>
        </w:tc>
        <w:tc>
          <w:tcPr>
            <w:tcW w:w="206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w w:val="90"/>
              </w:rPr>
              <w:t>purchased under plans or</w:t>
            </w:r>
          </w:p>
        </w:tc>
      </w:tr>
      <w:tr>
        <w:trPr>
          <w:trHeight w:val="229"/>
        </w:trPr>
        <w:tc>
          <w:tcPr>
            <w:tcW w:w="188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3"/>
              </w:rPr>
              <w:t xml:space="preserve">shares purchased </w:t>
            </w:r>
            <w:r>
              <w:rPr>
                <w:rFonts w:ascii="Arial" w:cs="Arial" w:eastAsia="Arial" w:hAnsi="Arial"/>
                <w:sz w:val="23"/>
                <w:szCs w:val="23"/>
                <w:b w:val="1"/>
                <w:bCs w:val="1"/>
                <w:color w:val="auto"/>
                <w:w w:val="83"/>
                <w:vertAlign w:val="superscript"/>
              </w:rPr>
              <w:t>(1)</w:t>
            </w:r>
          </w:p>
        </w:tc>
        <w:tc>
          <w:tcPr>
            <w:tcW w:w="140" w:type="dxa"/>
            <w:vAlign w:val="bottom"/>
          </w:tcPr>
          <w:p>
            <w:pPr>
              <w:spacing w:after="0"/>
              <w:rPr>
                <w:sz w:val="19"/>
                <w:szCs w:val="19"/>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 per share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470"/>
              <w:spacing w:after="0" w:line="230" w:lineRule="exact"/>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3"/>
                <w:szCs w:val="23"/>
                <w:b w:val="1"/>
                <w:bCs w:val="1"/>
                <w:color w:val="auto"/>
                <w:vertAlign w:val="superscript"/>
              </w:rPr>
              <w:t>(2)</w:t>
            </w:r>
          </w:p>
        </w:tc>
      </w:tr>
      <w:tr>
        <w:trPr>
          <w:trHeight w:val="222"/>
        </w:trPr>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120,710</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112,158</w:t>
            </w:r>
          </w:p>
        </w:tc>
        <w:tc>
          <w:tcPr>
            <w:tcW w:w="200" w:type="dxa"/>
            <w:vAlign w:val="bottom"/>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21,413,458</w:t>
            </w:r>
          </w:p>
        </w:tc>
      </w:tr>
      <w:tr>
        <w:trPr>
          <w:trHeight w:val="229"/>
        </w:trPr>
        <w:tc>
          <w:tcPr>
            <w:tcW w:w="1680" w:type="dxa"/>
            <w:vAlign w:val="bottom"/>
          </w:tcPr>
          <w:p>
            <w:pPr>
              <w:jc w:val="right"/>
              <w:spacing w:after="0"/>
              <w:rPr>
                <w:sz w:val="20"/>
                <w:szCs w:val="20"/>
                <w:color w:val="auto"/>
              </w:rPr>
            </w:pPr>
            <w:r>
              <w:rPr>
                <w:rFonts w:ascii="Arial" w:cs="Arial" w:eastAsia="Arial" w:hAnsi="Arial"/>
                <w:sz w:val="18"/>
                <w:szCs w:val="18"/>
                <w:color w:val="auto"/>
              </w:rPr>
              <w:t>26,871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19,590</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21,042,899</w:t>
            </w:r>
          </w:p>
        </w:tc>
      </w:tr>
      <w:tr>
        <w:trPr>
          <w:trHeight w:val="230"/>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20,867,261</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157,581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2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141,748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-334010</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-633730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720"/>
            <w:col w:w="7440"/>
          </w:cols>
          <w:pgMar w:left="320" w:top="931" w:right="339" w:bottom="1440" w:gutter="0" w:footer="0" w:header="0"/>
          <w:type w:val="continuous"/>
        </w:sectPr>
      </w:pPr>
    </w:p>
    <w:p>
      <w:pPr>
        <w:spacing w:after="0" w:line="119" w:lineRule="exact"/>
        <w:rPr>
          <w:sz w:val="20"/>
          <w:szCs w:val="20"/>
          <w:color w:val="auto"/>
        </w:rPr>
      </w:pPr>
    </w:p>
    <w:p>
      <w:pPr>
        <w:ind w:firstLine="8"/>
        <w:spacing w:after="0" w:line="273"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shares withheld by the Company to pay the costs associated with tax withholdings related to the exercise of stock options and RSU and PSU vesting. There were 7,585 shares withheld for taxes during the quarter.</w:t>
      </w:r>
    </w:p>
    <w:p>
      <w:pPr>
        <w:spacing w:after="0" w:line="214" w:lineRule="exact"/>
        <w:rPr>
          <w:rFonts w:ascii="Arial" w:cs="Arial" w:eastAsia="Arial" w:hAnsi="Arial"/>
          <w:sz w:val="14"/>
          <w:szCs w:val="14"/>
          <w:color w:val="auto"/>
        </w:rPr>
      </w:pPr>
    </w:p>
    <w:p>
      <w:pPr>
        <w:jc w:val="both"/>
        <w:ind w:firstLine="8"/>
        <w:spacing w:after="0" w:line="277" w:lineRule="auto"/>
        <w:tabs>
          <w:tab w:leader="none" w:pos="207"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 February 25, 2022, the Company’s Board of Directors approved an increase to the share repurchase program authorizing the repurchase of an aggregate amount up to $40 million of the Company's outstanding common stock. The authorization did not require the Company to acquire any specified number of shares and can be suspended or discontinued without prior notice. Under this authorization, $2.6 million of common stock was purchased during the third quarter of 2023.</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5" w:name="page76"/>
    <w:bookmarkEnd w:id="75"/>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July 31, 2023, Sean Searby, Executive Vice President, Chief Operations Officer, adopted a Rule 10b5-1 trading arrangement that is intended to satisfy the affirmative defense of Rule 10b5-1(c) for the sale of up to 5,500 shares of the Company’s common stock, net of shares to be withheld for taxes upon the exercise or vesting of underlying stock awards, with such transactions to occur during sale periods beginning on or after November 6, 2023 and ending on the earlier of October 31, 2024 or the date on which all shares authorized for sale have been sold in conformance with the terms of the arrangement.</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August 14, 2023, Mandy Tenner, Executive Vice President and General Counsel, adopted a Rule 10b5-1 trading arrangement that is intended to satisfy the affirmative defense of Rule 10b5-1(c) for the sale of up to 12,155 shares of the Company’s common stock, net of shares to be withheld for taxes upon the exercise or vesting of underlying stock awards, with such transactions to occur during sale periods beginning on or after November 13, 2023 and ending on the earlier of November 12, 2024 or the date on which all shares authorized for sale have been sold in conformance with the terms of the arrangement.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Item 6. Exhibits.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797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51263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34" w:lineRule="exact"/>
        <w:rPr>
          <w:sz w:val="20"/>
          <w:szCs w:val="20"/>
          <w:color w:val="auto"/>
        </w:rPr>
      </w:pPr>
    </w:p>
    <w:p>
      <w:pPr>
        <w:jc w:val="both"/>
        <w:ind w:right="539"/>
        <w:spacing w:after="0" w:line="277"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Certificate of Incorporation of Amalgamated Financial Corp. (incorporated by reference to Exhibit 3.1 to</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Amalgamated Financial Corp.’s Current Report on Form 8-K filed with the SEC on March 1, 2021).</w:t>
        </w:r>
      </w:hyperlink>
    </w:p>
    <w:p>
      <w:pPr>
        <w:spacing w:after="0" w:line="278" w:lineRule="exact"/>
        <w:rPr>
          <w:sz w:val="20"/>
          <w:szCs w:val="20"/>
          <w:color w:val="auto"/>
        </w:rPr>
      </w:pPr>
    </w:p>
    <w:p>
      <w:pPr>
        <w:jc w:val="both"/>
        <w:ind w:right="559"/>
        <w:spacing w:after="0" w:line="277" w:lineRule="auto"/>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Bylaws of Amalgamated Financial Corp. (incorporated by reference to Exhibit 3.2 to Amalgamated Financial</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Corp.’s Current Report on Form 8-K filed with the SEC on March 1, 2021).</w:t>
        </w:r>
      </w:hyperlink>
    </w:p>
    <w:p>
      <w:pPr>
        <w:spacing w:after="0" w:line="278" w:lineRule="exact"/>
        <w:rPr>
          <w:sz w:val="20"/>
          <w:szCs w:val="20"/>
          <w:color w:val="auto"/>
        </w:rPr>
      </w:pPr>
    </w:p>
    <w:p>
      <w:pPr>
        <w:jc w:val="both"/>
        <w:ind w:right="539"/>
        <w:spacing w:after="0" w:line="259" w:lineRule="auto"/>
        <w:rPr>
          <w:sz w:val="20"/>
          <w:szCs w:val="20"/>
          <w:color w:val="auto"/>
        </w:rPr>
      </w:pPr>
      <w:r>
        <w:rPr>
          <w:rFonts w:ascii="Arial" w:cs="Arial" w:eastAsia="Arial" w:hAnsi="Arial"/>
          <w:sz w:val="18"/>
          <w:szCs w:val="18"/>
          <w:color w:val="auto"/>
        </w:rPr>
        <w:t>Pursuant to Item 601(b)(4)(iii)(A), other instruments that define the rights of holders of the long-term indebtedness of Amalgamated Financial Corp. and its subsidiaries that does not exceed 10% of its consolidated assets have not been filed; however, Amalgamated Financial Corp. agrees to furnish a copy of any such agreement to the SEC upon request.</w:t>
      </w:r>
    </w:p>
    <w:p>
      <w:pPr>
        <w:spacing w:after="0" w:line="295" w:lineRule="exact"/>
        <w:rPr>
          <w:sz w:val="20"/>
          <w:szCs w:val="20"/>
          <w:color w:val="auto"/>
        </w:rPr>
      </w:pPr>
    </w:p>
    <w:p>
      <w:pPr>
        <w:ind w:right="599"/>
        <w:spacing w:after="0" w:line="263" w:lineRule="auto"/>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Amalgamated Financial Corp. Equity Incentive Plan (incorporated by reference to Annex A of the</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Amalgamated Financial Corp.’s Definitive Proxy Statement on form DEF 14A filed with the SEC on April 14,</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2023).</w:t>
        </w:r>
      </w:hyperlink>
    </w:p>
    <w:p>
      <w:pPr>
        <w:spacing w:after="0" w:line="29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Rule 13a-14(a) Certification of the Chief Executive Officer</w:t>
      </w:r>
    </w:p>
    <w:p>
      <w:pPr>
        <w:spacing w:after="0" w:line="27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Rule 13a-14(a) Certification of the Chief Financial Officer</w:t>
      </w:r>
    </w:p>
    <w:p>
      <w:pPr>
        <w:spacing w:after="0" w:line="27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Section 1350 Certifications</w:t>
      </w:r>
    </w:p>
    <w:p>
      <w:pPr>
        <w:spacing w:after="0" w:line="266" w:lineRule="exact"/>
        <w:rPr>
          <w:rFonts w:ascii="Arial" w:cs="Arial" w:eastAsia="Arial" w:hAnsi="Arial"/>
          <w:sz w:val="18"/>
          <w:szCs w:val="18"/>
          <w:u w:val="single" w:color="auto"/>
          <w:color w:val="0000FF"/>
        </w:rPr>
      </w:pPr>
    </w:p>
    <w:p>
      <w:pPr>
        <w:jc w:val="both"/>
        <w:ind w:right="539"/>
        <w:spacing w:after="0" w:line="248" w:lineRule="auto"/>
        <w:rPr>
          <w:sz w:val="20"/>
          <w:szCs w:val="20"/>
          <w:color w:val="auto"/>
        </w:rPr>
      </w:pPr>
      <w:r>
        <w:rPr>
          <w:rFonts w:ascii="Arial" w:cs="Arial" w:eastAsia="Arial" w:hAnsi="Arial"/>
          <w:sz w:val="16"/>
          <w:szCs w:val="16"/>
          <w:color w:val="auto"/>
        </w:rPr>
        <w:t>Interactive data files for the Quarterly Report on Form 10-Q of Amalgamated Financial Corp. for the quarter ended September 30, 2023, formatted in iXBRL (Inline eXtensible Business Reporting Language): (i)</w:t>
      </w:r>
    </w:p>
    <w:p>
      <w:pPr>
        <w:jc w:val="both"/>
        <w:ind w:right="539"/>
        <w:spacing w:after="0" w:line="234" w:lineRule="auto"/>
        <w:rPr>
          <w:sz w:val="20"/>
          <w:szCs w:val="20"/>
          <w:color w:val="auto"/>
        </w:rPr>
      </w:pPr>
      <w:r>
        <w:rPr>
          <w:rFonts w:ascii="Arial" w:cs="Arial" w:eastAsia="Arial" w:hAnsi="Arial"/>
          <w:sz w:val="16"/>
          <w:szCs w:val="16"/>
          <w:color w:val="auto"/>
        </w:rPr>
        <w:t>Consolidated Statements of Financial Condition at September 30, 2023 and December 31, 2022, (ii) Consolidated Statements of Income for the quarters ended September 30, 2023 and 2022, (iii) Consolidated Statements of Comprehensive Income for the quarters ended September 30, 2023 and 2022, (iv) Consolidated</w:t>
      </w:r>
    </w:p>
    <w:p>
      <w:pPr>
        <w:spacing w:after="0" w:line="2" w:lineRule="exact"/>
        <w:rPr>
          <w:rFonts w:ascii="Arial" w:cs="Arial" w:eastAsia="Arial" w:hAnsi="Arial"/>
          <w:sz w:val="18"/>
          <w:szCs w:val="18"/>
          <w:u w:val="single" w:color="auto"/>
          <w:color w:val="0000FF"/>
        </w:rPr>
      </w:pPr>
    </w:p>
    <w:p>
      <w:pPr>
        <w:jc w:val="both"/>
        <w:ind w:right="539"/>
        <w:spacing w:after="0" w:line="218" w:lineRule="auto"/>
        <w:rPr>
          <w:sz w:val="20"/>
          <w:szCs w:val="20"/>
          <w:color w:val="auto"/>
        </w:rPr>
      </w:pPr>
      <w:r>
        <w:rPr>
          <w:rFonts w:ascii="Arial" w:cs="Arial" w:eastAsia="Arial" w:hAnsi="Arial"/>
          <w:sz w:val="18"/>
          <w:szCs w:val="18"/>
          <w:color w:val="auto"/>
        </w:rPr>
        <w:t>Statements of Changes in Shareholders’ Equity for the quarters ended September 30, 2023 and 2022, (v) Consolidated Statements of Cash Flows for the quarters ended September 30, 2023 and 2022 and (vi) Notes to Consolidated Financial Statements (unaudited).</w:t>
      </w:r>
    </w:p>
    <w:p>
      <w:pPr>
        <w:spacing w:after="0" w:line="230" w:lineRule="exact"/>
        <w:rPr>
          <w:rFonts w:ascii="Arial" w:cs="Arial" w:eastAsia="Arial" w:hAnsi="Arial"/>
          <w:sz w:val="18"/>
          <w:szCs w:val="18"/>
          <w:u w:val="single" w:color="auto"/>
          <w:color w:val="0000FF"/>
        </w:rPr>
      </w:pPr>
    </w:p>
    <w:p>
      <w:pPr>
        <w:jc w:val="both"/>
        <w:ind w:right="559"/>
        <w:spacing w:after="0" w:line="235" w:lineRule="auto"/>
        <w:rPr>
          <w:sz w:val="20"/>
          <w:szCs w:val="20"/>
          <w:color w:val="auto"/>
        </w:rPr>
      </w:pPr>
      <w:r>
        <w:rPr>
          <w:rFonts w:ascii="Arial" w:cs="Arial" w:eastAsia="Arial" w:hAnsi="Arial"/>
          <w:sz w:val="18"/>
          <w:szCs w:val="18"/>
          <w:color w:val="auto"/>
        </w:rPr>
        <w:t>The cover page of Amalgamated Financial Corp.’s Form 10-Q Report for the quarter ended September 30, 2023, formatted in iXBRL (included with the Exhibit 101 attachments).</w:t>
      </w:r>
    </w:p>
    <w:p>
      <w:pPr>
        <w:spacing w:after="0" w:line="200" w:lineRule="exact"/>
        <w:rPr>
          <w:rFonts w:ascii="Arial" w:cs="Arial" w:eastAsia="Arial" w:hAnsi="Arial"/>
          <w:sz w:val="18"/>
          <w:szCs w:val="18"/>
          <w:u w:val="single" w:color="auto"/>
          <w:color w:val="0000FF"/>
        </w:rPr>
      </w:pPr>
    </w:p>
    <w:p>
      <w:pPr>
        <w:spacing w:after="0" w:line="205" w:lineRule="exact"/>
        <w:rPr>
          <w:rFonts w:ascii="Arial" w:cs="Arial" w:eastAsia="Arial" w:hAnsi="Arial"/>
          <w:sz w:val="18"/>
          <w:szCs w:val="18"/>
          <w:u w:val="single" w:color="auto"/>
          <w:color w:val="0000FF"/>
        </w:rPr>
      </w:pPr>
    </w:p>
    <w:p>
      <w:pPr>
        <w:jc w:val="center"/>
        <w:ind w:right="459"/>
        <w:spacing w:after="0"/>
        <w:rPr>
          <w:sz w:val="20"/>
          <w:szCs w:val="20"/>
          <w:color w:val="auto"/>
        </w:rPr>
      </w:pPr>
      <w:r>
        <w:rPr>
          <w:rFonts w:ascii="Arial" w:cs="Arial" w:eastAsia="Arial" w:hAnsi="Arial"/>
          <w:sz w:val="18"/>
          <w:szCs w:val="18"/>
          <w:color w:val="auto"/>
        </w:rPr>
        <w:t>73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-997585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80" w:space="280"/>
            <w:col w:w="8579"/>
          </w:cols>
          <w:pgMar w:left="320" w:top="1134" w:right="1440" w:bottom="1440" w:gutter="0" w:footer="0" w:header="0"/>
        </w:sectPr>
      </w:pPr>
    </w:p>
    <w:bookmarkStart w:id="77" w:name="page78"/>
    <w:bookmarkEnd w:id="77"/>
    <w:p>
      <w:pPr>
        <w:spacing w:after="0" w:line="3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AMALGAMATED FINANCIAL CORP.</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257"/>
        </w:trPr>
        <w:tc>
          <w:tcPr>
            <w:tcW w:w="1800" w:type="dxa"/>
            <w:vAlign w:val="bottom"/>
          </w:tcPr>
          <w:p>
            <w:pPr>
              <w:spacing w:after="0"/>
              <w:rPr>
                <w:sz w:val="20"/>
                <w:szCs w:val="20"/>
                <w:color w:val="auto"/>
              </w:rPr>
            </w:pPr>
            <w:r>
              <w:rPr>
                <w:rFonts w:ascii="Arial" w:cs="Arial" w:eastAsia="Arial" w:hAnsi="Arial"/>
                <w:sz w:val="18"/>
                <w:szCs w:val="18"/>
                <w:color w:val="auto"/>
              </w:rPr>
              <w:t>November 3, 2023</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Priscilla Sims Brown</w:t>
            </w:r>
          </w:p>
        </w:tc>
      </w:tr>
      <w:tr>
        <w:trPr>
          <w:trHeight w:val="222"/>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Priscilla Sims Brown</w:t>
            </w:r>
          </w:p>
        </w:tc>
      </w:tr>
      <w:tr>
        <w:trPr>
          <w:trHeight w:val="229"/>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99"/>
        </w:trPr>
        <w:tc>
          <w:tcPr>
            <w:tcW w:w="1800" w:type="dxa"/>
            <w:vAlign w:val="bottom"/>
          </w:tcPr>
          <w:p>
            <w:pPr>
              <w:spacing w:after="0"/>
              <w:rPr>
                <w:sz w:val="20"/>
                <w:szCs w:val="20"/>
                <w:color w:val="auto"/>
              </w:rPr>
            </w:pPr>
            <w:r>
              <w:rPr>
                <w:rFonts w:ascii="Arial" w:cs="Arial" w:eastAsia="Arial" w:hAnsi="Arial"/>
                <w:sz w:val="18"/>
                <w:szCs w:val="18"/>
                <w:color w:val="auto"/>
              </w:rPr>
              <w:t>November 3, 2023</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Darby</w:t>
            </w:r>
          </w:p>
        </w:tc>
      </w:tr>
      <w:tr>
        <w:trPr>
          <w:trHeight w:val="222"/>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Jason Darby</w:t>
            </w:r>
          </w:p>
        </w:tc>
      </w:tr>
      <w:tr>
        <w:trPr>
          <w:trHeight w:val="229"/>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tc>
      </w:tr>
      <w:tr>
        <w:trPr>
          <w:trHeight w:val="500"/>
        </w:trPr>
        <w:tc>
          <w:tcPr>
            <w:tcW w:w="1800" w:type="dxa"/>
            <w:vAlign w:val="bottom"/>
          </w:tcPr>
          <w:p>
            <w:pPr>
              <w:spacing w:after="0"/>
              <w:rPr>
                <w:sz w:val="20"/>
                <w:szCs w:val="20"/>
                <w:color w:val="auto"/>
              </w:rPr>
            </w:pPr>
            <w:r>
              <w:rPr>
                <w:rFonts w:ascii="Arial" w:cs="Arial" w:eastAsia="Arial" w:hAnsi="Arial"/>
                <w:sz w:val="18"/>
                <w:szCs w:val="18"/>
                <w:color w:val="auto"/>
              </w:rPr>
              <w:t>November 3, 2023</w:t>
            </w:r>
          </w:p>
        </w:tc>
        <w:tc>
          <w:tcPr>
            <w:tcW w:w="900" w:type="dxa"/>
            <w:vAlign w:val="bottom"/>
          </w:tcPr>
          <w:p>
            <w:pPr>
              <w:ind w:left="46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Leslie Veluswamy</w:t>
            </w:r>
          </w:p>
        </w:tc>
      </w:tr>
      <w:tr>
        <w:trPr>
          <w:trHeight w:val="222"/>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Leslie Veluswamy</w:t>
            </w:r>
          </w:p>
        </w:tc>
      </w:tr>
      <w:tr>
        <w:trPr>
          <w:trHeight w:val="230"/>
        </w:trPr>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30"/>
        </w:trPr>
        <w:tc>
          <w:tcPr>
            <w:tcW w:w="1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r>
        <w:trPr>
          <w:trHeight w:val="648"/>
        </w:trPr>
        <w:tc>
          <w:tcPr>
            <w:tcW w:w="18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1440" w:right="6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Amalgamated Financial Corp.;</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hanging="4"/>
        <w:spacing w:after="0" w:line="263" w:lineRule="auto"/>
        <w:tabs>
          <w:tab w:leader="none" w:pos="129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4"/>
        <w:spacing w:after="0" w:line="263"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40" w:hanging="4"/>
        <w:spacing w:after="0" w:line="342" w:lineRule="auto"/>
        <w:tabs>
          <w:tab w:leader="none" w:pos="129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20" w:hanging="4"/>
        <w:spacing w:after="0" w:line="263"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0" w:hanging="4"/>
        <w:spacing w:after="0" w:line="342" w:lineRule="auto"/>
        <w:tabs>
          <w:tab w:leader="none" w:pos="1299"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right="160" w:hanging="4"/>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744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Priscilla Sims Brown, President and Chief Executive Officer</w:t>
      </w:r>
    </w:p>
    <w:p>
      <w:pPr>
        <w:sectPr>
          <w:pgSz w:w="11900" w:h="16838" w:orient="portrait"/>
          <w:cols w:equalWidth="0" w:num="1">
            <w:col w:w="11240"/>
          </w:cols>
          <w:pgMar w:left="320" w:top="89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Amalgamated Financial Corp.;</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hanging="4"/>
        <w:spacing w:after="0" w:line="263" w:lineRule="auto"/>
        <w:tabs>
          <w:tab w:leader="none" w:pos="12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4"/>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40" w:hanging="4"/>
        <w:spacing w:after="0" w:line="342" w:lineRule="auto"/>
        <w:tabs>
          <w:tab w:leader="none" w:pos="129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20" w:hanging="4"/>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0" w:hanging="4"/>
        <w:spacing w:after="0" w:line="342" w:lineRule="auto"/>
        <w:tabs>
          <w:tab w:leader="none" w:pos="1299"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660" w:hanging="4"/>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2023</w:t>
      </w:r>
    </w:p>
    <w:p>
      <w:pPr>
        <w:spacing w:after="0" w:line="36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Jason Darby, Chief Financial Officer</w:t>
      </w:r>
    </w:p>
    <w:p>
      <w:pPr>
        <w:sectPr>
          <w:pgSz w:w="11900" w:h="16838" w:orient="portrait"/>
          <w:cols w:equalWidth="0" w:num="1">
            <w:col w:w="11240"/>
          </w:cols>
          <w:pgMar w:left="320" w:top="110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Quarterly Report of Amalgamated Financial Corp. (the “Company”) on Form 10-Q for the period ended September 30, 2023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6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Priscilla Sims Brown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Priscilla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27857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November 3, 2023</w:t>
      </w:r>
    </w:p>
    <w:p>
      <w:pPr>
        <w:spacing w:after="0" w:line="200" w:lineRule="exact"/>
        <w:rPr>
          <w:sz w:val="20"/>
          <w:szCs w:val="20"/>
          <w:color w:val="auto"/>
        </w:rPr>
      </w:pPr>
    </w:p>
    <w:p>
      <w:pPr>
        <w:spacing w:after="0" w:line="36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27857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Jason Darby</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November 3, 2023</w:t>
      </w:r>
    </w:p>
    <w:sectPr>
      <w:pgSz w:w="11900" w:h="16838" w:orient="portrait"/>
      <w:cols w:equalWidth="0" w:num="1">
        <w:col w:w="11100"/>
      </w:cols>
      <w:pgMar w:left="320" w:top="8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Roman"/>
      <w:start w:val="3"/>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0"/>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3"/>
    </w:lvl>
  </w:abstractNum>
  <w:abstractNum w:abstractNumId="7">
    <w:nsid w:val="140E0F76"/>
    <w:multiLevelType w:val="hybridMultilevel"/>
    <w:lvl w:ilvl="0">
      <w:lvlJc w:val="left"/>
      <w:lvlText w:val="%1."/>
      <w:numFmt w:val="decimal"/>
      <w:start w:val="14"/>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3"/>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14" Type="http://schemas.openxmlformats.org/officeDocument/2006/relationships/hyperlink" Target="https://www.sec.gov/Archives/edgar/data/1823608/000119312521062425/d132716dex31.htm" TargetMode="External"/><Relationship Id="rId115" Type="http://schemas.openxmlformats.org/officeDocument/2006/relationships/hyperlink" Target="https://www.sec.gov/Archives/edgar/data/1823608/000119312521062425/d132716dex32.htm" TargetMode="External"/><Relationship Id="rId116" Type="http://schemas.openxmlformats.org/officeDocument/2006/relationships/hyperlink" Target="https://www.sec.gov/Archives/edgar/data/1823608/000182360823000059/a2022afc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2023-11-03T07:40:38Z</dcterms:created>
  <dcterms:modified xsi:type="dcterms:W3CDTF">2023-11-03T07:40:38Z</dcterms:modified>
</cp:coreProperties>
</file>