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QUARTERLY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color w:val="auto"/>
              </w:rPr>
              <w:t>For the quarterly period ended March 31, 2024</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7" w:lineRule="exact"/>
        <w:rPr>
          <w:sz w:val="24"/>
          <w:szCs w:val="24"/>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30" w:lineRule="exact"/>
        <w:rPr>
          <w:sz w:val="24"/>
          <w:szCs w:val="24"/>
          <w:color w:val="auto"/>
        </w:rPr>
      </w:pPr>
    </w:p>
    <w:p>
      <w:pPr>
        <w:ind w:right="360"/>
        <w:spacing w:after="0" w:line="25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74" w:lineRule="exact"/>
        <w:rPr>
          <w:sz w:val="24"/>
          <w:szCs w:val="24"/>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600"/>
        <w:spacing w:after="0" w:line="179" w:lineRule="exact"/>
        <w:rPr>
          <w:sz w:val="20"/>
          <w:szCs w:val="20"/>
          <w:color w:val="auto"/>
        </w:rPr>
      </w:pPr>
      <w:r>
        <w:rPr>
          <w:rFonts w:ascii="MS PGothic" w:cs="MS PGothic" w:eastAsia="MS PGothic" w:hAnsi="MS PGothic"/>
          <w:sz w:val="19"/>
          <w:szCs w:val="19"/>
          <w:color w:val="auto"/>
        </w:rPr>
        <w:t>☐</w:t>
      </w:r>
    </w:p>
    <w:p>
      <w:pPr>
        <w:spacing w:after="0" w:line="259"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6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6, 2024, the registrant had 30,524,039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4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Financial Condition as of March 31, 2024 and December 31,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Income for the Three Months Ended March 31, 2024 and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March 31, 2024 and 2023</w:t>
      </w:r>
    </w:p>
    <w:p>
      <w:pPr>
        <w:spacing w:after="0" w:line="63"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March 31, 2024 and 2023</w:t>
      </w:r>
    </w:p>
    <w:p>
      <w:pPr>
        <w:spacing w:after="0" w:line="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2024 and 2023</w:t>
      </w:r>
    </w:p>
    <w:p>
      <w:pPr>
        <w:spacing w:after="0" w:line="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Notes to Consolidated Statements</w:t>
      </w:r>
    </w:p>
    <w:p>
      <w:pPr>
        <w:spacing w:after="0" w:line="2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60</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61</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61</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61</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62</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2">
            <w:col w:w="10120" w:space="720"/>
            <w:col w:w="36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“we,” “us,” “our” and the “Company” refer to Amalgamated Financial Corp. and Amalgamated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“Bank” refer to Amalgamated Bank.</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“approximately,” “will,” “anticipate,” “should,” “would,” “believe,” “contemplate,” “expect,” “estimate,” “continue,” “plan,” “possible,” and “intend,” or the negative thereof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w:t>
      </w:r>
    </w:p>
    <w:p>
      <w:pPr>
        <w:spacing w:after="0" w:line="1" w:lineRule="exact"/>
        <w:rPr>
          <w:sz w:val="20"/>
          <w:szCs w:val="20"/>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our core markets, which may have an adverse impact on our business, operations and financial performance;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credit losses and provisions for those losses;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line="23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deposits, including an increase in uninsured deposits;</w:t>
      </w:r>
    </w:p>
    <w:p>
      <w:pPr>
        <w:ind w:left="660" w:hanging="328"/>
        <w:spacing w:after="0" w:line="24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 to meet our deposit and debt obligations as they come due, which may require that we sell investment securities at a loss, negatively impacting our net income, earnings and capital;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our stock price and the value of our investments;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fluctuation of the interest rate environment, including changes in net interest margin or changes that affect the yield curve on investments;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our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regulation, public policies, or administrative practices impacting the banking industry, including increased minimum capital requirements and other regulation in the aftermath of recent bank failures;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loan portfolio, including any concentration in industries or sectors that may experience unanticipated or anticipated adverse conditions greater than other industries or sectors in the national or local economies in which we operate;</w:t>
      </w:r>
    </w:p>
    <w:p>
      <w:pPr>
        <w:jc w:val="both"/>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we make and policies that we implement in establishing our allowance for credit losses, including changes in the allowance for credit losses resulting from the adoption and implementation of the Current Expected Credit Loss (“CECL”) methodology;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our results, including as a result of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our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exposure from the use of “big data” techniques, machine learning, and artificial intelligence;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 in our credit rating;</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us and our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we operate;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our business and the businesses that we finance;</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our shares through our common stock repurchase program;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ind w:left="20"/>
        <w:spacing w:after="0" w:line="197" w:lineRule="auto"/>
        <w:rPr>
          <w:sz w:val="20"/>
          <w:szCs w:val="20"/>
          <w:color w:val="auto"/>
        </w:rPr>
      </w:pPr>
      <w:r>
        <w:rPr>
          <w:rFonts w:ascii="Times New Roman" w:cs="Times New Roman" w:eastAsia="Times New Roman" w:hAnsi="Times New Roman"/>
          <w:sz w:val="20"/>
          <w:szCs w:val="20"/>
          <w:b w:val="1"/>
          <w:bCs w:val="1"/>
          <w:color w:val="auto"/>
        </w:rPr>
        <w:t>Item 1. – Financial Statements</w:t>
      </w:r>
    </w:p>
    <w:p>
      <w:pPr>
        <w:ind w:left="20"/>
        <w:spacing w:after="0" w:line="214" w:lineRule="auto"/>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151,374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87,714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155,204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1,445,793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1,429,739</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82,258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53,303</w:t>
            </w:r>
          </w:p>
        </w:tc>
        <w:tc>
          <w:tcPr>
            <w:tcW w:w="0" w:type="dxa"/>
            <w:vAlign w:val="bottom"/>
          </w:tcPr>
          <w:p>
            <w:pPr>
              <w:spacing w:after="0"/>
              <w:rPr>
                <w:sz w:val="1"/>
                <w:szCs w:val="1"/>
                <w:color w:val="auto"/>
              </w:rPr>
            </w:pPr>
          </w:p>
        </w:tc>
      </w:tr>
      <w:tr>
        <w:trPr>
          <w:trHeight w:val="206"/>
        </w:trPr>
        <w:tc>
          <w:tcPr>
            <w:tcW w:w="7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1,528,051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1,483,042</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Traditional securities, net allowance for credit losses of $53 and $54 , respectively</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616,172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620,232</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$657 and $667, respectively</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1,057,790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1,076,602</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1,673,962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1,696,834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costs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4,423,780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4,411,319</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4,359,380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4,345,628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131,242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55,484</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105,528</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49,171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56,603</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13,024</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25,371</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8,136,682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7,972,324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7,305,765</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7,011,988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 net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70,546</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69,135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234,381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39,399</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7,519,744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7,386,960</w:t>
            </w:r>
          </w:p>
        </w:tc>
        <w:tc>
          <w:tcPr>
            <w:tcW w:w="0" w:type="dxa"/>
            <w:vAlign w:val="bottom"/>
          </w:tcPr>
          <w:p>
            <w:pPr>
              <w:spacing w:after="0"/>
              <w:rPr>
                <w:sz w:val="1"/>
                <w:szCs w:val="1"/>
                <w:color w:val="auto"/>
              </w:rPr>
            </w:pPr>
          </w:p>
        </w:tc>
      </w:tr>
      <w:tr>
        <w:trPr>
          <w:trHeight w:val="203"/>
        </w:trPr>
        <w:tc>
          <w:tcPr>
            <w:tcW w:w="7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30,736,141 and 30,736,141 shares issued, respectively, and</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3"/>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30,510,393 and 30,428,359 shares outstanding, respectively)</w:t>
            </w:r>
          </w:p>
        </w:tc>
        <w:tc>
          <w:tcPr>
            <w:tcW w:w="2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288,232</w:t>
            </w:r>
          </w:p>
        </w:tc>
        <w:tc>
          <w:tcPr>
            <w:tcW w:w="0" w:type="dxa"/>
            <w:vAlign w:val="bottom"/>
          </w:tcPr>
          <w:p>
            <w:pPr>
              <w:spacing w:after="0"/>
              <w:rPr>
                <w:sz w:val="1"/>
                <w:szCs w:val="1"/>
                <w:color w:val="auto"/>
              </w:rPr>
            </w:pP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412,190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388,033</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Treasury stock, at cost (225,748 and 307,782 shares, respectively)</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Amalgamated Financial Corp. stockholders'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616,805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585,231</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616,938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585,364</w:t>
            </w:r>
          </w:p>
        </w:tc>
        <w:tc>
          <w:tcPr>
            <w:tcW w:w="0" w:type="dxa"/>
            <w:vAlign w:val="bottom"/>
          </w:tcPr>
          <w:p>
            <w:pPr>
              <w:spacing w:after="0"/>
              <w:rPr>
                <w:sz w:val="1"/>
                <w:szCs w:val="1"/>
                <w:color w:val="auto"/>
              </w:rPr>
            </w:pPr>
          </w:p>
        </w:tc>
      </w:tr>
      <w:tr>
        <w:trPr>
          <w:trHeight w:val="203"/>
        </w:trPr>
        <w:tc>
          <w:tcPr>
            <w:tcW w:w="78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8,136,682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7,972,324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44,806</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29"/>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67,280</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23"/>
        </w:trPr>
        <w:tc>
          <w:tcPr>
            <w:tcW w:w="8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Gains on sale of loans,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30"/>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23"/>
        </w:trPr>
        <w:tc>
          <w:tcPr>
            <w:tcW w:w="82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28,903</w:t>
            </w:r>
          </w:p>
        </w:tc>
      </w:tr>
      <w:tr>
        <w:trPr>
          <w:trHeight w:val="230"/>
        </w:trPr>
        <w:tc>
          <w:tcPr>
            <w:tcW w:w="8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23"/>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 and other benefits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securities available for sale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w:t>
            </w:r>
          </w:p>
        </w:tc>
      </w:tr>
      <w:tr>
        <w:trPr>
          <w:trHeight w:val="223"/>
        </w:trPr>
        <w:tc>
          <w:tcPr>
            <w:tcW w:w="8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r>
      <w:tr>
        <w:trPr>
          <w:trHeight w:val="229"/>
        </w:trPr>
        <w:tc>
          <w:tcPr>
            <w:tcW w:w="8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32,728</w:t>
            </w:r>
          </w:p>
        </w:tc>
      </w:tr>
      <w:tr>
        <w:trPr>
          <w:trHeight w:val="21"/>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Changes in Stockholders’ Equity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 at</w:t>
            </w: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5"/>
                <w:szCs w:val="15"/>
                <w:color w:val="auto"/>
              </w:rPr>
            </w:pPr>
          </w:p>
        </w:tc>
        <w:tc>
          <w:tcPr>
            <w:tcW w:w="1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30,428,359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288,232</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585,364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$0.10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30,510,393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287,198</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412,190</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 (4,018)</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616,805</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616,938</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1"/>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Amalgamated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40" w:type="dxa"/>
            <w:vAlign w:val="bottom"/>
            <w:gridSpan w:val="3"/>
            <w:vMerge w:val="continue"/>
          </w:tcPr>
          <w:p>
            <w:pPr>
              <w:spacing w:after="0"/>
              <w:rPr>
                <w:sz w:val="15"/>
                <w:szCs w:val="15"/>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Corp.</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Loss, net of</w:t>
            </w:r>
          </w:p>
        </w:tc>
        <w:tc>
          <w:tcPr>
            <w:tcW w:w="8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Stock, at</w:t>
            </w:r>
          </w:p>
        </w:tc>
        <w:tc>
          <w:tcPr>
            <w:tcW w:w="12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280" w:type="dxa"/>
            <w:vAlign w:val="bottom"/>
            <w:gridSpan w:val="3"/>
            <w:vMerge w:val="continue"/>
          </w:tcPr>
          <w:p>
            <w:pPr>
              <w:spacing w:after="0"/>
              <w:rPr>
                <w:sz w:val="16"/>
                <w:szCs w:val="16"/>
                <w:color w:val="auto"/>
              </w:rPr>
            </w:pP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19"/>
                <w:szCs w:val="19"/>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30,700,198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286,947</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508,955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adoption of ASU No.</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2016-13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at January 1,</w:t>
            </w: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2023 adjusted for change</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accounting principle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30,700,198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286,947</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491,130</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Employee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on common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$0.10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net of</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30,642,299</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287,514</w:t>
            </w:r>
          </w:p>
        </w:tc>
        <w:tc>
          <w:tcPr>
            <w:tcW w:w="8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330,673</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(97,317)</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519,025</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519,158</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w:t>
            </w:r>
          </w:p>
        </w:tc>
      </w:tr>
      <w:tr>
        <w:trPr>
          <w:trHeight w:val="229"/>
        </w:trPr>
        <w:tc>
          <w:tcPr>
            <w:tcW w:w="8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amortization on loan fees, costs, premiums, and discounts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85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Net amortization on securities premiums, discounts, and net unrealized loss on securities transferred to held-to-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from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redemption of bank-owned life insurance</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accrued interest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34,853</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(94,742)</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145,305</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42,144</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resell agreements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equity method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FHLBNY stock,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w:t>
            </w: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854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35,104</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446,324</w:t>
            </w: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subordinated debt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30"/>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issued under Employee Stock Purchase Plan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500"/>
        </w:trPr>
        <w:tc>
          <w:tcPr>
            <w:tcW w:w="8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67,357</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63,540</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0" w:type="dxa"/>
            <w:vAlign w:val="bottom"/>
          </w:tcPr>
          <w:p>
            <w:pPr>
              <w:spacing w:after="0"/>
              <w:rPr>
                <w:sz w:val="1"/>
                <w:szCs w:val="1"/>
                <w:color w:val="auto"/>
              </w:rPr>
            </w:pPr>
          </w:p>
        </w:tc>
      </w:tr>
      <w:tr>
        <w:trPr>
          <w:trHeight w:val="22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 net not settled</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three months ended March 31, 2024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2023 (the “2023 Annual Report”). A more detailed description of our accounting policies is included in the 2023 Annual Report, which remain significantly unchanged.</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other significant changes to our accounting policies, or the estimates made pursuant to those policies as described in our 2023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2016-13, Financial Instruments - Credit Losses (Topic 326) - Measurement of Credit Losses on Financial Instruments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adopted ASU No. 2016-13 on a modified retrospective basis with a cumulative-effect adjustment to retained earnings as of the adoption date and, accordingly, the Company recorded a net of tax decrease of $17.8 million to retained earnings as of January 1, 2023. The results for prior period amounts continue to be reported in accordance with previously applicable GAAP.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The below table illustrates the impact of the adoption of ASU 2016-13.</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 2023</w:t>
            </w: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Adjustment</w:t>
            </w: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Tax Impact</w:t>
            </w:r>
          </w:p>
        </w:tc>
        <w:tc>
          <w:tcPr>
            <w:tcW w:w="162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Net Adjustment to</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held-to-maturity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off-balance sheet credit exposures</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Day 1 Adjustment for Adoption of ASU 2016-13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 however such reclassifications did not change stockholders' equity or net income.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is a summary of the accumulated comprehensive income (loss) balances, net of income taxes: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30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3"/>
          </w:tcPr>
          <w:p>
            <w:pPr>
              <w:jc w:val="center"/>
              <w:ind w:right="400"/>
              <w:spacing w:after="0" w:line="18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300" w:type="dxa"/>
            <w:vAlign w:val="bottom"/>
          </w:tcPr>
          <w:p>
            <w:pPr>
              <w:spacing w:after="0"/>
              <w:rPr>
                <w:sz w:val="19"/>
                <w:szCs w:val="19"/>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0" w:type="dxa"/>
            <w:vAlign w:val="bottom"/>
          </w:tcPr>
          <w:p>
            <w:pPr>
              <w:spacing w:after="0"/>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benefits plans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(67,680)</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Unaccreted unrealized loss on securities transferred to held-to-</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30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300" w:type="dxa"/>
            <w:vAlign w:val="bottom"/>
          </w:tcPr>
          <w:p>
            <w:pPr>
              <w:spacing w:after="0"/>
              <w:rPr>
                <w:sz w:val="21"/>
                <w:szCs w:val="21"/>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0" w:type="dxa"/>
            <w:vAlign w:val="bottom"/>
          </w:tcPr>
          <w:p>
            <w:pPr>
              <w:spacing w:after="0"/>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benefits plans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(84,538)</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Unaccreted unrealized loss on securities transferred to held-to-</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(97,317)</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18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prior service expense included in compensation and employee benefits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 for other benefits</w:t>
            </w:r>
          </w:p>
        </w:tc>
        <w:tc>
          <w:tcPr>
            <w:tcW w:w="280" w:type="dxa"/>
            <w:vAlign w:val="bottom"/>
            <w:tcBorders>
              <w:top w:val="single" w:sz="8" w:color="auto"/>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9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 for other benefits</w:t>
            </w:r>
          </w:p>
        </w:tc>
        <w:tc>
          <w:tcPr>
            <w:tcW w:w="28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on available for sale securities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0" w:type="dxa"/>
            <w:vAlign w:val="bottom"/>
          </w:tcPr>
          <w:p>
            <w:pPr>
              <w:spacing w:after="0"/>
              <w:rPr>
                <w:sz w:val="1"/>
                <w:szCs w:val="1"/>
                <w:color w:val="auto"/>
              </w:rPr>
            </w:pPr>
          </w:p>
        </w:tc>
      </w:tr>
      <w:tr>
        <w:trPr>
          <w:trHeight w:val="230"/>
        </w:trPr>
        <w:tc>
          <w:tcPr>
            <w:tcW w:w="6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realized in loss on sale of securities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184"/>
        </w:trPr>
        <w:tc>
          <w:tcPr>
            <w:tcW w:w="8180" w:type="dxa"/>
            <w:vAlign w:val="bottom"/>
            <w:gridSpan w:val="8"/>
          </w:tcPr>
          <w:p>
            <w:pPr>
              <w:ind w:left="20"/>
              <w:spacing w:after="0" w:line="184"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 recognized in interest income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from securities</w:t>
            </w:r>
          </w:p>
        </w:tc>
        <w:tc>
          <w:tcPr>
            <w:tcW w:w="1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 for sale securities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securities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March 31, 2024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5"/>
                <w:szCs w:val="15"/>
                <w:color w:val="auto"/>
              </w:rPr>
            </w:pPr>
          </w:p>
        </w:tc>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19"/>
                <w:szCs w:val="19"/>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520" w:type="dxa"/>
            <w:vAlign w:val="bottom"/>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residential CMOs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465,788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186,453</w:t>
            </w: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668,290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121,373</w:t>
            </w: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1,445,793</w:t>
            </w:r>
          </w:p>
        </w:tc>
        <w:tc>
          <w:tcPr>
            <w:tcW w:w="0" w:type="dxa"/>
            <w:vAlign w:val="bottom"/>
          </w:tcPr>
          <w:p>
            <w:pPr>
              <w:spacing w:after="0"/>
              <w:rPr>
                <w:sz w:val="1"/>
                <w:szCs w:val="1"/>
                <w:color w:val="auto"/>
              </w:rPr>
            </w:pPr>
          </w:p>
        </w:tc>
      </w:tr>
      <w:tr>
        <w:trPr>
          <w:trHeight w:val="20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1,528,051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80" w:type="dxa"/>
            <w:vAlign w:val="bottom"/>
          </w:tcPr>
          <w:p>
            <w:pPr>
              <w:spacing w:after="0"/>
              <w:rPr>
                <w:sz w:val="16"/>
                <w:szCs w:val="16"/>
                <w:color w:val="auto"/>
              </w:rPr>
            </w:pPr>
          </w:p>
        </w:tc>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3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173,310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71,804</w:t>
            </w: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271,826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571,999</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722,728</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1,058,447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949,622</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1,673,962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1,521,621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available for sale securities with a fair value of $1.28 billion and held-to-maturity securities with a fair value of $544.5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2023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Government sponsored entities (GSE) residential CMOs</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521,101</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1,429,739</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1,483,042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52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271,261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575,418</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229,095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744,996</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1,077,269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974,091</w:t>
            </w: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1,696,834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(149,342)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1,549,509</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months ended March 31, 2024 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March 31, 2024.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522,453</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1,150,198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875,810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1,276,507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available for sale securities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159"/>
        </w:trPr>
        <w:tc>
          <w:tcPr>
            <w:tcW w:w="79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held-to-maturity securities during the three months ended March 31, 2024 or the three months ended March 31,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March 31, 2024 and March 31, 2023, there were no holdings of securities of any one issuer, other than the U.S. Government and its agencies, in an amount greater than 10% of stockholders' equity.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March 31, 2024 and December 31, 2023,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8"/>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407,868</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1,180,483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460,239</w:t>
            </w:r>
          </w:p>
        </w:tc>
        <w:tc>
          <w:tcPr>
            <w:tcW w:w="2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1,308,596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discussed in Note 1, upon adoption of the Current Expected Credit Losses ("CECL") standard, no allowance for credit losses was recorded on available for sale securities. During the three months ended March 31, 2023, the Company charged-off an unrealized loss position of $1.2 million related to a corporate bond related to Silicon Valley Bank following credit concerns over the issuer, and the sale of the security resulted in an immaterial additional loss.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March 31, 2024, none of the Company’s available-for-sale debt securities were in an unrealized loss position due to credit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March 31, 2024,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March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these securities were rated investment grade by at least one nationally recognized statistical rating organization with no ratings below investment grade. All issues were current as to their interest payments. There have been no significant losses on PACE assessments that we have invested in given the low loan-to-value position and the superior lien position on the property. Management considers that the temporary impairment of these investments as of March 31, 2024 is primarily due to an increase in interest rates and spreads since the time these investments were acquired.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$31.6 million and $35.1 million at March 31, 2024 and December 31, 2023, respectively, was included in other assets in the consolidated balance sheet and excluded from the amortized cost and estimated fair value totals in the table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March 31, 2024:</w:t>
      </w: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three months ended March 31,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commercial</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9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certificates</w:t>
            </w:r>
          </w:p>
        </w:tc>
        <w:tc>
          <w:tcPr>
            <w:tcW w:w="1620" w:type="dxa"/>
            <w:vAlign w:val="bottom"/>
            <w:gridSpan w:val="3"/>
            <w:vMerge w:val="continue"/>
          </w:tcPr>
          <w:p>
            <w:pPr>
              <w:spacing w:after="0"/>
              <w:rPr>
                <w:sz w:val="21"/>
                <w:szCs w:val="21"/>
                <w:color w:val="auto"/>
              </w:rPr>
            </w:pPr>
          </w:p>
        </w:tc>
        <w:tc>
          <w:tcPr>
            <w:tcW w:w="1940" w:type="dxa"/>
            <w:vAlign w:val="bottom"/>
            <w:gridSpan w:val="4"/>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22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8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4,359,380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4,345,628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$224.7 million at March 31, 2024 and $225.6 million at December 31, 2023. Due to these loans being fully guaranteed by the United States government, no allowance for credit losses is recorded in relation to these loans at March 31, 2024 and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March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40" w:type="dxa"/>
            <w:vAlign w:val="bottom"/>
          </w:tcPr>
          <w:p>
            <w:pPr>
              <w:spacing w:after="0"/>
              <w:rPr>
                <w:sz w:val="14"/>
                <w:szCs w:val="14"/>
                <w:color w:val="auto"/>
              </w:rPr>
            </w:pPr>
          </w:p>
        </w:tc>
        <w:tc>
          <w:tcPr>
            <w:tcW w:w="9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60-89 Days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1,014,084</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1,175,467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353,598</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2,566,415</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1,419,321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398,501</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29,229</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1,828,136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1,857,365</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4,370,191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4,423,780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Past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Due and Non-</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 modifications granted to borrowers experiencing financial difficulty during the three months ended March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loan modifications granted to borrowers experiencing financial difficulty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w w:val="97"/>
              </w:rPr>
              <w:t>Term Extension</w:t>
            </w:r>
          </w:p>
        </w:tc>
        <w:tc>
          <w:tcPr>
            <w:tcW w:w="1740" w:type="dxa"/>
            <w:vAlign w:val="bottom"/>
            <w:tcBorders>
              <w:bottom w:val="single" w:sz="8" w:color="auto"/>
            </w:tcBorders>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Pr>
          <w:p>
            <w:pPr>
              <w:spacing w:after="0"/>
              <w:rPr>
                <w:sz w:val="19"/>
                <w:szCs w:val="19"/>
                <w:color w:val="auto"/>
              </w:rPr>
            </w:pPr>
          </w:p>
        </w:tc>
        <w:tc>
          <w:tcPr>
            <w:tcW w:w="26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8"/>
              </w:rPr>
              <w:t>% of Portfolio</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r>
      <w:tr>
        <w:trPr>
          <w:trHeight w:val="223"/>
        </w:trPr>
        <w:tc>
          <w:tcPr>
            <w:tcW w:w="350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1.0 years to the life of the modified loan.</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Modification added a weighted average 0.5 years to the life of the modified loan.</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7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Modifications added a weighted average 0.8 years to the life of the modified loans.</w:t>
            </w: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prior twelve months, ten loan modifications were made to borrowers experiencing financial difficulty. One loan that was modified during this period had a payment default during the three months ended March 31, 2024.</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 (iii) business experience of the borrower’s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March 31, 2024:</w:t>
      </w:r>
    </w:p>
    <w:p>
      <w:pPr>
        <w:spacing w:after="0" w:line="2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 &amp; Prior</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40" w:type="dxa"/>
            <w:vAlign w:val="bottom"/>
          </w:tcPr>
          <w:p>
            <w:pPr>
              <w:spacing w:after="0"/>
              <w:rPr>
                <w:sz w:val="12"/>
                <w:szCs w:val="12"/>
                <w:color w:val="auto"/>
              </w:rPr>
            </w:pPr>
          </w:p>
        </w:tc>
        <w:tc>
          <w:tcPr>
            <w:tcW w:w="10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151,201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195,629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192,446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254,474</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951,954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19,937</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17,844</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20,549</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41,041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1,152</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151,201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224,040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280,809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137,495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1,014,084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50,247</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223,462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364,213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482,807</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1,164,839</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8,347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50,247</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223,462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364,213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44,108</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493,435</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1,175,467</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175,732</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345,471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3,773</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4,354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183,859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353,598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12,142</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11,124</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23,266</w:t>
            </w:r>
          </w:p>
        </w:tc>
        <w:tc>
          <w:tcPr>
            <w:tcW w:w="0" w:type="dxa"/>
            <w:vAlign w:val="bottom"/>
          </w:tcPr>
          <w:p>
            <w:pPr>
              <w:spacing w:after="0"/>
              <w:rPr>
                <w:sz w:val="1"/>
                <w:szCs w:val="1"/>
                <w:color w:val="auto"/>
              </w:rPr>
            </w:pP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136,060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419,329</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316,789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525,799</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1,415,521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3,800</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136,060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420,051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317,818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527,848</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1,419,321</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101,034</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127,718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135,835</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395,114</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3,387</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102,443</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136,848</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398,501</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1,806</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10,930</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39,349</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10,997</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39,543</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108,386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1,154,205</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740,954</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1,592,520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142,998</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4,324,390</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16,815</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52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32,057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66,181</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1,152</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108,386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585,357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1,157,012</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774,619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1,640,739</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157,667</w:t>
            </w:r>
          </w:p>
        </w:tc>
        <w:tc>
          <w:tcPr>
            <w:tcW w:w="5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4,423,780</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2023:</w:t>
      </w:r>
    </w:p>
    <w:p>
      <w:pPr>
        <w:spacing w:after="0" w:line="2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 &amp; Prior</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220,552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192,682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141,542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941,313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2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16,927</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21,072</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221,272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209,374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127,084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159,403</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1,010,998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1,726</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377,554</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1,137,453</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8,373</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193,827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388,221</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1,148,120</w:t>
            </w:r>
          </w:p>
        </w:tc>
        <w:tc>
          <w:tcPr>
            <w:tcW w:w="0" w:type="dxa"/>
            <w:vAlign w:val="bottom"/>
          </w:tcPr>
          <w:p>
            <w:pPr>
              <w:spacing w:after="0"/>
              <w:rPr>
                <w:sz w:val="1"/>
                <w:szCs w:val="1"/>
                <w:color w:val="auto"/>
              </w:rPr>
            </w:pPr>
          </w:p>
        </w:tc>
      </w:tr>
      <w:tr>
        <w:trPr>
          <w:trHeight w:val="188"/>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140,674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345,145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147,103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353,432</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12,460</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16,365</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23,626</w:t>
            </w: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413,962</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328,952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403,508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1,418,384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137,167</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417,194</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329,955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135,194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406,086</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1,425,596</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104,633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131,008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405,849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132,088</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73,279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67,319</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408,260</w:t>
            </w: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41,287</w:t>
            </w: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567,793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1,179,430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758,419</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500,122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1,149,363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146,660</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4,301,787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13,104</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37,993</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567,798</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1,183,947</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777,257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512,024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1,187,173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183,120</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4,411,319</w:t>
            </w:r>
          </w:p>
        </w:tc>
      </w:tr>
      <w:tr>
        <w:trPr>
          <w:trHeight w:val="188"/>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8" w:right="55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March 31, 2024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three months ended March 31, 2023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Land</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ALLL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45,031</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Adoption of ASU No. 2016-13</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21,229</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66,260</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March 31, 2024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8"/>
                <w:szCs w:val="18"/>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March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19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3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Associated Allowance for</w:t>
            </w:r>
          </w:p>
        </w:tc>
        <w:tc>
          <w:tcPr>
            <w:tcW w:w="0" w:type="dxa"/>
            <w:vAlign w:val="bottom"/>
          </w:tcPr>
          <w:p>
            <w:pPr>
              <w:spacing w:after="0"/>
              <w:rPr>
                <w:sz w:val="1"/>
                <w:szCs w:val="1"/>
                <w:color w:val="auto"/>
              </w:rPr>
            </w:pPr>
          </w:p>
        </w:tc>
      </w:tr>
      <w:tr>
        <w:trPr>
          <w:trHeight w:val="238"/>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0" w:type="dxa"/>
            <w:vAlign w:val="bottom"/>
          </w:tcPr>
          <w:p>
            <w:pPr>
              <w:spacing w:after="0"/>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mortgage loans with an unpaid principal balance of $2.37 billion and $2.35 billion, respectively, were pledged to the FHLBNY to secure outstanding advances and letters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$1.5 million in related party loans outstanding as of March 31, 2024 compared to $1.7 million related party loans as of December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non-performing loans included in the balance of Loans held for sale on the Consolidated Statements of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$1.0 million and $1.0 million such loans as of March 31, 2024 and December 31, 2023, respectively.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3,182,047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2,940,398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200,900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3,222,271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3,100,681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341,054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340,860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certificates of deposit ("CDs")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162,228</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242,210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7,305,765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7,011,988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and brokered CDs as of March 31, 2024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157,931</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80,544</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46,613</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39,497</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26,884</w:t>
            </w:r>
          </w:p>
        </w:tc>
      </w:tr>
      <w:tr>
        <w:trPr>
          <w:trHeight w:val="230"/>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$45.9 million as of March 31, 2024 and $42.2 million as of December 31,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FDIC insurance to bank customers with balances in excess of FDIC insurance limits. CDARS deposits totaled approximately $66.7 million and $63.1 million as of March 31, 2024 and December 31, 2023, respectively, and are included in Time deposits above.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$61.4 million as of March 31, 2024 and $56.4 million as of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$61.7 million and $51.9 million as of March 31, 2024 and December 31, 2023, respectively. Such deposits are secured by letters of credit issued by the FHLBNY or by securities pledged with the FHLBNY.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BORROWED FUNDS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to collateral capacity. As of March 31, 2024, the value of the other eligible assets had an estimated market value net of haircut totaling $2.07 billion (comprised of securities of $395.1 million and mortgage loans of $1.67 billion). The fair value of assets pledged to the FHLBNY is required to exceed outstanding advances. There were $9.1 million outstanding FHLB advances as of March 31, 2024 and $4.4 million in outstanding FHLBNY advances as of December 31, 2023. For the three months ended March 31, 2024, and 2023, interest expense on FHLBNY advances was zero and $3.0 million, respectively.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March 31, 2024, and December 31, 2023 there was no outstanding balance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At March 31, 2024, there was an outstanding balance of $60.0 million related to the BTFP due in 2024 with a weighted average rate of 4.71%, and an outstanding balance of $230.0 million due in 2024 with a weighted average rate of 4.50% at December 31, 2023. For the three months ended March 31, 2024, and 2023, interest expense on other borrowings was $2.4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SUBORDINATED DEBT</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subordinated debt for the three months ended March 31, 2024 and 2023 was $0.6 million and $0.6 million,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did not repurchase any subordinated notes. During the three months ended March 31, 2023, the Company repurchased subordinated notes with a par value of $4.0 million for cash paid of $3.2 million,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on repurchases of subordinated debt for the three months ended March 31, 2024 and 2023 were zero and $0.8 million, respectively, and are recorded in Non-interest income - other on the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As of March 31, 2024 and March 31, 2023, we had 21 thousand and 50 thousand anti-dilutive shares,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8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Three Months</w:t>
      </w:r>
    </w:p>
    <w:p>
      <w:pPr>
        <w:ind w:left="890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7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Amalgamated Financial Corp.</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27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27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30,939</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7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March 31, 2024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0" w:type="dxa"/>
            <w:vAlign w:val="bottom"/>
            <w:gridSpan w:val="2"/>
          </w:tcPr>
          <w:p>
            <w:pPr>
              <w:jc w:val="center"/>
              <w:ind w:right="6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March 31,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300,260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$11.00 to $14.65 per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three months ended March 31, 2024 or for the three months ended March 31, 2023 as all options had been fully expensed as of December 31, 2020. The fair value of all awards outstanding as of March 31, 2024 and December 31, 2023 was $3.2 million and $4.7 million, respectively. No cash was received for options exercised in the three months ended March 31, 2024 or for the three months ended March 31,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17,460 shares and 3,999 shares for options exercised in the three months ended March 31, 2024 and March 31,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2021 Equity Incentive Plan (the “Equity Plan”) provides for the grant of stock-based incentive awards to employees and directors of the Company. The number of shares of common stock of the Company available for stock-based awards in the Equity Plan is 1,300,000 of which 1,046,692 shares were available for issuance as of March 31,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as of March 31, 2024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291,762</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March 31,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vesting RSUs as of March 31, 2024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125,963</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March 31,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36,737 performance-based RSUs at a fair value of $23.20 per share, respectively which vest subject to the achievement of the Company’s corporate goal for the three-year period from January 1, 2024 to December 31, 2026. The corporate goal is based on the Company achieving a target increase in Tangible Book Value, adjusted for certain factors. The minimum and maximum awards that are achievable are 0 and 55,106 shares, respectively.</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38,385 market-based RSUs at a fair value of $22.21 per share which vest subject to the Bank’s relative total shareholder return compared to a group of peer banks over a three-year period from March 1, 2024 to February 28, 2027. The minimum and maximum awards that are achievable are 0 and 57,578 shares,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4,423 shares at a fair value of $14.97 per share, respectively, related to the vesting of performance-based RSUs to satisfy the achievement of corporate goals above target. Compensation expense attributable to the vesting of these shares was $66 thousand.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reserved 272,442 shares for issuance upon vesting of performance-based RSUs assuming the Company’s employees achieve the maximum share payout.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30,183 shares and 21,738 shares for RSUs vested in the three months ended March 31, 2024 and 2023,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516,003 unvested RSUs and PSUs on March 31, 2024, the minimum units that will vest, solely due to a service test, are 334,375. The maximum units that will vest, assuming the highest payout on performance and market-based units, are 606,817.</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expense attributable to RSUs and PSUs was $1.0 million for the three months ended March 31, 2024, and $0.9 million for the three months ended March 31, 2023. The company recorded an expense of $0.1 million and $0.1 million attributable to RSUs granted to directors for the three months ended March 31, 2024 and March 31, 2023, respectively. As of March 31, 2024, there was $11.9 million of total unrecognized compensation cost related to the non-vested RSUs and PSUs granted. This expense may increase or decrease depending on the expected number of performance-based shares to be issued. This expense is expected to be recognized over 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 below following summarizes the shares purchased under the ESPP since the inception of the plan:</w:t>
      </w: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available for purchase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16064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60645"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 during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6064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60645"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March 31, 2024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Remaining shares available for purchase at March 31, 2024</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4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424,848</w:t>
      </w:r>
    </w:p>
    <w:p>
      <w:pPr>
        <w:spacing w:after="0" w:line="252"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18"/>
          <w:szCs w:val="18"/>
          <w:color w:val="auto"/>
        </w:rPr>
        <w:t>(10,175)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17145</wp:posOffset>
            </wp:positionV>
            <wp:extent cx="1431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414,673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17145</wp:posOffset>
            </wp:positionV>
            <wp:extent cx="1431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43180</wp:posOffset>
            </wp:positionV>
            <wp:extent cx="1431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580" w:space="720"/>
            <w:col w:w="4940"/>
          </w:cols>
          <w:pgMar w:left="320" w:top="638" w:right="339" w:bottom="1440" w:gutter="0" w:footer="0" w:header="0"/>
          <w:type w:val="continuous"/>
        </w:sectPr>
      </w:pP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expense related to the discount on purchased shares for the three months ended March 31, 2024 and March 31, 2023 was $37 thousand and $58 thousand, respectively, and is recorded within compensation and employee benefits expense on the Consolidated Statements of Income.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465,788</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186,453</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668,290</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121,373</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r>
      <w:tr>
        <w:trPr>
          <w:trHeight w:val="270"/>
        </w:trPr>
        <w:tc>
          <w:tcPr>
            <w:tcW w:w="53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1,528,051</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55"/>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53,303</w:t>
            </w:r>
          </w:p>
        </w:tc>
      </w:tr>
      <w:tr>
        <w:trPr>
          <w:trHeight w:val="257"/>
        </w:trPr>
        <w:tc>
          <w:tcPr>
            <w:tcW w:w="53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1,483,042</w:t>
            </w:r>
          </w:p>
        </w:tc>
      </w:tr>
      <w:tr>
        <w:trPr>
          <w:trHeight w:val="21"/>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three months ended March 31, 2024 and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tc>
        <w:tc>
          <w:tcPr>
            <w:tcW w:w="0" w:type="dxa"/>
            <w:vAlign w:val="bottom"/>
          </w:tcPr>
          <w:p>
            <w:pPr>
              <w:spacing w:after="0"/>
              <w:rPr>
                <w:sz w:val="1"/>
                <w:szCs w:val="1"/>
                <w:color w:val="auto"/>
              </w:rPr>
            </w:pPr>
          </w:p>
        </w:tc>
      </w:tr>
      <w:tr>
        <w:trPr>
          <w:trHeight w:val="2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holding gains/losses included in other comprehensive income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March 31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March 31, 2024 and December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0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(18.2%)</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7.0%-26.0% (18.2%)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reported at the fair value of the underlying collateral if repayment is expected solely from the collateral.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5"/>
                <w:szCs w:val="15"/>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5"/>
                <w:szCs w:val="15"/>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5"/>
                <w:szCs w:val="15"/>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there were no individually analyzed collateral-dependent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footnote 14,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included in the Annual Report on Form 10-K for the year ended December 31, 2023.</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3"/>
                <w:szCs w:val="13"/>
                <w:color w:val="auto"/>
              </w:rPr>
            </w:pP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155,204</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1,673,962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1,521,621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4,359,380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4,026,693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131,242</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53,436</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6,946,272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6,946,272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6,946,272</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 and brokered CDs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357,684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borrowings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56,456</w:t>
            </w:r>
          </w:p>
        </w:tc>
        <w:tc>
          <w:tcPr>
            <w:tcW w:w="0" w:type="dxa"/>
            <w:vAlign w:val="bottom"/>
          </w:tcPr>
          <w:p>
            <w:pPr>
              <w:spacing w:after="0"/>
              <w:rPr>
                <w:sz w:val="1"/>
                <w:szCs w:val="1"/>
                <w:color w:val="auto"/>
              </w:rPr>
            </w:pPr>
          </w:p>
        </w:tc>
      </w:tr>
      <w:tr>
        <w:trPr>
          <w:trHeight w:val="21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8"/>
              <w:spacing w:after="0" w:line="15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1,696,834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1,549,509</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4,345,628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4,029,142</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55,484</w:t>
            </w:r>
          </w:p>
        </w:tc>
        <w:tc>
          <w:tcPr>
            <w:tcW w:w="0" w:type="dxa"/>
            <w:vAlign w:val="bottom"/>
          </w:tcPr>
          <w:p>
            <w:pPr>
              <w:spacing w:after="0"/>
              <w:rPr>
                <w:sz w:val="1"/>
                <w:szCs w:val="1"/>
                <w:color w:val="auto"/>
              </w:rPr>
            </w:pPr>
          </w:p>
        </w:tc>
      </w:tr>
      <w:tr>
        <w:trPr>
          <w:trHeight w:val="259"/>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6,582,321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 and brokered CDs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428,116</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213"/>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borrowings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56,790</w:t>
            </w:r>
          </w:p>
        </w:tc>
        <w:tc>
          <w:tcPr>
            <w:tcW w:w="0" w:type="dxa"/>
            <w:vAlign w:val="bottom"/>
          </w:tcPr>
          <w:p>
            <w:pPr>
              <w:spacing w:after="0"/>
              <w:rPr>
                <w:sz w:val="1"/>
                <w:szCs w:val="1"/>
                <w:color w:val="auto"/>
              </w:rPr>
            </w:pPr>
          </w:p>
        </w:tc>
      </w:tr>
      <w:tr>
        <w:trPr>
          <w:trHeight w:val="234"/>
        </w:trPr>
        <w:tc>
          <w:tcPr>
            <w:tcW w:w="4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59"/>
        </w:trPr>
        <w:tc>
          <w:tcPr>
            <w:tcW w:w="2700" w:type="dxa"/>
            <w:vAlign w:val="bottom"/>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514,206</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545,884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allowance, which is included in other liabilities, amounted to approximately $4.9 million as of March 31, 2024, compared to an allowance of $4.2 million as of December 31, 2023. The provision for credit losses related to off balance sheet credit commitments was $0.7 million for the three months ended March 31, 2024, and $0.1 million for the three months ended March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which operates Home Run Financing, for the purchase of PACE assessment securities until January 2025. As of March 31, 2024, the Company had purchased $753.7 million of these obligations and had an estimated remaining commitment of $119.7 million. The PACE assessments have equal-lien priority with property taxes and generally rank senior to first lien mortgages. These investments are currently held in the Company's held-to-maturity investment portfolio. The Company evaluates these obligations for credit risk and the recorded reserve is immaterial.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VIE projects, we also have commitments to provide financing, which are included in footnote 14.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March 31, 2024.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24"/>
                <w:szCs w:val="24"/>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6"/>
                <w:szCs w:val="16"/>
                <w:color w:val="auto"/>
              </w:rPr>
            </w:pPr>
          </w:p>
        </w:tc>
        <w:tc>
          <w:tcPr>
            <w:tcW w:w="14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9"/>
                <w:szCs w:val="19"/>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0" w:type="dxa"/>
            <w:vAlign w:val="bottom"/>
          </w:tcPr>
          <w:p>
            <w:pPr>
              <w:spacing w:after="0"/>
              <w:rPr>
                <w:sz w:val="1"/>
                <w:szCs w:val="1"/>
                <w:color w:val="auto"/>
              </w:rPr>
            </w:pPr>
          </w:p>
        </w:tc>
      </w:tr>
      <w:tr>
        <w:trPr>
          <w:trHeight w:val="159"/>
        </w:trPr>
        <w:tc>
          <w:tcPr>
            <w:tcW w:w="782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Sublease income and variable income or expense considered immaterial</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March 31, 2024 and March 31, 2023 was 2.9 years and 3.6 years,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used for the operating lease liability was 3.15% and 3.24% at March 31, 2024 and March 31, 2023,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March 31, 2024:</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March 31, 2024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2023 and estimates and assumptions that the Company believes most appropriate for the analysis. Based on the qualitative analysis performed in accordance with ASC 350, the Company determined it more likely than not that goodwill was not impaired as of June 30, 2023. During the three months ended March 31, 2024,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the carrying amount of goodwill was $12.9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 of the core deposit intangible was $7.0 million as of March 31, 2024.</w:t>
      </w:r>
    </w:p>
    <w:p>
      <w:pPr>
        <w:spacing w:after="0" w:line="25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$0.2 million and $0.2 million for the three months ended March 31, 2024 and March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March 31, 2024, the Company's maximum exposure to loss is $63.0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14605</wp:posOffset>
            </wp:positionV>
            <wp:extent cx="16459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 w:lineRule="exact"/>
        <w:rPr>
          <w:sz w:val="20"/>
          <w:szCs w:val="20"/>
          <w:color w:val="auto"/>
        </w:rPr>
      </w:pPr>
    </w:p>
    <w:p>
      <w:pPr>
        <w:ind w:left="9080"/>
        <w:spacing w:after="0"/>
        <w:tabs>
          <w:tab w:leader="none" w:pos="104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19685</wp:posOffset>
            </wp:positionV>
            <wp:extent cx="16459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7" w:lineRule="exact"/>
        <w:rPr>
          <w:sz w:val="20"/>
          <w:szCs w:val="20"/>
          <w:color w:val="auto"/>
        </w:rPr>
      </w:pPr>
    </w:p>
    <w:p>
      <w:pPr>
        <w:ind w:left="20"/>
        <w:spacing w:after="0"/>
        <w:tabs>
          <w:tab w:leader="none" w:pos="8640" w:val="left"/>
          <w:tab w:leader="none" w:pos="9520" w:val="left"/>
          <w:tab w:leader="none" w:pos="10000" w:val="left"/>
          <w:tab w:leader="none" w:pos="10880" w:val="left"/>
        </w:tabs>
        <w:rPr>
          <w:sz w:val="20"/>
          <w:szCs w:val="20"/>
          <w:color w:val="auto"/>
        </w:rPr>
      </w:pPr>
      <w:r>
        <w:rPr>
          <w:rFonts w:ascii="Times New Roman" w:cs="Times New Roman" w:eastAsia="Times New Roman" w:hAnsi="Times New Roman"/>
          <w:sz w:val="18"/>
          <w:szCs w:val="18"/>
          <w:color w:val="auto"/>
        </w:rPr>
        <w:t>Tax credits and other tax benefits recognized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863</w:t>
        <w:tab/>
        <w:t>$</w:t>
      </w:r>
      <w:r>
        <w:rPr>
          <w:sz w:val="20"/>
          <w:szCs w:val="20"/>
          <w:color w:val="auto"/>
        </w:rPr>
        <w:tab/>
      </w:r>
      <w:r>
        <w:rPr>
          <w:rFonts w:ascii="Times New Roman" w:cs="Times New Roman" w:eastAsia="Times New Roman" w:hAnsi="Times New Roman"/>
          <w:sz w:val="17"/>
          <w:szCs w:val="17"/>
          <w:color w:val="auto"/>
        </w:rPr>
        <w:t>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March 31, 2024, as compared to December 31, 2023, and our results of operations for the three month periods ended March 31, 2024 and March 31, 2023.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2023 (the “2023 Annual Report”), filed with the Securities and Exchange Commission on March 7, 2024. Historical results of operations and the percentage relationships among any amounts included, and any trends that may appear, may not indicate results of operations for any future periods.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41% of our equity as of March 31, 2024. As of March 31, 2024, our total assets were $8.14 billion, our total loans, net of allowance for credit losses were $4.36 billion, our total deposits were $7.31 billion, and our stockholders' equity was $616.9 million. As of March 31, 2024, our trust business held $34.95 billion in assets under custody and $13.87 billion in assets under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2023 Annual Report.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significant accounting policies, or the estimates made pursuant to those policies as described in our 2023 Annual Report.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2023, we adopted the CECL Standard, which requires that loans held for investment be accounted for under the current expected credit losses model. 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for loans that share similar risk characteristics. For a loan that does not share risk characteristics with other loans, the Company will evaluate the loan on an individual basis. Within the model, assumptions are made in the determination of baseline loss rates, severity rates, reasonable and supportable economic forecasts, and prepayment rates.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assesses the sensitivity of key assumptions at least annually by stressing the assumptions to understand the impact on the model. While management utilizes its best judgment and information available, the ultimate adequacy of our allowance is dependent upon a variety of factors beyond our control which are inherently difficult to predict, the most significant being the macroeconomic forecasts. The Company's forecast of economic conditions considers baseline, favorable, and adverse scenarios.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Changes in economic forecasts may not occur in the same direction or magnitude across all segments of our loan portfolio and deterioration in some quantitative inputs may offset improvement in others. The Company selects the economic forecast that is most reflective of expectations at that point in time, and changes could significantly impact the calculated estimated credit losses.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segments that rely on a peer group to develop baseline loss rates, statistical regression is utilized to relate historical macro-economic variables to historical credit loss experience of a peer group of banks. These models are then utilized to forecast future expected credit losses based on expected future behavior of the same macro-economic variables. Adjustments to the quantitative results are made using qualitative factors. These factors include: (1) borrower's financial condition; (2) borrower's ability to pay; (3) nature and volume of financial assets; (4) value of the underlying collateral; (5) lending policies and procedures; (6) quality of</w:t>
      </w:r>
    </w:p>
    <w:p>
      <w:pPr>
        <w:sectPr>
          <w:pgSz w:w="11900" w:h="16838" w:orient="portrait"/>
          <w:cols w:equalWidth="0" w:num="1">
            <w:col w:w="11240"/>
          </w:cols>
          <w:pgMar w:left="320" w:top="1440"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the loan review system; (7) the experience, ability, and depth of staff; (8) regulatory and legal environment; (9) changes in market conditions; and (10) changes in economic conditions.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within the CECL policy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Effective in 2024 and onward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This ASU is effective for fiscal years beginning after December 15, 2023, and interim periods within fiscal years beginning after December 15, 2024. Early adoption is permitted. The Company is currently evaluating the impact of this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 Improvements to Income Tax Disclosures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Improvements to Income Tax Disclosures, which is intended to enhance the transparency and decision usefulness of income tax disclosures. The amendments in ASU 2023-09 address investor requests for enhanced income tax information primarily through changes to the rate reconciliation and income taxes paid information. The update will be effective for annual periods beginning after December 15, 2024, and early adoption is permitted. The Company is currently evaluating the impact of this standard on our consolidated financial statements and related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first quarter of 2024 was $27.2 million, or $0.89 per diluted share, compared to $21.3 million, or $0.69 per diluted share, for the first quarter of 2023. The $5.9 million increase was primarily due to a $7.2 million increase in interest income on loans, a $2.9 million increase in interest income on securities, a $2.0 million increase in interest on interest-bearing deposits in banks, a $5.0 million increase in non-interest income, and a $3.4 million decrease in provision for credit losses, offset by an increase in interest expense of $11.2 million primarily related to deposits, and a $3.7 million increase in income tax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Federal Home Loan Bank of New York ("FHLBNY") advances, federal funds purchased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920" w:type="dxa"/>
            <w:vAlign w:val="bottom"/>
            <w:tcBorders>
              <w:bottom w:val="single" w:sz="8" w:color="auto"/>
            </w:tcBorders>
          </w:tcPr>
          <w:p>
            <w:pPr>
              <w:spacing w:after="0"/>
              <w:rPr>
                <w:sz w:val="20"/>
                <w:szCs w:val="20"/>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 /</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 /</w:t>
            </w:r>
          </w:p>
        </w:tc>
      </w:tr>
      <w:tr>
        <w:trPr>
          <w:trHeight w:val="189"/>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1140" w:type="dxa"/>
            <w:vAlign w:val="bottom"/>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r>
      <w:tr>
        <w:trPr>
          <w:trHeight w:val="209"/>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3,170,356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loans, net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4,390,489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4,129,460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7,845,225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7,600,816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226,270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217,020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8,076,563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7,821,851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3,591,551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3,091,228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190,240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367,684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3,608,726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288,093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347,878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4.45 %</w:t>
            </w: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3,286,964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7,475,804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7,319,366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600,759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502,485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8,076,563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7,821,851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23"/>
        </w:trPr>
        <w:tc>
          <w:tcPr>
            <w:tcW w:w="3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3,587,296</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3,644,212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36"/>
        </w:trPr>
        <w:tc>
          <w:tcPr>
            <w:tcW w:w="3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deposits / total cost of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7,108,074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6,895,690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0.81 %</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funding / total cost of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7,243,568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r>
    </w:tbl>
    <w:p>
      <w:pPr>
        <w:spacing w:after="0" w:line="66"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40" w:hanging="132"/>
        <w:spacing w:after="0"/>
        <w:tabs>
          <w:tab w:leader="none" w:pos="1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prepayment penalty income in 1Q2024 and 1Q2023 of $18 and $0 thousand,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$68.0 million for the first quarter of 2024, compared to $67.3 million for the first quarter of 2023. The $0.7 million increase from the first quarter of 2023 was primarily attributable to higher yields and average balances on interest-earning assets, partially offset by higher costs and average balances on interest-bearing liabilities.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spread was 2.24% for the three months ended March 31, 2024, compared to 2.72% for the same period in 2023, a decrease of 48 basis points. Our net interest margin was 3.49% for the first quarter of 2024, a decrease of 10 basis points from 3.59% in the first quarter of 2023. This was largely due to increases in interest-bearing liabilities outpacing increases in interest-earning assets, and increases in the cost of funds outpacing increases in yields.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4.97% for the three months ended March 31, 2024, compared to 4.53% for the same period in 2023, an increase of 44 basis points. This increase was driven primarily by the current rate environment resulting in increased yields across securities and loan portfolios.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2.73% for the three months ended March 31, 2024, an increase of 92 basis points from the same period in 2023, which was primarily due to the rising rate environment that led to an increase in interest expense paid for deposits, particularly in savings, NOW, and money market deposits and time deposits. Non-interest-bearing deposits represented 44% of average deposits for the three months ended March 31, 2024, compared to 48% for the three months ended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9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March 31, 2024 over March 31, 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Changes Due To</w:t>
            </w: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4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0" w:type="dxa"/>
            <w:vAlign w:val="bottom"/>
          </w:tcPr>
          <w:p>
            <w:pPr>
              <w:spacing w:after="0"/>
              <w:rPr>
                <w:sz w:val="1"/>
                <w:szCs w:val="1"/>
                <w:color w:val="auto"/>
              </w:rPr>
            </w:pPr>
          </w:p>
        </w:tc>
      </w:tr>
      <w:tr>
        <w:trPr>
          <w:trHeight w:val="270"/>
        </w:trPr>
        <w:tc>
          <w:tcPr>
            <w:tcW w:w="6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2023, we adopted the CECL standard for calculating the allowance for credit losses and the provision for credit losses. We establish an allowance for credit losses through a provision for credit losses charged as an expense in our Consolidated Statements of Income. For further discussion of the methodology under the CECL standard, refer to Note 1 to the Consolidated Financial Statements in Item 1 of this Form 10-Q.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credit losses totaled an expense of $1.6 million for the first quarter of 2024 compared to an expense of $5.0 million for the same period in 2023. The provision for credit losses on loans totaled an expense of $0.9 million, the provision for credit losses on securities totaled a recovery of $11 thousand, and the provision for credit losses on off-balance sheet credit exposures was an expense of $0.7 million. Overall, the provision expense on loans was primarily driven by increases in specific loan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reserves, charge-offs on the solar loan portfolio, and an increase in reserve for multifamily loans to reflect the current market repricing conditions, offset by improvements in macro-economic forecasts used in the CECL model.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income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28"/>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Department fees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 of securities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sale of loans,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 income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was $10.2 million for the first quarter of 2024, compared to $5.2 million for the first quarter in 2023. The increase of $5.0 million in the first quarter of 2024 compared to the corresponding quarter in 2023 was primarily due to a $3.6 million increase in service charges on deposit accounts primarily due to increases in ICS One-Way Sell income, and an increase in income from equity investments of $1.9 million. This was partially offset by a decrease in other income of $0.7 million primarily attributed to a gain on the repurchase of subordinated debt in the first quarter of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Department fees consist of fees we receive in connection with our investment advisory and custodial management services of investment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Trust Department fees were $3.9 million in the first quarter of 2024, compared to $3.9 million in the same period in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data processing, office maintenance and depreciation, amortization of intangible assets, advertising and promotion, federal deposit insurance premiums, and other expenses. The following table presents non-interest expense for the periods indicated: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28"/>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2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w:t>
            </w:r>
          </w:p>
        </w:tc>
      </w:tr>
      <w:tr>
        <w:trPr>
          <w:trHeight w:val="21"/>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expense for the first quarter of 2024 was $38.2 million, a decrease of $0.4 million from $38.6 million for the first quarter of 2023. The decrease was driven by a $0.5 million decrease in occupancy and depreciation due to a gain from settlement of a lease termination, a $0.4 million decrease in advertising and promotion expense, and a $0.3 million decrease in other expense, offset by $0.4 million increase in federal deposit insurance premiums expense, by a $0.3 million increase in compensation expense, and a $0.2 million increase in professional fees.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 and 2023</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 provision for income tax expense of $11.3 million for the first quarter of 2024, compared to $7.6 million for the first quarter of 2023. Our effective tax rate for the first quarter of 2024 was 29.2%, compared to 26.2% for the first quarter of 2023. In the first quarter of 2024, we concluded on the analysis related to a state and city tax examination that began in 2023, resulting in an adjustment of $0.9 million that was recorded as income tax expense in the quarter. Excluding this adjustment, our effective tax rate for the first quarter of 2024 was 26.9%.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assets were $8.14 billion at March 31, 2024, compared to $7.97 billion at December 31, 2023. Notable changes within individual balance sheet line items include a $81.2 million increase in resell agreements, an increase in cash of $64.6 million and a $22.1 million increase in securities, a $13.8 million increase in loans receivable, net, a $293.8 million increase in deposits, and a $165.3 million decrease in other borrowings.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March 31, 2024 or at December 31, 2023.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we had available for sale securities of $1.53 billion and $1.48 billion,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our held-to-maturity securities portfolio primarily consisted of PACE assessments, tax-exempt municipal securities, GSE commercial and residential certificates and other debt. We carry these securities at amortized cost. We had held-to-maturity securities of $1.67 billion at March 31, 2024, and $1.70 billion at December 31,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$18.5 million at March 31, 2024 and $22.5 million at December 31, 2023, and is excluded from the estimate of credit losses, as accrued interest receivable is reversed for securities placed on nonaccrual status. The allowance for credit losses for held-to-maturity securities at March 31, 2024 was $0.7 million compared to $0.7 million at December 31, 2023. The provision for credit losses for held-to-maturity securities was a recovery of $11 thousand for the three months ended March 31, 2024, compared to an expense of $45 thousand for the three months ended March 31, 2023.</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reversal).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available-for-sale debt securities totaled $13.1 million at March 31, 2024 and $12.6 million at December 31, 2023, and is excluded from the estimate of credit losses, as accrued interest receivable is reversed for securities placed on nonaccrual status.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465,788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480,615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668,290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627,635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1,528,051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1,483,042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801,786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818,963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held-to-maturity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1,674,672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1,697,555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3,202,723</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3,180,597</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Contractual Maturity as of March 31, 2024</w:t>
            </w:r>
          </w:p>
        </w:tc>
        <w:tc>
          <w:tcPr>
            <w:tcW w:w="5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tcPr>
          <w:p>
            <w:pPr>
              <w:spacing w:after="0"/>
              <w:rPr>
                <w:sz w:val="21"/>
                <w:szCs w:val="21"/>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20" w:type="dxa"/>
            <w:vAlign w:val="bottom"/>
          </w:tcPr>
          <w:p>
            <w:pPr>
              <w:spacing w:after="0"/>
              <w:rPr>
                <w:sz w:val="21"/>
                <w:szCs w:val="21"/>
                <w:color w:val="auto"/>
              </w:rPr>
            </w:pP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80" w:type="dxa"/>
            <w:vAlign w:val="bottom"/>
            <w:gridSpan w:val="3"/>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2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88,228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398,652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163,648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801,786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534,204</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2,653,761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6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asset-backed securities by sector and ratings at carrying value based on the fair value of available for sale securities and amortized cost of held-to-maturity securities as of March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Credit Ratings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2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7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800" w:type="dxa"/>
            <w:vAlign w:val="bottom"/>
            <w:vMerge w:val="continue"/>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 AAA</w:t>
            </w:r>
          </w:p>
        </w:tc>
        <w:tc>
          <w:tcPr>
            <w:tcW w:w="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 AA</w:t>
            </w: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 A</w:t>
            </w: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Floating</w:t>
            </w:r>
          </w:p>
        </w:tc>
        <w:tc>
          <w:tcPr>
            <w:tcW w:w="8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CLO Commercial &amp;</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569,455</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7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150,318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18 %</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67 %</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60"/>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138,184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3"/>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88,582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16 %</w:t>
            </w: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8"/>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946,539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5 %</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11 %</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PACE assessments. All non-agency securities, composed of non-agency commercial</w:t>
      </w:r>
    </w:p>
    <w:p>
      <w:pPr>
        <w:sectPr>
          <w:pgSz w:w="11900" w:h="16838" w:orient="portrait"/>
          <w:cols w:equalWidth="0" w:num="1">
            <w:col w:w="11240"/>
          </w:cols>
          <w:pgMar w:left="320" w:top="1053"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mortgage-backed securities, collateralized loan obligations, non-agency mortgage-backed securities, and asset-backed securities, are senior tranche and approximately 86% carry AAA credit ratings and 13% carry A credit ratings or higher. Approximately 50% of this portfolio is classified as “available for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Lending-related income is the most important component of our net interest income and is the main driver of our results of operations. Total loans, net of deferred origination fees and allowance for credit losses, were $4.36 billion as of March 31, 2024 compared to $4.35 billion as of December 31, 2023. Within our commercial loan portfolio, our primary focus has been on C&amp;I, multifamily and CRE lending. Within our retail loan portfolio, our primary focus has been on residential 1-4 family (1st lien) mortgages. We intend to focus any organic growth in our loan portfolio on these lending areas as part of our strategic plan.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2024, we purchased $0.7 million of commercial loans that are unconditionally guaranteed by the U.S. Government and $2.3 million of commercial energy efficient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March 31, 2024 and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33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Pr>
          <w:p>
            <w:pPr>
              <w:spacing w:after="0"/>
              <w:rPr>
                <w:sz w:val="20"/>
                <w:szCs w:val="20"/>
                <w:color w:val="auto"/>
              </w:rPr>
            </w:pPr>
          </w:p>
        </w:tc>
        <w:tc>
          <w:tcPr>
            <w:tcW w:w="318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09"/>
        </w:trPr>
        <w:tc>
          <w:tcPr>
            <w:tcW w:w="4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1,014,084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1,010,998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1,175,467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mortgages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353,432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2,566,415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2,536,176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1,419,321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1,425,596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398,501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1,857,365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1,875,143</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2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4,423,780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4,411,319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4,359,380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4,345,628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loan portfolio comprised 58.0% of our total loan portfolio at March 31, 2024 and 57.5% of our total loan portfolio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categories of our commercial loan portfolio are discussed below:</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March 31, 2024 by exposure was $4.1 million with a median size of $1.0 million. We have shifted our lending strategy to focus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C&amp;I loans totaled $1.01 billion at March 31, 2024, which comprised 22.9% of our total loan portfolio. During the three months ended March 31, 2024, the C&amp;I loan portfolio increased by 0.3% from $1.01 billion at December 31, 2023.</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70% of their exposure in New York City. Our multifamily loans have been underwritten under stringent guidelines on loan-to-value and debt service coverage ratios that are designed to mitigate credit and concentration risk in this loan category. The average current LTV of our multifamily loans is approximately 55%.</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multifamily loans totaled $1.18 billion at March 31, 2024, which comprised 26.6% of our total loan portfolio. During the three months ended March 31, 2024, the multifamily loan portfolio increased by 2.4% from $1.15 billion at December 31, 2023.</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 loans totaled $353.6 million at March 31, 2024, which comprised 8.0% of our total loan portfolio. During the three months ended March 31, 2024, the CRE loan portfolio was largely unchanged from $353.4 million at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42.0% of our total loan portfolio at March 31, 2024 and 42.5% of our loan portfolio at December 31, 2023. The major categories of our retail loan portfolio are discussed below.</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1-4 family mortgage loans are residential mortgages that are primarily secured by single-family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owner occupied or investor owned. These loans are either originated by our loan officers or purchased from other originators with the servicing generally retained by such originators. Our residential real estate lending portfolio is 99% first mortgage loans and 1% second mortgage loans. As of March 31, 2024, approximately 80% of our residential 1-4 family mortgage loans were either originated by our loan officers since 2012 or were acquired in our acquisition of New Resource Bank, and 20% were purchased or acquired. Our residential real estate lending loans totaled $1.42 billion at March 31, 2024, which comprised 76.4% of our retail loan portfolio and 32.1% of our total loan portfolio. As of March 31, 2024, our residential real estate lending loans decreased by 0.4% from $1.43 billion at December 31, 2023.</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("UCC")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Our consumer solar loans totaled $398.5 million at March 31, 2024, which comprised 9.0% of our total loan portfolio, compared to $408.3 million, or 9.3% of our total loan portfolio, at December 31, 2023.</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and other loans totaled $39.5 million at March 31, 2024, which comprised 0.9% of our total loan portfolio, compared to $41.3 million, or 0.9% of our total loan portfolio, at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March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After five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1,014,084</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1,175,467</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353,598</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1,419,321</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398,501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0" w:type="dxa"/>
            <w:vAlign w:val="bottom"/>
          </w:tcPr>
          <w:p>
            <w:pPr>
              <w:spacing w:after="0"/>
              <w:rPr>
                <w:sz w:val="1"/>
                <w:szCs w:val="1"/>
                <w:color w:val="auto"/>
              </w:rPr>
            </w:pPr>
          </w:p>
        </w:tc>
      </w:tr>
      <w:tr>
        <w:trPr>
          <w:trHeight w:val="22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1,821,499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4,423,780</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March 31,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Adjustable</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506,541</w:t>
            </w:r>
          </w:p>
        </w:tc>
        <w:tc>
          <w:tcPr>
            <w:tcW w:w="120" w:type="dxa"/>
            <w:vAlign w:val="bottom"/>
          </w:tcPr>
          <w:p>
            <w:pPr>
              <w:spacing w:after="0"/>
              <w:rPr>
                <w:sz w:val="19"/>
                <w:szCs w:val="19"/>
                <w:color w:val="auto"/>
              </w:rPr>
            </w:pP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680,925</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1,002,459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1,018,037</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256,983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256,983</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70"/>
        </w:trPr>
        <w:tc>
          <w:tcPr>
            <w:tcW w:w="3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781,771</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637,542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1,419,313</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398,403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398,403</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38,737</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2,986,316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827,662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3,813,978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maintain the allowance at a level we believe is sufficient to absorb current expected credit losses in our loan portfolio. For further discussion of the adoption of and methodology under the CECL standard, refer to refer to Note 1 to the Consolidated Financial Statements in Item 1 of this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credit losses for the three months ended March 31, 2024 and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67,323</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the allowance for credit losses on loans decreased $1.3 million to $64.4 million at March 31, 2024 from $65.7 million at December 31, 2023. The ratio of allowance to total loans was 1.46% at March 31, 2024 and 1.49% at December 31,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allowance for credit losses on held-to-maturity securities was $0.7 million, compared to $0.7 million at December 31, 2023.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loans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220" w:type="dxa"/>
            <w:vAlign w:val="bottom"/>
          </w:tcPr>
          <w:p>
            <w:pPr>
              <w:spacing w:after="0"/>
              <w:rPr>
                <w:sz w:val="20"/>
                <w:szCs w:val="20"/>
                <w:color w:val="auto"/>
              </w:rPr>
            </w:pPr>
          </w:p>
        </w:tc>
        <w:tc>
          <w:tcPr>
            <w:tcW w:w="26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At December 31, 2023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57"/>
        </w:trPr>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5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2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9.0 % 33.1 %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3"/>
        </w:trPr>
        <w:tc>
          <w:tcPr>
            <w:tcW w:w="4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57"/>
        </w:trPr>
        <w:tc>
          <w:tcPr>
            <w:tcW w:w="4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loans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26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nonperforming assets as of March 31,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24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24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34,203</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7,533</w:t>
            </w: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4,490</w:t>
            </w:r>
          </w:p>
        </w:tc>
      </w:tr>
      <w:tr>
        <w:trPr>
          <w:trHeight w:val="229"/>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11,166</w:t>
            </w:r>
          </w:p>
        </w:tc>
      </w:tr>
      <w:tr>
        <w:trPr>
          <w:trHeight w:val="223"/>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50"/>
        </w:trPr>
        <w:tc>
          <w:tcPr>
            <w:tcW w:w="6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7,218</w:t>
            </w: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24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2,673</w:t>
            </w: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48"/>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33,183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net charge-offs to average loans</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$34.0 million, or 0.42% of period-end total assets at March 31, 2024, a decrease of $0.2 million, compared with $34.2 million, or 0.43% of period-end total assets at December 31, 2023. The decrease in non-performing assets at March 31, 2024 compared to December 31, 2023 assets was primarily driven by a $2.5 million decrease in residential real estate nonaccrual loans, offset by a $1.2 million increase in commercial and industrial nonaccrual loans, and a $1.2 million increase in consumer solar nonaccrual loans.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$88.4 million, or 1.1% of total assets, at March 31, 2024, as follows: $67.9 million are commercial loans currently in workout that management expects will be rehabilitated; $14.9 million are residential real estate loans at 30-89 days delinquent, and $5.6 million are consumer loans at 30-89 days delinquent.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have entered into $131.2 million of short term investments of resell agreements backed by residential first-lien mortgage loans, with a weighted interest rate of 6.68%. As of December 31, 2023, we have entered into $50.0 million of short term investments of resell agreements backed by residential first-lien mortgage loans, with a weighted interest rate of 6.34%.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$49.2 million at March 31, 2024 and $56.6 million at December 31, 2023. As of March 31, 2024,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$7.31 billion at March 31, 2024, compared to $7.01 billion at December 31, 2023.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Insured Cash Sweep accounts, Certificate of Deposit Account Registry Service accounts, and brokered certificates of deposit. We bank politically active customers, such as campaigns, PACs ("political action committees"), and state and national party committees, which we refer to as political deposits. These deposits exhibit seasonality based on election cycles. As of March 31, 2024 and December 31, 2023, we had approximately $1.44 billion and $1.19 billion, respectively, in political deposits which are primarily in demand deposits.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utilize a custodial deposit transference structure through the IntraFi ICS ("Insured Cash Sweep") network for certain deposit programs whereby we, acting as custodian of account holder funds, places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These off-balance sheet deposits totaled $456.8 million at March 31, 2024 and $303.1 million at December 31, 2023. In return for record keeping services at Program Banks, the Company receives a servicing fee. For the three months ended March 31, 2024, the Company recognized $2.9 million in servicing fee income compared to $148 thousand for the three months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uninsured deposits at March 31, 2024 and December 31, 2023 were $4.07 billion and $4.04 billion,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March 31, 2024 are summarized as follows:</w:t>
      </w:r>
    </w:p>
    <w:p>
      <w:pPr>
        <w:spacing w:after="0" w:line="2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Maturities as of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23"/>
        </w:trPr>
        <w:tc>
          <w:tcPr>
            <w:tcW w:w="38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March 31, 2024 are presented in the following table. The projections assume immediate, parallel shifts downward of the yield curve of 100 and 200 basis points and immediate, parallel shifts upward of the yield curve of 100, 200, 300, and 400 basis points.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900" w:type="dxa"/>
            <w:vAlign w:val="bottom"/>
          </w:tcPr>
          <w:p>
            <w:pPr>
              <w:spacing w:after="0"/>
              <w:rPr>
                <w:sz w:val="17"/>
                <w:szCs w:val="17"/>
                <w:color w:val="auto"/>
              </w:rPr>
            </w:pPr>
          </w:p>
        </w:tc>
        <w:tc>
          <w:tcPr>
            <w:tcW w:w="4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900" w:type="dxa"/>
            <w:vAlign w:val="bottom"/>
          </w:tcPr>
          <w:p>
            <w:pPr>
              <w:spacing w:after="0"/>
              <w:rPr>
                <w:sz w:val="21"/>
                <w:szCs w:val="21"/>
                <w:color w:val="auto"/>
              </w:rPr>
            </w:pPr>
          </w:p>
        </w:tc>
        <w:tc>
          <w:tcPr>
            <w:tcW w:w="4020" w:type="dxa"/>
            <w:vAlign w:val="bottom"/>
            <w:gridSpan w:val="2"/>
            <w:vMerge w:val="continue"/>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1900" w:type="dxa"/>
            <w:vAlign w:val="bottom"/>
            <w:tcBorders>
              <w:top w:val="single" w:sz="8" w:color="auto"/>
            </w:tcBorders>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w w:val="98"/>
              </w:rPr>
              <w:t>Year 1 Net Interest</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Income ($)</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-22.7%</w:t>
            </w: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(357,476)</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9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(29,865)</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-14.5%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(229,137)</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(14,066)</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-7.4%</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(116,802)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(3,308)</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-0.9%</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(14,505)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1,775</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(51,163)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(9,155)</w:t>
            </w:r>
          </w:p>
        </w:tc>
        <w:tc>
          <w:tcPr>
            <w:tcW w:w="0" w:type="dxa"/>
            <w:vAlign w:val="bottom"/>
          </w:tcPr>
          <w:p>
            <w:pPr>
              <w:spacing w:after="0"/>
              <w:rPr>
                <w:sz w:val="1"/>
                <w:szCs w:val="1"/>
                <w:color w:val="auto"/>
              </w:rPr>
            </w:pPr>
          </w:p>
        </w:tc>
      </w:tr>
      <w:tr>
        <w:trPr>
          <w:trHeight w:val="23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-8.9%</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(140,331)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(22,928)</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Liquidity management is made more complicated because different balance sheet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components are subject to varying degrees of management control.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2024, our cash and equivalents, which consist of cash and amounts due from banks and interest-bearing deposits in other financial institutions, amounted to $155.2 million, or 1.9% of total assets, compared to $90.6 million, or 1.1% of total assets at December 31, 2023. The $64.6 million, or 71.3%, increase is due to normal business activity and strategic investment securities sales. Our available for sale securities at March 31, 2024 were $1.53 billion, or 18.8% of total assets, compared to $1.48 billion, or 18.6% of total assets at December 31, 2023. Investment securities with an aggregate fair value of $1.28 billion at March 31, 2024 were pledged to secure outstanding advances, letters of credit, provide additional borrowing potential, and collateralize municipal deposits. Additionally, mortgage loans with an unpaid principal balance of $1.67 billion were pledged to the FHLBNY to secure outstanding advances, letters of credit and to provide additional borrowing potential.</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March 31, 2024, we had $9.1 million advances from the FHLBNY and a remaining credit availability of $2.03 billion. In addition, we maintain borrowing capacity of approximately $1.02 billion with the Federal Reserve’s discount window or BTFP that is secured by certain securities from our portfolio which are not pledged for other purposes. The outstanding balance related to borrowings from the BTFP at March 31, 2024 was $60.0 million, and is recorded in Other borrowings on the Consolidated Statements of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$70.6 million in subordinated debt, net of issuance costs. Our cash, off-balance sheet deposits, and borrowing capacity totaled $3.69 billion of immediately available funds, in addition to unpledged securities with two-day availability of $171.0 million for total liquidity within two-days of $3.86 billion, which provided coverage for 95%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stockholders’ equity at March 31, 2024 was $616.9 million, compared to $585.4 million at December 31, 2023, an increase of $31.6 million. The increase was primarily driven by $27.2 million of net income for the quarter and an $7.1 million improvement in accumulated other comprehensive loss due to the tax effected mark-to-market on our securities portfolio, offset by $3.1 million in dividends paid at $0.10 per outstanding share, and $0.2 million of common stock repurchases.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capital rules adopted in July 2013 and fully phased in as of January 1, 2019, which are referred to as the Basel III rules, impose minimum capital requirements for bank holding companies and banks. The Basel III rules apply to all national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18"/>
          <w:szCs w:val="18"/>
          <w:color w:val="auto"/>
        </w:rPr>
        <w:t>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Bank and the Company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4"/>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Bank:</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497,234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Tier I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397,787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410,243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223,755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323,202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504,083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403,266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Tier</w:t>
            </w: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405,643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327,654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As of March 31, 2024, the Bank was categorized as “well capitalized” under the prompt corrective action measures and met the capital conservation buffer requirements.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as of March 31,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5"/>
                <w:szCs w:val="15"/>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20" w:type="dxa"/>
            <w:vAlign w:val="bottom"/>
          </w:tcPr>
          <w:p>
            <w:pPr>
              <w:spacing w:after="0"/>
              <w:rPr>
                <w:sz w:val="15"/>
                <w:szCs w:val="15"/>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70,570</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Borrowings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527,699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78,594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agreements with Pace Funding Group LLC, which operates Home Run Financing, for the purchase of PACE assessments until the end of January 2025. These investments are to be held in the Company's available for sale and held-to-maturity investment portfolio. As of March 31, 2024, the Company had purchased $753.7 million of these obligations and had an estimated remaining commitment of $119.7 million. The PACE assessments have equal-lien priority with property taxes and generally rank senior to first lien mortgages. The Company anticipates these commitments will be funded by means of normal cash flows, a reduction in cash and cash equivalents, or by pay-downs and maturities of loans and other investments.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3" w:name="page64"/>
    <w:bookmarkEnd w:id="6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 changes in our market risk as of March 31, 2024 from that presented in the 2023 Annual Report are described in Part II, Item 1A of this Form 10-Q below. Our interest rate sensitivity position at March 31, 2024 is set forth in the table labeled “Evaluation of Interest Rate Risk” in Management’s Discussion and Analysis of Financial Condition and Results of Operation of this Quarterly Report on Form 10-Q and incorporated herein by this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March 31, 2024. Based on such evaluations, our principal executive officer and principal financial officer concluded that, as of such date, our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Exchange Act Rule 13a-15(f)) that occurred during the quarter ended March 31, 2024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shares of our common stock involves certain risks, including those identified and described in Item 1A. of our Annual Report on Form 10-K for the fiscal year ended December 31, 2023, as filed with the SEC on March 7, 2024, as well as cautionary statements contained in this report, including those under the caption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risks and matters described elsewhere in this report and in our other filings with the SEC.</w:t>
      </w:r>
    </w:p>
    <w:p>
      <w:pPr>
        <w:spacing w:after="0" w:line="19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2023.</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March 31, 2024 by or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 purchaser” as defined in Rule 10b-18(a)(3) under the Exchange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 through January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1 through February 29, 2024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through March 31, 2024</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15"/>
                <w:szCs w:val="15"/>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plans or</w:t>
            </w:r>
          </w:p>
        </w:tc>
        <w:tc>
          <w:tcPr>
            <w:tcW w:w="0" w:type="dxa"/>
            <w:vAlign w:val="bottom"/>
          </w:tcPr>
          <w:p>
            <w:pPr>
              <w:spacing w:after="0"/>
              <w:rPr>
                <w:sz w:val="1"/>
                <w:szCs w:val="1"/>
                <w:color w:val="auto"/>
              </w:rPr>
            </w:pPr>
          </w:p>
        </w:tc>
      </w:tr>
      <w:tr>
        <w:trPr>
          <w:trHeight w:val="230"/>
        </w:trPr>
        <w:tc>
          <w:tcPr>
            <w:tcW w:w="1880" w:type="dxa"/>
            <w:vAlign w:val="bottom"/>
            <w:gridSpan w:val="2"/>
          </w:tcPr>
          <w:p>
            <w:pPr>
              <w:jc w:val="center"/>
              <w:ind w:right="2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w:t>
            </w: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21,705</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19,781,192</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19,781,192</w:t>
            </w:r>
          </w:p>
        </w:tc>
        <w:tc>
          <w:tcPr>
            <w:tcW w:w="0" w:type="dxa"/>
            <w:vAlign w:val="bottom"/>
          </w:tcPr>
          <w:p>
            <w:pPr>
              <w:spacing w:after="0"/>
              <w:rPr>
                <w:sz w:val="1"/>
                <w:szCs w:val="1"/>
                <w:color w:val="auto"/>
              </w:rPr>
            </w:pPr>
          </w:p>
        </w:tc>
      </w:tr>
      <w:tr>
        <w:trPr>
          <w:trHeight w:val="234"/>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19,549,731</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57,643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24.48</w:t>
            </w:r>
          </w:p>
        </w:tc>
        <w:tc>
          <w:tcPr>
            <w:tcW w:w="2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-333375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27" w:right="339" w:bottom="1440" w:gutter="0" w:footer="0" w:header="0"/>
          <w:type w:val="continuous"/>
        </w:sectPr>
      </w:pPr>
    </w:p>
    <w:p>
      <w:pPr>
        <w:spacing w:after="0" w:line="115" w:lineRule="exact"/>
        <w:rPr>
          <w:sz w:val="20"/>
          <w:szCs w:val="20"/>
          <w:color w:val="auto"/>
        </w:rPr>
      </w:pPr>
    </w:p>
    <w:p>
      <w:pPr>
        <w:ind w:firstLine="8"/>
        <w:spacing w:after="0" w:line="282" w:lineRule="auto"/>
        <w:tabs>
          <w:tab w:leader="none" w:pos="22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17,460 shares withheld by the Company for options exercises, 30,813 shares withheld for taxes related to the exercise or vesting of stock awards, as well as 10,000 shares repurchased pursuant to the share repurchase program described in footnote (2).</w:t>
      </w:r>
    </w:p>
    <w:p>
      <w:pPr>
        <w:spacing w:after="0" w:line="202" w:lineRule="exact"/>
        <w:rPr>
          <w:rFonts w:ascii="Times New Roman" w:cs="Times New Roman" w:eastAsia="Times New Roman" w:hAnsi="Times New Roman"/>
          <w:sz w:val="14"/>
          <w:szCs w:val="14"/>
          <w:color w:val="auto"/>
        </w:rPr>
      </w:pPr>
    </w:p>
    <w:p>
      <w:pPr>
        <w:jc w:val="both"/>
        <w:ind w:firstLine="8"/>
        <w:spacing w:after="0" w:line="272" w:lineRule="auto"/>
        <w:tabs>
          <w:tab w:leader="none" w:pos="20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25, 2022, the Company’s Board of Directors approved an increase to the share repurchase program authorizing the repurchase of an aggregate amount up to $40 million of the Company's outstanding common stock. The authorization did not require the Company to acquire any specified number of shares and can be suspended or discontinued without prior notice. Under this authorization, $232 thousand of common stock was purchased during the first quarter of 2024. The approximate dollar value that may yet to be purchased under the plans or programs is $19.5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65" w:name="page66"/>
    <w:bookmarkEnd w:id="6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16, 2024, Edgar Romney, Executive Vice President, Chief Strategy and Administrative Officer, adopted a Rule 10b5-1 trading arrangement that is intended to satisfy the affirmative defense of Rule 10b5-1(c) for the sale of up to 28,020 shares of the Company’s common stock, net of shares to be withheld for taxes upon the exercise or vesting of underlying stock awards, with such transactions to occur during sale periods beginning on or after May 16, 2024 and ending on the earlier of May 15, 2025 or the date on which all shares authorized for sale have been sold in conformance with the terms of the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797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1263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26355" cy="8890"/>
                    </a:xfrm>
                    <a:prstGeom prst="rect">
                      <a:avLst/>
                    </a:prstGeom>
                    <a:noFill/>
                  </pic:spPr>
                </pic:pic>
              </a:graphicData>
            </a:graphic>
          </wp:anchor>
        </w:drawing>
      </w:r>
    </w:p>
    <w:p>
      <w:pPr>
        <w:spacing w:after="0" w:line="34" w:lineRule="exact"/>
        <w:rPr>
          <w:sz w:val="20"/>
          <w:szCs w:val="20"/>
          <w:color w:val="auto"/>
        </w:rPr>
      </w:pPr>
    </w:p>
    <w:p>
      <w:pPr>
        <w:jc w:val="both"/>
        <w:ind w:right="539"/>
        <w:spacing w:after="0" w:line="282"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270" w:lineRule="exact"/>
        <w:rPr>
          <w:sz w:val="20"/>
          <w:szCs w:val="20"/>
          <w:color w:val="auto"/>
        </w:rPr>
      </w:pPr>
    </w:p>
    <w:p>
      <w:pPr>
        <w:jc w:val="both"/>
        <w:ind w:right="559"/>
        <w:spacing w:after="0" w:line="282"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Corp.’s Current Report on Form 8-K filed with the SEC on April 8, 2024).</w:t>
        </w:r>
      </w:hyperlink>
    </w:p>
    <w:p>
      <w:pPr>
        <w:spacing w:after="0" w:line="270" w:lineRule="exact"/>
        <w:rPr>
          <w:sz w:val="20"/>
          <w:szCs w:val="20"/>
          <w:color w:val="auto"/>
        </w:rPr>
      </w:pPr>
    </w:p>
    <w:p>
      <w:pPr>
        <w:jc w:val="both"/>
        <w:ind w:right="539"/>
        <w:spacing w:after="0" w:line="261" w:lineRule="auto"/>
        <w:rPr>
          <w:sz w:val="20"/>
          <w:szCs w:val="20"/>
          <w:color w:val="auto"/>
        </w:rPr>
      </w:pPr>
      <w:r>
        <w:rPr>
          <w:rFonts w:ascii="Times New Roman" w:cs="Times New Roman" w:eastAsia="Times New Roman" w:hAnsi="Times New Roman"/>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p>
    <w:p>
      <w:pPr>
        <w:spacing w:after="0" w:line="266" w:lineRule="exact"/>
        <w:rPr>
          <w:sz w:val="20"/>
          <w:szCs w:val="20"/>
          <w:color w:val="auto"/>
        </w:rPr>
      </w:pPr>
    </w:p>
    <w:p>
      <w:pPr>
        <w:jc w:val="both"/>
        <w:ind w:right="539"/>
        <w:spacing w:after="0" w:line="222" w:lineRule="auto"/>
        <w:rPr>
          <w:sz w:val="20"/>
          <w:szCs w:val="20"/>
          <w:color w:val="auto"/>
        </w:rPr>
      </w:pPr>
      <w:r>
        <w:rPr>
          <w:rFonts w:ascii="Times New Roman" w:cs="Times New Roman" w:eastAsia="Times New Roman" w:hAnsi="Times New Roman"/>
          <w:sz w:val="18"/>
          <w:szCs w:val="18"/>
          <w:color w:val="auto"/>
        </w:rPr>
        <w:t>Interactive data files for the Quarterly Report on Form 10-Q of Amalgamated Financial Corp. for the quarter ended March 31, 2024, formatted in iXBRL (Inline eXtensible Business Reporting Language): (i) Consolidated</w:t>
      </w:r>
    </w:p>
    <w:p>
      <w:pPr>
        <w:spacing w:after="0" w:line="2" w:lineRule="exact"/>
        <w:rPr>
          <w:sz w:val="20"/>
          <w:szCs w:val="20"/>
          <w:color w:val="auto"/>
        </w:rPr>
      </w:pPr>
    </w:p>
    <w:p>
      <w:pPr>
        <w:jc w:val="both"/>
        <w:ind w:right="539"/>
        <w:spacing w:after="0" w:line="208" w:lineRule="auto"/>
        <w:rPr>
          <w:sz w:val="20"/>
          <w:szCs w:val="20"/>
          <w:color w:val="auto"/>
        </w:rPr>
      </w:pPr>
      <w:r>
        <w:rPr>
          <w:rFonts w:ascii="Times New Roman" w:cs="Times New Roman" w:eastAsia="Times New Roman" w:hAnsi="Times New Roman"/>
          <w:sz w:val="18"/>
          <w:szCs w:val="18"/>
          <w:color w:val="auto"/>
        </w:rPr>
        <w:t>Statements of Financial Condition at March 31, 2024 and December 31, 2023, (ii) Consolidated Statements of Income for the quarters ended March 31, 2024 and 2023, (iii) Consolidated Statements of Comprehensive Income for the quarters ended March 31, 2024 and 2023, (iv) Consolidated Statements of Changes in</w:t>
      </w:r>
    </w:p>
    <w:p>
      <w:pPr>
        <w:spacing w:after="0" w:line="2" w:lineRule="exact"/>
        <w:rPr>
          <w:sz w:val="20"/>
          <w:szCs w:val="20"/>
          <w:color w:val="auto"/>
        </w:rPr>
      </w:pPr>
    </w:p>
    <w:p>
      <w:pPr>
        <w:jc w:val="both"/>
        <w:ind w:right="539"/>
        <w:spacing w:after="0" w:line="218" w:lineRule="auto"/>
        <w:rPr>
          <w:sz w:val="20"/>
          <w:szCs w:val="20"/>
          <w:color w:val="auto"/>
        </w:rPr>
      </w:pPr>
      <w:r>
        <w:rPr>
          <w:rFonts w:ascii="Times New Roman" w:cs="Times New Roman" w:eastAsia="Times New Roman" w:hAnsi="Times New Roman"/>
          <w:sz w:val="18"/>
          <w:szCs w:val="18"/>
          <w:color w:val="auto"/>
        </w:rPr>
        <w:t>Shareholders’ Equity for the quarters ended March 31, 2024 and 2023, (v) Consolidated Statements of Cash Flows for the quarters ended March 31, 2024 and 2023 and (vi) Notes to Consolidated Financial Statements (unaudited).</w:t>
      </w:r>
    </w:p>
    <w:p>
      <w:pPr>
        <w:spacing w:after="0" w:line="226" w:lineRule="exact"/>
        <w:rPr>
          <w:sz w:val="20"/>
          <w:szCs w:val="20"/>
          <w:color w:val="auto"/>
        </w:rPr>
      </w:pPr>
    </w:p>
    <w:p>
      <w:pPr>
        <w:jc w:val="both"/>
        <w:ind w:right="539"/>
        <w:spacing w:after="0" w:line="237" w:lineRule="auto"/>
        <w:rPr>
          <w:sz w:val="20"/>
          <w:szCs w:val="20"/>
          <w:color w:val="auto"/>
        </w:rPr>
      </w:pPr>
      <w:r>
        <w:rPr>
          <w:rFonts w:ascii="Times New Roman" w:cs="Times New Roman" w:eastAsia="Times New Roman" w:hAnsi="Times New Roman"/>
          <w:sz w:val="18"/>
          <w:szCs w:val="18"/>
          <w:color w:val="auto"/>
        </w:rPr>
        <w:t>The cover page of Amalgamated Financial Corp.’s Form 10-Q Report for the quarter ended March 31, 2024, formatted in iXBRL (included with the Exhibit 101 attachments).</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0" w:right="1440" w:bottom="1440" w:gutter="0" w:footer="0" w:header="0"/>
        </w:sectPr>
      </w:pPr>
    </w:p>
    <w:bookmarkStart w:id="67" w:name="page68"/>
    <w:bookmarkEnd w:id="67"/>
    <w:p>
      <w:pPr>
        <w:spacing w:after="0" w:line="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6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7, 2024</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Priscilla Sims Brown</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9"/>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7, 2024</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Darby</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Darby</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tc>
      </w:tr>
      <w:tr>
        <w:trPr>
          <w:trHeight w:val="499"/>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May 7, 2024</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Veluswamy</w:t>
            </w:r>
          </w:p>
        </w:tc>
      </w:tr>
      <w:tr>
        <w:trPr>
          <w:trHeight w:val="218"/>
        </w:trPr>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Leslie Veluswamy</w:t>
            </w:r>
          </w:p>
        </w:tc>
      </w:tr>
      <w:tr>
        <w:trPr>
          <w:trHeight w:val="228"/>
        </w:trPr>
        <w:tc>
          <w:tcPr>
            <w:tcW w:w="1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6"/>
        </w:trPr>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48"/>
        </w:trPr>
        <w:tc>
          <w:tcPr>
            <w:tcW w:w="15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Amalgamated Financial Corp. (the “Company”) on Form 10-Q for the period ended March 31, 2024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7, 2024</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7, 2024</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0"/>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3"/>
    </w:lvl>
  </w:abstractNum>
  <w:abstractNum w:abstractNumId="6">
    <w:nsid w:val="4DB127F8"/>
    <w:multiLevelType w:val="hybridMultilevel"/>
    <w:lvl w:ilvl="0">
      <w:lvlJc w:val="left"/>
      <w:lvlText w:val="%1."/>
      <w:numFmt w:val="decimal"/>
      <w:start w:val="14"/>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1" Type="http://schemas.openxmlformats.org/officeDocument/2006/relationships/hyperlink" Target="https://www.sec.gov/Archives/edgar/data/1823608/000119312521062425/d132716dex31.htm" TargetMode="External"/><Relationship Id="rId102" Type="http://schemas.openxmlformats.org/officeDocument/2006/relationships/hyperlink" Target="https://www.sec.gov/Archives/edgar/data/1823608/000182360824000098/bylawsofamalgamatedfi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2024-05-07T07:35:05Z</dcterms:created>
  <dcterms:modified xsi:type="dcterms:W3CDTF">2024-05-07T07:35:05Z</dcterms:modified>
</cp:coreProperties>
</file>