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580" w:type="dxa"/>
            <w:vAlign w:val="bottom"/>
            <w:gridSpan w:val="4"/>
          </w:tcPr>
          <w:p>
            <w:pPr>
              <w:jc w:val="center"/>
              <w:ind w:left="730"/>
              <w:spacing w:after="0"/>
              <w:rPr>
                <w:sz w:val="20"/>
                <w:szCs w:val="20"/>
                <w:color w:val="auto"/>
              </w:rPr>
            </w:pPr>
            <w:r>
              <w:rPr>
                <w:rFonts w:ascii="Arial" w:cs="Arial" w:eastAsia="Arial" w:hAnsi="Arial"/>
                <w:sz w:val="18"/>
                <w:szCs w:val="18"/>
                <w:b w:val="1"/>
                <w:bCs w:val="1"/>
                <w:color w:val="auto"/>
                <w:w w:val="97"/>
              </w:rPr>
              <w:t>UNITED STATES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10780" w:type="dxa"/>
            <w:vAlign w:val="bottom"/>
            <w:gridSpan w:val="10"/>
          </w:tcPr>
          <w:p>
            <w:pPr>
              <w:jc w:val="center"/>
              <w:ind w:right="350"/>
              <w:spacing w:after="0" w:line="202" w:lineRule="exact"/>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40" w:type="dxa"/>
            <w:vAlign w:val="bottom"/>
            <w:gridSpan w:val="6"/>
          </w:tcPr>
          <w:p>
            <w:pPr>
              <w:jc w:val="center"/>
              <w:ind w:left="490"/>
              <w:spacing w:after="0"/>
              <w:rPr>
                <w:sz w:val="20"/>
                <w:szCs w:val="20"/>
                <w:color w:val="auto"/>
              </w:rPr>
            </w:pPr>
            <w:r>
              <w:rPr>
                <w:rFonts w:ascii="Arial" w:cs="Arial" w:eastAsia="Arial" w:hAnsi="Arial"/>
                <w:sz w:val="18"/>
                <w:szCs w:val="18"/>
                <w:b w:val="1"/>
                <w:bCs w:val="1"/>
                <w:color w:val="auto"/>
                <w:w w:val="91"/>
              </w:rPr>
              <w:t>Washington, D.C. 20549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99"/>
              </w:rPr>
              <w:t>FORM 10-Q</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80"/>
        </w:trPr>
        <w:tc>
          <w:tcPr>
            <w:tcW w:w="46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QUARTERLY REPORT PURSUANT TO SECTION 13 OR 15(d) OF</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70"/>
              <w:spacing w:after="0"/>
              <w:rPr>
                <w:sz w:val="20"/>
                <w:szCs w:val="20"/>
                <w:color w:val="auto"/>
              </w:rPr>
            </w:pPr>
            <w:r>
              <w:rPr>
                <w:rFonts w:ascii="Arial" w:cs="Arial" w:eastAsia="Arial" w:hAnsi="Arial"/>
                <w:sz w:val="18"/>
                <w:szCs w:val="18"/>
                <w:b w:val="1"/>
                <w:bCs w:val="1"/>
                <w:color w:val="auto"/>
                <w:w w:val="99"/>
              </w:rPr>
              <w:t>THE SECURITIES EXCHANGE ACT OF 1934</w:t>
            </w:r>
          </w:p>
        </w:tc>
      </w:tr>
      <w:tr>
        <w:trPr>
          <w:trHeight w:val="371"/>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30"/>
              <w:spacing w:after="0"/>
              <w:rPr>
                <w:sz w:val="20"/>
                <w:szCs w:val="20"/>
                <w:color w:val="auto"/>
              </w:rPr>
            </w:pPr>
            <w:r>
              <w:rPr>
                <w:rFonts w:ascii="Arial" w:cs="Arial" w:eastAsia="Arial" w:hAnsi="Arial"/>
                <w:sz w:val="18"/>
                <w:szCs w:val="18"/>
                <w:color w:val="auto"/>
                <w:w w:val="89"/>
              </w:rPr>
              <w:t>For the quarterly period ended June 30, 2023</w:t>
            </w:r>
          </w:p>
        </w:tc>
      </w:tr>
      <w:tr>
        <w:trPr>
          <w:trHeight w:val="230"/>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gridSpan w:val="3"/>
          </w:tcPr>
          <w:p>
            <w:pPr>
              <w:jc w:val="center"/>
              <w:ind w:right="740"/>
              <w:spacing w:after="0"/>
              <w:rPr>
                <w:sz w:val="20"/>
                <w:szCs w:val="20"/>
                <w:color w:val="auto"/>
              </w:rPr>
            </w:pPr>
            <w:r>
              <w:rPr>
                <w:rFonts w:ascii="Arial" w:cs="Arial" w:eastAsia="Arial" w:hAnsi="Arial"/>
                <w:sz w:val="18"/>
                <w:szCs w:val="18"/>
                <w:color w:val="auto"/>
                <w:w w:val="88"/>
              </w:rPr>
              <w:t>OR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12"/>
        </w:trPr>
        <w:tc>
          <w:tcPr>
            <w:tcW w:w="46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8"/>
              </w:rPr>
              <w:t>TRANSITION REPORT PURSUANT TO SECTION 13 OR 15(d) OF THE</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50"/>
              <w:spacing w:after="0"/>
              <w:rPr>
                <w:sz w:val="20"/>
                <w:szCs w:val="20"/>
                <w:color w:val="auto"/>
              </w:rPr>
            </w:pPr>
            <w:r>
              <w:rPr>
                <w:rFonts w:ascii="Arial" w:cs="Arial" w:eastAsia="Arial" w:hAnsi="Arial"/>
                <w:sz w:val="18"/>
                <w:szCs w:val="18"/>
                <w:b w:val="1"/>
                <w:bCs w:val="1"/>
                <w:color w:val="auto"/>
                <w:w w:val="98"/>
              </w:rPr>
              <w:t>SECURITIES EXCHANGE ACT OF 1934</w:t>
            </w:r>
          </w:p>
        </w:tc>
      </w:tr>
      <w:tr>
        <w:trPr>
          <w:trHeight w:val="304"/>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ind w:left="240"/>
              <w:spacing w:after="0"/>
              <w:rPr>
                <w:sz w:val="20"/>
                <w:szCs w:val="20"/>
                <w:color w:val="auto"/>
              </w:rPr>
            </w:pPr>
            <w:r>
              <w:rPr>
                <w:rFonts w:ascii="Arial" w:cs="Arial" w:eastAsia="Arial" w:hAnsi="Arial"/>
                <w:sz w:val="18"/>
                <w:szCs w:val="18"/>
                <w:color w:val="auto"/>
              </w:rPr>
              <w:t>For transition period from</w:t>
            </w:r>
          </w:p>
        </w:tc>
        <w:tc>
          <w:tcPr>
            <w:tcW w:w="260" w:type="dxa"/>
            <w:vAlign w:val="bottom"/>
            <w:gridSpan w:val="2"/>
          </w:tcPr>
          <w:p>
            <w:pPr>
              <w:spacing w:after="0"/>
              <w:rPr>
                <w:sz w:val="20"/>
                <w:szCs w:val="20"/>
                <w:color w:val="auto"/>
              </w:rPr>
            </w:pPr>
            <w:r>
              <w:rPr>
                <w:rFonts w:ascii="Arial" w:cs="Arial" w:eastAsia="Arial" w:hAnsi="Arial"/>
                <w:sz w:val="18"/>
                <w:szCs w:val="18"/>
                <w:color w:val="auto"/>
              </w:rPr>
              <w:t>to</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10"/>
              <w:spacing w:after="0"/>
              <w:rPr>
                <w:sz w:val="20"/>
                <w:szCs w:val="20"/>
                <w:color w:val="auto"/>
              </w:rPr>
            </w:pPr>
            <w:r>
              <w:rPr>
                <w:rFonts w:ascii="Arial" w:cs="Arial" w:eastAsia="Arial" w:hAnsi="Arial"/>
                <w:sz w:val="18"/>
                <w:szCs w:val="18"/>
                <w:b w:val="1"/>
                <w:bCs w:val="1"/>
                <w:color w:val="auto"/>
                <w:w w:val="91"/>
              </w:rPr>
              <w:t>Commission File Number: 001-40136</w:t>
            </w:r>
          </w:p>
        </w:tc>
      </w:tr>
      <w:tr>
        <w:trPr>
          <w:trHeight w:val="431"/>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Arial" w:cs="Arial" w:eastAsia="Arial" w:hAnsi="Arial"/>
                <w:sz w:val="32"/>
                <w:szCs w:val="32"/>
                <w:b w:val="1"/>
                <w:bCs w:val="1"/>
                <w:color w:val="auto"/>
                <w:w w:val="93"/>
              </w:rPr>
              <w:t>Amalgamated Financial Corp.</w:t>
            </w:r>
          </w:p>
        </w:tc>
      </w:tr>
      <w:tr>
        <w:trPr>
          <w:trHeight w:val="230"/>
        </w:trPr>
        <w:tc>
          <w:tcPr>
            <w:tcW w:w="460" w:type="dxa"/>
            <w:vAlign w:val="bottom"/>
          </w:tcPr>
          <w:p>
            <w:pPr>
              <w:spacing w:after="0"/>
              <w:rPr>
                <w:sz w:val="20"/>
                <w:szCs w:val="20"/>
                <w:color w:val="auto"/>
              </w:rPr>
            </w:pPr>
          </w:p>
        </w:tc>
        <w:tc>
          <w:tcPr>
            <w:tcW w:w="10780" w:type="dxa"/>
            <w:vAlign w:val="bottom"/>
            <w:gridSpan w:val="10"/>
          </w:tcPr>
          <w:p>
            <w:pPr>
              <w:jc w:val="center"/>
              <w:ind w:right="37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45"/>
        </w:trPr>
        <w:tc>
          <w:tcPr>
            <w:tcW w:w="460" w:type="dxa"/>
            <w:vAlign w:val="bottom"/>
          </w:tcPr>
          <w:p>
            <w:pPr>
              <w:spacing w:after="0"/>
              <w:rPr>
                <w:sz w:val="24"/>
                <w:szCs w:val="24"/>
                <w:color w:val="auto"/>
              </w:rPr>
            </w:pPr>
          </w:p>
        </w:tc>
        <w:tc>
          <w:tcPr>
            <w:tcW w:w="6040" w:type="dxa"/>
            <w:vAlign w:val="bottom"/>
            <w:gridSpan w:val="5"/>
          </w:tcPr>
          <w:p>
            <w:pPr>
              <w:jc w:val="center"/>
              <w:ind w:right="1480"/>
              <w:spacing w:after="0"/>
              <w:rPr>
                <w:sz w:val="20"/>
                <w:szCs w:val="20"/>
                <w:color w:val="auto"/>
              </w:rPr>
            </w:pPr>
            <w:r>
              <w:rPr>
                <w:rFonts w:ascii="Arial" w:cs="Arial" w:eastAsia="Arial" w:hAnsi="Arial"/>
                <w:sz w:val="18"/>
                <w:szCs w:val="18"/>
                <w:b w:val="1"/>
                <w:bCs w:val="1"/>
                <w:color w:val="auto"/>
                <w:w w:val="91"/>
              </w:rPr>
              <w:t>Delaware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right"/>
              <w:ind w:right="1910"/>
              <w:spacing w:after="0"/>
              <w:rPr>
                <w:sz w:val="20"/>
                <w:szCs w:val="20"/>
                <w:color w:val="auto"/>
              </w:rPr>
            </w:pPr>
            <w:r>
              <w:rPr>
                <w:rFonts w:ascii="Arial" w:cs="Arial" w:eastAsia="Arial" w:hAnsi="Arial"/>
                <w:sz w:val="18"/>
                <w:szCs w:val="18"/>
                <w:b w:val="1"/>
                <w:bCs w:val="1"/>
                <w:color w:val="auto"/>
              </w:rPr>
              <w:t>85-2757101</w:t>
            </w:r>
          </w:p>
        </w:tc>
      </w:tr>
      <w:tr>
        <w:trPr>
          <w:trHeight w:val="230"/>
        </w:trPr>
        <w:tc>
          <w:tcPr>
            <w:tcW w:w="460" w:type="dxa"/>
            <w:vAlign w:val="bottom"/>
            <w:tcBorders>
              <w:top w:val="single" w:sz="8" w:color="auto"/>
            </w:tcBorders>
          </w:tcPr>
          <w:p>
            <w:pPr>
              <w:spacing w:after="0"/>
              <w:rPr>
                <w:sz w:val="20"/>
                <w:szCs w:val="20"/>
                <w:color w:val="auto"/>
              </w:rPr>
            </w:pPr>
          </w:p>
        </w:tc>
        <w:tc>
          <w:tcPr>
            <w:tcW w:w="5020" w:type="dxa"/>
            <w:vAlign w:val="bottom"/>
            <w:tcBorders>
              <w:top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900" w:type="dxa"/>
            <w:vAlign w:val="bottom"/>
            <w:gridSpan w:val="2"/>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850"/>
              <w:spacing w:after="0"/>
              <w:rPr>
                <w:sz w:val="20"/>
                <w:szCs w:val="20"/>
                <w:color w:val="auto"/>
              </w:rPr>
            </w:pPr>
            <w:r>
              <w:rPr>
                <w:rFonts w:ascii="Arial" w:cs="Arial" w:eastAsia="Arial" w:hAnsi="Arial"/>
                <w:sz w:val="18"/>
                <w:szCs w:val="18"/>
                <w:color w:val="auto"/>
                <w:w w:val="94"/>
              </w:rPr>
              <w:t>(I.R.S. Employer Identification No.)</w:t>
            </w:r>
          </w:p>
        </w:tc>
      </w:tr>
      <w:tr>
        <w:trPr>
          <w:trHeight w:val="269"/>
        </w:trPr>
        <w:tc>
          <w:tcPr>
            <w:tcW w:w="4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8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3"/>
              </w:rPr>
              <w:t>275 Seventh Avenue, New York, NY</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10001</w:t>
            </w:r>
          </w:p>
        </w:tc>
        <w:tc>
          <w:tcPr>
            <w:tcW w:w="3920" w:type="dxa"/>
            <w:vAlign w:val="bottom"/>
          </w:tcPr>
          <w:p>
            <w:pPr>
              <w:spacing w:after="0"/>
              <w:rPr>
                <w:sz w:val="23"/>
                <w:szCs w:val="23"/>
                <w:color w:val="auto"/>
              </w:rPr>
            </w:pPr>
          </w:p>
        </w:tc>
      </w:tr>
      <w:tr>
        <w:trPr>
          <w:trHeight w:val="224"/>
        </w:trPr>
        <w:tc>
          <w:tcPr>
            <w:tcW w:w="4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320" w:type="dxa"/>
            <w:vAlign w:val="bottom"/>
            <w:gridSpan w:val="9"/>
          </w:tcPr>
          <w:p>
            <w:pPr>
              <w:spacing w:after="0"/>
              <w:rPr>
                <w:sz w:val="20"/>
                <w:szCs w:val="20"/>
                <w:color w:val="auto"/>
              </w:rPr>
            </w:pPr>
            <w:r>
              <w:rPr>
                <w:rFonts w:ascii="Arial" w:cs="Arial" w:eastAsia="Arial" w:hAnsi="Arial"/>
                <w:sz w:val="18"/>
                <w:szCs w:val="18"/>
                <w:color w:val="auto"/>
              </w:rPr>
              <w:t>(Address of principal executive offices) (Zip Code)</w:t>
            </w:r>
          </w:p>
        </w:tc>
      </w:tr>
    </w:tbl>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(212) 255-6200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AMAL</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107" w:lineRule="exact"/>
        <w:rPr>
          <w:sz w:val="24"/>
          <w:szCs w:val="24"/>
          <w:color w:val="auto"/>
        </w:rPr>
      </w:pPr>
    </w:p>
    <w:p>
      <w:pPr>
        <w:ind w:right="260"/>
        <w:spacing w:after="0" w:line="24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65" w:lineRule="exact"/>
        <w:rPr>
          <w:sz w:val="24"/>
          <w:szCs w:val="24"/>
          <w:color w:val="auto"/>
        </w:rPr>
      </w:pPr>
    </w:p>
    <w:p>
      <w:pPr>
        <w:ind w:right="360"/>
        <w:spacing w:after="0" w:line="25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64" w:lineRule="exact"/>
        <w:rPr>
          <w:sz w:val="24"/>
          <w:szCs w:val="24"/>
          <w:color w:val="auto"/>
        </w:rPr>
      </w:pPr>
    </w:p>
    <w:p>
      <w:pPr>
        <w:ind w:right="44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24" w:right="339" w:bottom="1440" w:gutter="0" w:footer="0" w:header="0"/>
        </w:sectPr>
      </w:pPr>
    </w:p>
    <w:p>
      <w:pPr>
        <w:spacing w:after="0" w:line="351"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282" w:lineRule="exact"/>
        <w:rPr>
          <w:sz w:val="24"/>
          <w:szCs w:val="24"/>
          <w:color w:val="auto"/>
        </w:rPr>
      </w:pPr>
    </w:p>
    <w:p>
      <w:pPr>
        <w:sectPr>
          <w:pgSz w:w="11900" w:h="16838" w:orient="portrait"/>
          <w:cols w:equalWidth="0" w:num="4">
            <w:col w:w="1640" w:space="640"/>
            <w:col w:w="800" w:space="720"/>
            <w:col w:w="1860" w:space="720"/>
            <w:col w:w="4860"/>
          </w:cols>
          <w:pgMar w:left="320" w:top="1224" w:right="339" w:bottom="1440" w:gutter="0" w:footer="0" w:header="0"/>
          <w:type w:val="continuous"/>
        </w:sectPr>
      </w:pPr>
    </w:p>
    <w:p>
      <w:pPr>
        <w:spacing w:after="0" w:line="102"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75"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85"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85" w:lineRule="exact"/>
        <w:rPr>
          <w:sz w:val="20"/>
          <w:szCs w:val="20"/>
          <w:color w:val="auto"/>
        </w:rPr>
      </w:pPr>
      <w:r>
        <w:rPr>
          <w:rFonts w:ascii="MS PGothic" w:cs="MS PGothic" w:eastAsia="MS PGothic" w:hAnsi="MS PGothic"/>
          <w:sz w:val="19"/>
          <w:szCs w:val="19"/>
          <w:color w:val="auto"/>
        </w:rPr>
        <w:t>☒</w:t>
      </w:r>
    </w:p>
    <w:p>
      <w:pPr>
        <w:spacing w:after="0" w:line="263" w:lineRule="exact"/>
        <w:rPr>
          <w:sz w:val="24"/>
          <w:szCs w:val="24"/>
          <w:color w:val="auto"/>
        </w:rPr>
      </w:pPr>
    </w:p>
    <w:p>
      <w:pPr>
        <w:sectPr>
          <w:pgSz w:w="11900" w:h="16838" w:orient="portrait"/>
          <w:cols w:equalWidth="0" w:num="6">
            <w:col w:w="1560" w:space="720"/>
            <w:col w:w="800" w:space="720"/>
            <w:col w:w="1980" w:space="600"/>
            <w:col w:w="840" w:space="720"/>
            <w:col w:w="1980" w:space="520"/>
            <w:col w:w="800"/>
          </w:cols>
          <w:pgMar w:left="320" w:top="1224" w:right="339" w:bottom="1440" w:gutter="0" w:footer="0" w:header="0"/>
          <w:type w:val="continuous"/>
        </w:sectPr>
      </w:pPr>
    </w:p>
    <w:p>
      <w:pPr>
        <w:ind w:right="160"/>
        <w:spacing w:after="0" w:line="25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7" w:lineRule="exact"/>
        <w:rPr>
          <w:sz w:val="24"/>
          <w:szCs w:val="24"/>
          <w:color w:val="auto"/>
        </w:rPr>
      </w:pPr>
    </w:p>
    <w:p>
      <w:pPr>
        <w:ind w:right="2180"/>
        <w:spacing w:after="0" w:line="328" w:lineRule="exact"/>
        <w:rPr>
          <w:sz w:val="20"/>
          <w:szCs w:val="20"/>
          <w:color w:val="auto"/>
        </w:rPr>
      </w:pPr>
      <w:r>
        <w:rPr>
          <w:rFonts w:ascii="Arial" w:cs="Arial" w:eastAsia="Arial" w:hAnsi="Arial"/>
          <w:sz w:val="16"/>
          <w:szCs w:val="16"/>
          <w:color w:val="auto"/>
        </w:rPr>
        <w:t xml:space="preserve">Indicate by check mark whether the registrant is a shell company (as defined in Exchange Act Rule 12b-2).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August 4, 2023, the registrant had 30,456,209 shares of common stock outstanding at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p>
      <w:pPr>
        <w:ind w:left="10840"/>
        <w:spacing w:after="0"/>
        <w:rPr>
          <w:sz w:val="20"/>
          <w:szCs w:val="20"/>
          <w:color w:val="auto"/>
        </w:rPr>
      </w:pPr>
      <w:r>
        <w:rPr>
          <w:rFonts w:ascii="Arial" w:cs="Arial" w:eastAsia="Arial" w:hAnsi="Arial"/>
          <w:sz w:val="15"/>
          <w:szCs w:val="15"/>
          <w:b w:val="1"/>
          <w:bCs w:val="1"/>
          <w:u w:val="single" w:color="auto"/>
          <w:color w:val="auto"/>
        </w:rPr>
        <w:t>Page</w:t>
      </w:r>
    </w:p>
    <w:p>
      <w:pPr>
        <w:spacing w:after="0" w:line="71" w:lineRule="exact"/>
        <w:rPr>
          <w:sz w:val="20"/>
          <w:szCs w:val="20"/>
          <w:color w:val="auto"/>
        </w:rPr>
      </w:pPr>
    </w:p>
    <w:p>
      <w:pPr>
        <w:spacing w:after="0"/>
        <w:tabs>
          <w:tab w:leader="none" w:pos="11080" w:val="left"/>
        </w:tabs>
        <w:rPr>
          <w:sz w:val="20"/>
          <w:szCs w:val="20"/>
          <w:color w:val="auto"/>
        </w:rPr>
      </w:pPr>
      <w:r>
        <w:rPr>
          <w:rFonts w:ascii="Arial" w:cs="Arial" w:eastAsia="Arial" w:hAnsi="Arial"/>
          <w:sz w:val="18"/>
          <w:szCs w:val="18"/>
          <w:b w:val="1"/>
          <w:bCs w:val="1"/>
          <w:color w:val="auto"/>
        </w:rPr>
        <w:t>Cautionary Note Regarding Forward-Looking Statements</w:t>
      </w:r>
      <w:r>
        <w:rPr>
          <w:sz w:val="20"/>
          <w:szCs w:val="20"/>
          <w:color w:val="auto"/>
        </w:rPr>
        <w:tab/>
      </w:r>
      <w:r>
        <w:rPr>
          <w:rFonts w:ascii="Arial" w:cs="Arial" w:eastAsia="Arial" w:hAnsi="Arial"/>
          <w:sz w:val="18"/>
          <w:szCs w:val="18"/>
          <w:color w:val="auto"/>
        </w:rPr>
        <w:t>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ectPr>
          <w:pgSz w:w="11900" w:h="16838" w:orient="portrait"/>
          <w:cols w:equalWidth="0" w:num="1">
            <w:col w:w="11200"/>
          </w:cols>
          <w:pgMar w:left="340" w:top="931" w:right="359" w:bottom="1440" w:gutter="0" w:footer="0" w:header="0"/>
        </w:sectPr>
      </w:pPr>
    </w:p>
    <w:p>
      <w:pPr>
        <w:spacing w:after="0" w:line="24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Consolidated Statements of Financial Condition as of June 30, 2023 and December 31, 2022</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Consolidated Statements of Income for the Three and Six Months Ended June 30, 2023 and 2022</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Consolidated Statements of Comprehensive Income for the Three and Six Months Ended June 30, 2023 and 2022</w:t>
      </w:r>
    </w:p>
    <w:p>
      <w:pPr>
        <w:spacing w:after="0" w:line="75"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Consolidated Statements of Changes in Stockholders’ Equity for the Three and Six Months Ended June 30, 2023 and 2022</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Consolidated Statements of Cash Flows for the Six Months Ended June 30, 2023 and 2022</w:t>
      </w:r>
    </w:p>
    <w:p>
      <w:pPr>
        <w:spacing w:after="0" w:line="3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Notes to Consolidated Financial Statements</w:t>
      </w:r>
    </w:p>
    <w:p>
      <w:pPr>
        <w:spacing w:after="0" w:line="20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9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1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1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9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1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76</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77</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78</w:t>
      </w:r>
    </w:p>
    <w:p>
      <w:pPr>
        <w:spacing w:after="0" w:line="218" w:lineRule="exact"/>
        <w:rPr>
          <w:sz w:val="20"/>
          <w:szCs w:val="20"/>
          <w:color w:val="auto"/>
        </w:rPr>
      </w:pPr>
    </w:p>
    <w:p>
      <w:pPr>
        <w:sectPr>
          <w:pgSz w:w="11900" w:h="16838" w:orient="portrait"/>
          <w:cols w:equalWidth="0" w:num="2">
            <w:col w:w="10300" w:space="720"/>
            <w:col w:w="180"/>
          </w:cols>
          <w:pgMar w:left="340" w:top="931" w:right="35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indicates otherwise, references to “we,” “us,” “our” and the “Company” refer to Amalgamated Financial Corp. and Amalgamated Bank.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References to the “Bank” refer to Amalgamated Bank.</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Section 21E of the Securities Exchange Act of 1934, as amended (the “Exchange Act”). Forward-looking statements are not statements of historical or current fact nor are they assurances of future performance and generally can be identified by the use of forward-looking terminology, such as “may,” “will,” “anticipate,” “aspire,” “intend,” “could,” “should,” “would,” “believe,” “project,” “plan,” “goal,” “target,” “potential,” “pro-forma,” “seek,” “contemplate,” “expect,” “estimate,” and “continue,” or the negative thereof as well as other similar words and expressions of the future.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Forward-looking statements are subject to risks, uncertainties and assumptions that are difficult to predict as to timing, extent, likelihood and degree of occurrence, which could cause our actual results to differ materially from those anticipated in or by such statements. Potential risks and uncertainties include, but are not limited to, the following:</w:t>
      </w:r>
    </w:p>
    <w:p>
      <w:pPr>
        <w:spacing w:after="0" w:line="3" w:lineRule="exact"/>
        <w:rPr>
          <w:sz w:val="20"/>
          <w:szCs w:val="20"/>
          <w:color w:val="auto"/>
        </w:rPr>
      </w:pPr>
    </w:p>
    <w:p>
      <w:pPr>
        <w:ind w:left="660" w:right="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 conditions in the banking industry and in national, regional and local economies in our core markets, which may have an adverse impact on our business, operations and financial performance;</w:t>
      </w: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deterioration in the financial condition of borrowers resulting in significant increases in credit losses on loans and provisions for those losses;</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deposit outflows and subsequent declines in liquidity caused by factors that could include lack of confidence in the banking system, a deterioration in market conditions or the financial condition of depositors;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deposits, including an increase in uninsured deposits;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unfavorable conditions in the capital markets, which may cause declines in our stock price and the value of our investments;</w:t>
      </w:r>
    </w:p>
    <w:p>
      <w:pPr>
        <w:spacing w:after="0" w:line="9" w:lineRule="exact"/>
        <w:rPr>
          <w:rFonts w:ascii="Arial" w:cs="Arial" w:eastAsia="Arial" w:hAnsi="Arial"/>
          <w:sz w:val="18"/>
          <w:szCs w:val="18"/>
          <w:color w:val="auto"/>
        </w:rPr>
      </w:pPr>
    </w:p>
    <w:p>
      <w:pPr>
        <w:ind w:left="660" w:right="8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fluctuation of the interest rate environment, including changes in net interest margin or changes that affect the yield curve on investments;</w:t>
      </w:r>
    </w:p>
    <w:p>
      <w:pPr>
        <w:ind w:left="660" w:right="74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fiscal challenges facing the U.S. government which may impact the government entities which we do business with, and the value of our investments in GSEs;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deterioration in real estate collateral values;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legislation, regulation, public policies, or administrative practices impacting the banking industry, including increased regulation and FDIC assessments in the aftermath of recent bank failures;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legal or regulatory proceedings that may be instituted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inability to maintain the historical growth rate of the loan portfolio;</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loan underwriting, credit review or loss reserve policies associated with economic conditions, examination conclusions, or regulatory developments;</w:t>
      </w:r>
    </w:p>
    <w:p>
      <w:pPr>
        <w:ind w:left="660" w:right="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competition with other financial institutions, including pricing pressures and the resulting impact on our results, including as a result of compression to net interest margin;</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matter that would cause us to conclude that there was impairment of any asset, including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for experienced members of the workforce including executives in the banking industry;</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failure in or breach of our operational or security systems or infrastructure, or those of third party vendors or other service providers, including as a result of unauthorized access, computer viruses, phishing schemes, spam attacks, human error, natural disasters, power loss and other security breaches;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downgrade in our credit rating;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political opposition to Environmental, Social and Governance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recessionary conditions;</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physical and transitional risks related to climate change as they impact our business and the businesses that we finance; and</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descriptions of assumptions underlying or relating to any of the foregoing.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both"/>
        <w:spacing w:after="0" w:line="272" w:lineRule="auto"/>
        <w:rPr>
          <w:sz w:val="20"/>
          <w:szCs w:val="20"/>
          <w:color w:val="auto"/>
        </w:rPr>
      </w:pPr>
      <w:r>
        <w:rPr>
          <w:rFonts w:ascii="Arial" w:cs="Arial" w:eastAsia="Arial" w:hAnsi="Arial"/>
          <w:sz w:val="17"/>
          <w:szCs w:val="17"/>
          <w:color w:val="auto"/>
        </w:rPr>
        <w:t>We caution readers that the foregoing list of factors is not exclusive, is not necessarily in order of importance and readers should not place undue reliance on any forward-looking statements, which should be read in conjunction with the other cautionary statements that are included elsewhere in this report. Additional factors that may cause actual results to differ materially from those contemplated by any forward-looking statements may be found in our Annual Reports on Form 10-K, Quarterly Reports on Form 10-Q and Current Reports on Form 8-K filed with the SEC and available at the SEC’s website at https://sec.gov. Further, any forward-looking statement speaks only as of the date on which it is made and we do not intend to and, except as required by law, disclaim any obligation to update or revise any forward-looking statement to reflect events or circumstances after the date on which the statement is made or to reflect the occurrence of unanticipated events, unless required to do so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18"/>
          <w:szCs w:val="18"/>
          <w:b w:val="1"/>
          <w:bCs w:val="1"/>
          <w:color w:val="auto"/>
        </w:rPr>
        <w:t>Part I</w:t>
      </w:r>
    </w:p>
    <w:p>
      <w:pPr>
        <w:ind w:left="20"/>
        <w:spacing w:after="0" w:line="219" w:lineRule="auto"/>
        <w:rPr>
          <w:sz w:val="20"/>
          <w:szCs w:val="20"/>
          <w:color w:val="auto"/>
        </w:rPr>
      </w:pPr>
      <w:r>
        <w:rPr>
          <w:rFonts w:ascii="Arial" w:cs="Arial" w:eastAsia="Arial" w:hAnsi="Arial"/>
          <w:sz w:val="18"/>
          <w:szCs w:val="18"/>
          <w:b w:val="1"/>
          <w:bCs w:val="1"/>
          <w:color w:val="auto"/>
        </w:rPr>
        <w:t>Item 1. – Financial Statements</w:t>
      </w:r>
    </w:p>
    <w:p>
      <w:pPr>
        <w:ind w:left="20"/>
        <w:spacing w:after="0" w:line="203" w:lineRule="auto"/>
        <w:rPr>
          <w:sz w:val="20"/>
          <w:szCs w:val="20"/>
          <w:color w:val="auto"/>
        </w:rPr>
      </w:pPr>
      <w:r>
        <w:rPr>
          <w:rFonts w:ascii="Arial" w:cs="Arial" w:eastAsia="Arial" w:hAnsi="Arial"/>
          <w:sz w:val="18"/>
          <w:szCs w:val="18"/>
          <w:b w:val="1"/>
          <w:bCs w:val="1"/>
          <w:color w:val="auto"/>
        </w:rPr>
        <w:t>Consolidated Statements of Financial Condition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thousands except for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88"/>
              <w:spacing w:after="0" w:line="133"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8"/>
              <w:spacing w:after="0" w:line="13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1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88"/>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5,110</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Interest-bearing deposits in banks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61,296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58,430</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cash and cash equivalents</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63,540</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Securities:</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Available for sale, at fair value</w:t>
            </w:r>
          </w:p>
        </w:tc>
        <w:tc>
          <w:tcPr>
            <w:tcW w:w="2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1,580,248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1,812,476</w:t>
            </w:r>
          </w:p>
        </w:tc>
        <w:tc>
          <w:tcPr>
            <w:tcW w:w="0" w:type="dxa"/>
            <w:vAlign w:val="bottom"/>
          </w:tcPr>
          <w:p>
            <w:pPr>
              <w:spacing w:after="0"/>
              <w:rPr>
                <w:sz w:val="1"/>
                <w:szCs w:val="1"/>
                <w:color w:val="auto"/>
              </w:rPr>
            </w:pPr>
          </w:p>
        </w:tc>
      </w:tr>
      <w:tr>
        <w:trPr>
          <w:trHeight w:val="186"/>
        </w:trPr>
        <w:tc>
          <w:tcPr>
            <w:tcW w:w="8140" w:type="dxa"/>
            <w:vAlign w:val="bottom"/>
          </w:tcPr>
          <w:p>
            <w:pPr>
              <w:ind w:left="140"/>
              <w:spacing w:after="0"/>
              <w:rPr>
                <w:sz w:val="20"/>
                <w:szCs w:val="20"/>
                <w:color w:val="auto"/>
              </w:rPr>
            </w:pPr>
            <w:r>
              <w:rPr>
                <w:rFonts w:ascii="Arial" w:cs="Arial" w:eastAsia="Arial" w:hAnsi="Arial"/>
                <w:sz w:val="14"/>
                <w:szCs w:val="14"/>
                <w:color w:val="auto"/>
              </w:rPr>
              <w:t>Held-to-maturity, at amortized cost:</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Traditional securities, net of allowance for credit losses of $57 at June 30, 2023</w:t>
            </w:r>
          </w:p>
        </w:tc>
        <w:tc>
          <w:tcPr>
            <w:tcW w:w="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617,380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629,424</w:t>
            </w:r>
          </w:p>
        </w:tc>
        <w:tc>
          <w:tcPr>
            <w:tcW w:w="0" w:type="dxa"/>
            <w:vAlign w:val="bottom"/>
          </w:tcPr>
          <w:p>
            <w:pPr>
              <w:spacing w:after="0"/>
              <w:rPr>
                <w:sz w:val="1"/>
                <w:szCs w:val="1"/>
                <w:color w:val="auto"/>
              </w:rPr>
            </w:pPr>
          </w:p>
        </w:tc>
      </w:tr>
      <w:tr>
        <w:trPr>
          <w:trHeight w:val="182"/>
        </w:trPr>
        <w:tc>
          <w:tcPr>
            <w:tcW w:w="8140" w:type="dxa"/>
            <w:vAlign w:val="bottom"/>
          </w:tcPr>
          <w:p>
            <w:pPr>
              <w:ind w:left="240"/>
              <w:spacing w:after="0"/>
              <w:rPr>
                <w:sz w:val="20"/>
                <w:szCs w:val="20"/>
                <w:color w:val="auto"/>
              </w:rPr>
            </w:pPr>
            <w:r>
              <w:rPr>
                <w:rFonts w:ascii="Arial" w:cs="Arial" w:eastAsia="Arial" w:hAnsi="Arial"/>
                <w:sz w:val="14"/>
                <w:szCs w:val="14"/>
                <w:color w:val="auto"/>
              </w:rPr>
              <w:t>Property Assessed Clean Energy ("PACE") assessments, net of allowance for credit losses of $650 at June 30, 2023</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1,037,151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911,877</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1,654,531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1,541,301</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2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Loans receivable, net of deferred loan origination costs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4,251,738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4,106,002</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Allowance for credit losses</w:t>
            </w: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(67,431)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(45,031)</w:t>
            </w:r>
          </w:p>
        </w:tc>
        <w:tc>
          <w:tcPr>
            <w:tcW w:w="0" w:type="dxa"/>
            <w:vAlign w:val="bottom"/>
          </w:tcPr>
          <w:p>
            <w:pPr>
              <w:spacing w:after="0"/>
              <w:rPr>
                <w:sz w:val="1"/>
                <w:szCs w:val="1"/>
                <w:color w:val="auto"/>
              </w:rPr>
            </w:pPr>
          </w:p>
        </w:tc>
      </w:tr>
      <w:tr>
        <w:trPr>
          <w:trHeight w:val="179"/>
        </w:trPr>
        <w:tc>
          <w:tcPr>
            <w:tcW w:w="8140" w:type="dxa"/>
            <w:vAlign w:val="bottom"/>
          </w:tcPr>
          <w:p>
            <w:pPr>
              <w:ind w:left="20"/>
              <w:spacing w:after="0"/>
              <w:rPr>
                <w:sz w:val="20"/>
                <w:szCs w:val="20"/>
                <w:color w:val="auto"/>
              </w:rPr>
            </w:pPr>
            <w:r>
              <w:rPr>
                <w:rFonts w:ascii="Arial" w:cs="Arial" w:eastAsia="Arial" w:hAnsi="Arial"/>
                <w:sz w:val="14"/>
                <w:szCs w:val="14"/>
                <w:color w:val="auto"/>
              </w:rPr>
              <w:t>Loans receivable, net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4,184,307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4,060,971</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140" w:type="dxa"/>
            <w:vAlign w:val="bottom"/>
          </w:tcPr>
          <w:p>
            <w:pPr>
              <w:ind w:left="20"/>
              <w:spacing w:after="0"/>
              <w:rPr>
                <w:sz w:val="20"/>
                <w:szCs w:val="20"/>
                <w:color w:val="auto"/>
              </w:rPr>
            </w:pPr>
            <w:r>
              <w:rPr>
                <w:rFonts w:ascii="Arial" w:cs="Arial" w:eastAsia="Arial" w:hAnsi="Arial"/>
                <w:sz w:val="14"/>
                <w:szCs w:val="14"/>
                <w:color w:val="auto"/>
              </w:rPr>
              <w:t>Resell agreements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25,754</w:t>
            </w:r>
          </w:p>
        </w:tc>
        <w:tc>
          <w:tcPr>
            <w:tcW w:w="0" w:type="dxa"/>
            <w:vAlign w:val="bottom"/>
          </w:tcPr>
          <w:p>
            <w:pPr>
              <w:spacing w:after="0"/>
              <w:rPr>
                <w:sz w:val="1"/>
                <w:szCs w:val="1"/>
                <w:color w:val="auto"/>
              </w:rPr>
            </w:pPr>
          </w:p>
        </w:tc>
      </w:tr>
      <w:tr>
        <w:trPr>
          <w:trHeight w:val="18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Federal Home Loan Bank of New York ("FHLBNY") stock, at cost</w:t>
            </w:r>
          </w:p>
        </w:tc>
        <w:tc>
          <w:tcPr>
            <w:tcW w:w="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29,607</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Accrued interest and dividends receivable</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44,104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41,441</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Premises and equipment, net</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9,856</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Bank-owned life insurance</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105,951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105,624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Right-of-use lease asset</w:t>
            </w:r>
          </w:p>
        </w:tc>
        <w:tc>
          <w:tcPr>
            <w:tcW w:w="2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24,721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28,236</w:t>
            </w:r>
          </w:p>
        </w:tc>
        <w:tc>
          <w:tcPr>
            <w:tcW w:w="0" w:type="dxa"/>
            <w:vAlign w:val="bottom"/>
          </w:tcPr>
          <w:p>
            <w:pPr>
              <w:spacing w:after="0"/>
              <w:rPr>
                <w:sz w:val="1"/>
                <w:szCs w:val="1"/>
                <w:color w:val="auto"/>
              </w:rPr>
            </w:pPr>
          </w:p>
        </w:tc>
      </w:tr>
      <w:tr>
        <w:trPr>
          <w:trHeight w:val="186"/>
        </w:trPr>
        <w:tc>
          <w:tcPr>
            <w:tcW w:w="8140" w:type="dxa"/>
            <w:vAlign w:val="bottom"/>
          </w:tcPr>
          <w:p>
            <w:pPr>
              <w:ind w:left="20"/>
              <w:spacing w:after="0"/>
              <w:rPr>
                <w:sz w:val="20"/>
                <w:szCs w:val="20"/>
                <w:color w:val="auto"/>
              </w:rPr>
            </w:pPr>
            <w:r>
              <w:rPr>
                <w:rFonts w:ascii="Arial" w:cs="Arial" w:eastAsia="Arial" w:hAnsi="Arial"/>
                <w:sz w:val="14"/>
                <w:szCs w:val="14"/>
                <w:color w:val="auto"/>
              </w:rPr>
              <w:t>Deferred tax asset, net</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63,477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62,507</w:t>
            </w:r>
          </w:p>
        </w:tc>
        <w:tc>
          <w:tcPr>
            <w:tcW w:w="0" w:type="dxa"/>
            <w:vAlign w:val="bottom"/>
          </w:tcPr>
          <w:p>
            <w:pPr>
              <w:spacing w:after="0"/>
              <w:rPr>
                <w:sz w:val="1"/>
                <w:szCs w:val="1"/>
                <w:color w:val="auto"/>
              </w:rPr>
            </w:pPr>
          </w:p>
        </w:tc>
      </w:tr>
      <w:tr>
        <w:trPr>
          <w:trHeight w:val="18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12,936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12,936</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2,661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3,105</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method investments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8,305</w:t>
            </w:r>
          </w:p>
        </w:tc>
        <w:tc>
          <w:tcPr>
            <w:tcW w:w="0" w:type="dxa"/>
            <w:vAlign w:val="bottom"/>
          </w:tcPr>
          <w:p>
            <w:pPr>
              <w:spacing w:after="0"/>
              <w:rPr>
                <w:sz w:val="1"/>
                <w:szCs w:val="1"/>
                <w:color w:val="auto"/>
              </w:rPr>
            </w:pPr>
          </w:p>
        </w:tc>
      </w:tr>
      <w:tr>
        <w:trPr>
          <w:trHeight w:val="197"/>
        </w:trPr>
        <w:tc>
          <w:tcPr>
            <w:tcW w:w="81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26,921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29,522</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7,792,812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7,843,124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1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Deposits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6,894,651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6,595,037</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Subordinated debt, net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73,766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77,708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FHLBNY advances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580,000</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Other borrowings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2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35,801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40,779</w:t>
            </w:r>
          </w:p>
        </w:tc>
        <w:tc>
          <w:tcPr>
            <w:tcW w:w="0" w:type="dxa"/>
            <w:vAlign w:val="bottom"/>
          </w:tcPr>
          <w:p>
            <w:pPr>
              <w:spacing w:after="0"/>
              <w:rPr>
                <w:sz w:val="1"/>
                <w:szCs w:val="1"/>
                <w:color w:val="auto"/>
              </w:rPr>
            </w:pPr>
          </w:p>
        </w:tc>
      </w:tr>
      <w:tr>
        <w:trPr>
          <w:trHeight w:val="186"/>
        </w:trPr>
        <w:tc>
          <w:tcPr>
            <w:tcW w:w="814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29,980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40,645</w:t>
            </w:r>
          </w:p>
        </w:tc>
        <w:tc>
          <w:tcPr>
            <w:tcW w:w="0" w:type="dxa"/>
            <w:vAlign w:val="bottom"/>
          </w:tcPr>
          <w:p>
            <w:pPr>
              <w:spacing w:after="0"/>
              <w:rPr>
                <w:sz w:val="1"/>
                <w:szCs w:val="1"/>
                <w:color w:val="auto"/>
              </w:rPr>
            </w:pPr>
          </w:p>
        </w:tc>
      </w:tr>
      <w:tr>
        <w:trPr>
          <w:trHeight w:val="193"/>
        </w:trPr>
        <w:tc>
          <w:tcPr>
            <w:tcW w:w="81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liabilities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7,264,198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7,334,169</w:t>
            </w:r>
          </w:p>
        </w:tc>
        <w:tc>
          <w:tcPr>
            <w:tcW w:w="0" w:type="dxa"/>
            <w:vAlign w:val="bottom"/>
          </w:tcPr>
          <w:p>
            <w:pPr>
              <w:spacing w:after="0"/>
              <w:rPr>
                <w:sz w:val="1"/>
                <w:szCs w:val="1"/>
                <w:color w:val="auto"/>
              </w:rPr>
            </w:pPr>
          </w:p>
        </w:tc>
      </w:tr>
      <w:tr>
        <w:trPr>
          <w:trHeight w:val="202"/>
        </w:trPr>
        <w:tc>
          <w:tcPr>
            <w:tcW w:w="8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140" w:type="dxa"/>
            <w:vAlign w:val="bottom"/>
          </w:tcPr>
          <w:p>
            <w:pPr>
              <w:ind w:left="20"/>
              <w:spacing w:after="0" w:line="143" w:lineRule="exact"/>
              <w:rPr>
                <w:sz w:val="20"/>
                <w:szCs w:val="20"/>
                <w:color w:val="auto"/>
              </w:rPr>
            </w:pPr>
            <w:r>
              <w:rPr>
                <w:rFonts w:ascii="Arial" w:cs="Arial" w:eastAsia="Arial" w:hAnsi="Arial"/>
                <w:sz w:val="14"/>
                <w:szCs w:val="14"/>
                <w:color w:val="auto"/>
                <w:w w:val="96"/>
              </w:rPr>
              <w:t>Common stock, par value $0.01 per share (70,000,000 shares authorized; 30,736,141 and 30,700,198 shares issued, respectively, and</w:t>
            </w: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140" w:type="dxa"/>
            <w:vAlign w:val="bottom"/>
          </w:tcPr>
          <w:p>
            <w:pPr>
              <w:ind w:left="20"/>
              <w:spacing w:after="0"/>
              <w:rPr>
                <w:sz w:val="20"/>
                <w:szCs w:val="20"/>
                <w:color w:val="auto"/>
              </w:rPr>
            </w:pPr>
            <w:r>
              <w:rPr>
                <w:rFonts w:ascii="Arial" w:cs="Arial" w:eastAsia="Arial" w:hAnsi="Arial"/>
                <w:sz w:val="14"/>
                <w:szCs w:val="14"/>
                <w:color w:val="auto"/>
              </w:rPr>
              <w:t>30,572,606 and 30,700,198 shares outstanding, respectively)</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307</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8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286,877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286,947</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349,204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330,275</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 net of income taxes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(108,707)</w:t>
            </w:r>
          </w:p>
        </w:tc>
        <w:tc>
          <w:tcPr>
            <w:tcW w:w="0" w:type="dxa"/>
            <w:vAlign w:val="bottom"/>
          </w:tcPr>
          <w:p>
            <w:pPr>
              <w:spacing w:after="0"/>
              <w:rPr>
                <w:sz w:val="1"/>
                <w:szCs w:val="1"/>
                <w:color w:val="auto"/>
              </w:rPr>
            </w:pPr>
          </w:p>
        </w:tc>
      </w:tr>
      <w:tr>
        <w:trPr>
          <w:trHeight w:val="197"/>
        </w:trPr>
        <w:tc>
          <w:tcPr>
            <w:tcW w:w="8140" w:type="dxa"/>
            <w:vAlign w:val="bottom"/>
          </w:tcPr>
          <w:p>
            <w:pPr>
              <w:ind w:left="20"/>
              <w:spacing w:after="0"/>
              <w:rPr>
                <w:sz w:val="20"/>
                <w:szCs w:val="20"/>
                <w:color w:val="auto"/>
              </w:rPr>
            </w:pPr>
            <w:r>
              <w:rPr>
                <w:rFonts w:ascii="Arial" w:cs="Arial" w:eastAsia="Arial" w:hAnsi="Arial"/>
                <w:sz w:val="14"/>
                <w:szCs w:val="14"/>
                <w:color w:val="auto"/>
              </w:rPr>
              <w:t>Treasury stock, at cost (163,535 and zero shares, respectively)</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Total Amalgamated Financial Corp. stockholders' equity</w:t>
            </w:r>
          </w:p>
        </w:tc>
        <w:tc>
          <w:tcPr>
            <w:tcW w:w="2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528,481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508,822</w:t>
            </w:r>
          </w:p>
        </w:tc>
        <w:tc>
          <w:tcPr>
            <w:tcW w:w="0" w:type="dxa"/>
            <w:vAlign w:val="bottom"/>
          </w:tcPr>
          <w:p>
            <w:pPr>
              <w:spacing w:after="0"/>
              <w:rPr>
                <w:sz w:val="1"/>
                <w:szCs w:val="1"/>
                <w:color w:val="auto"/>
              </w:rPr>
            </w:pPr>
          </w:p>
        </w:tc>
      </w:tr>
      <w:tr>
        <w:trPr>
          <w:trHeight w:val="186"/>
        </w:trPr>
        <w:tc>
          <w:tcPr>
            <w:tcW w:w="81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93"/>
        </w:trPr>
        <w:tc>
          <w:tcPr>
            <w:tcW w:w="8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528,614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508,955</w:t>
            </w:r>
          </w:p>
        </w:tc>
        <w:tc>
          <w:tcPr>
            <w:tcW w:w="0" w:type="dxa"/>
            <w:vAlign w:val="bottom"/>
          </w:tcPr>
          <w:p>
            <w:pPr>
              <w:spacing w:after="0"/>
              <w:rPr>
                <w:sz w:val="1"/>
                <w:szCs w:val="1"/>
                <w:color w:val="auto"/>
              </w:rPr>
            </w:pPr>
          </w:p>
        </w:tc>
      </w:tr>
      <w:tr>
        <w:trPr>
          <w:trHeight w:val="202"/>
        </w:trPr>
        <w:tc>
          <w:tcPr>
            <w:tcW w:w="8140" w:type="dxa"/>
            <w:vAlign w:val="bottom"/>
          </w:tcPr>
          <w:p>
            <w:pPr>
              <w:ind w:left="64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7,792,812</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7,843,124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consolidated financial statements (unaudited)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2"/>
          <w:szCs w:val="22"/>
          <w:b w:val="1"/>
          <w:bCs w:val="1"/>
          <w:color w:val="auto"/>
        </w:rPr>
        <w:t>Consolidated Statements of Income (unaudited)</w:t>
      </w:r>
    </w:p>
    <w:p>
      <w:pPr>
        <w:ind w:left="20"/>
        <w:spacing w:after="0"/>
        <w:rPr>
          <w:sz w:val="20"/>
          <w:szCs w:val="20"/>
          <w:color w:val="auto"/>
        </w:rPr>
      </w:pPr>
      <w:r>
        <w:rPr>
          <w:rFonts w:ascii="Arial" w:cs="Arial" w:eastAsia="Arial" w:hAnsi="Arial"/>
          <w:sz w:val="18"/>
          <w:szCs w:val="18"/>
          <w:b w:val="1"/>
          <w:bCs w:val="1"/>
          <w:color w:val="auto"/>
        </w:rPr>
        <w:t>(Dollars 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5580" w:type="dxa"/>
            <w:vAlign w:val="bottom"/>
          </w:tcPr>
          <w:p>
            <w:pPr>
              <w:ind w:left="200"/>
              <w:spacing w:after="0"/>
              <w:rPr>
                <w:sz w:val="20"/>
                <w:szCs w:val="20"/>
                <w:color w:val="auto"/>
              </w:rPr>
            </w:pPr>
            <w:r>
              <w:rPr>
                <w:rFonts w:ascii="Arial" w:cs="Arial" w:eastAsia="Arial" w:hAnsi="Arial"/>
                <w:sz w:val="18"/>
                <w:szCs w:val="18"/>
                <w:color w:val="auto"/>
              </w:rPr>
              <w:t>Loans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45,360</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33,766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90,166</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64,893</w:t>
            </w:r>
          </w:p>
        </w:tc>
      </w:tr>
      <w:tr>
        <w:trPr>
          <w:trHeight w:val="236"/>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79,018</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43,507</w:t>
            </w:r>
          </w:p>
        </w:tc>
      </w:tr>
      <w:tr>
        <w:trPr>
          <w:trHeight w:val="229"/>
        </w:trPr>
        <w:tc>
          <w:tcPr>
            <w:tcW w:w="5580" w:type="dxa"/>
            <w:vAlign w:val="bottom"/>
          </w:tcPr>
          <w:p>
            <w:pPr>
              <w:ind w:left="200"/>
              <w:spacing w:after="0"/>
              <w:rPr>
                <w:sz w:val="20"/>
                <w:szCs w:val="20"/>
                <w:color w:val="auto"/>
              </w:rPr>
            </w:pPr>
            <w:r>
              <w:rPr>
                <w:rFonts w:ascii="Arial" w:cs="Arial" w:eastAsia="Arial" w:hAnsi="Arial"/>
                <w:sz w:val="18"/>
                <w:szCs w:val="18"/>
                <w:color w:val="auto"/>
              </w:rPr>
              <w:t>Interest-bearing deposits in banks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37"/>
        </w:trPr>
        <w:tc>
          <w:tcPr>
            <w:tcW w:w="5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interest and dividend income</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85,922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58,669</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170,857</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109,130</w:t>
            </w: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r>
      <w:tr>
        <w:trPr>
          <w:trHeight w:val="229"/>
        </w:trPr>
        <w:tc>
          <w:tcPr>
            <w:tcW w:w="5580" w:type="dxa"/>
            <w:vAlign w:val="bottom"/>
          </w:tcPr>
          <w:p>
            <w:pPr>
              <w:ind w:left="200"/>
              <w:spacing w:after="0"/>
              <w:rPr>
                <w:sz w:val="20"/>
                <w:szCs w:val="20"/>
                <w:color w:val="auto"/>
              </w:rPr>
            </w:pPr>
            <w:r>
              <w:rPr>
                <w:rFonts w:ascii="Arial" w:cs="Arial" w:eastAsia="Arial" w:hAnsi="Arial"/>
                <w:sz w:val="18"/>
                <w:szCs w:val="18"/>
                <w:color w:val="auto"/>
              </w:rPr>
              <w:t>Borrowed funds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7,942</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r>
      <w:tr>
        <w:trPr>
          <w:trHeight w:val="223"/>
        </w:trPr>
        <w:tc>
          <w:tcPr>
            <w:tcW w:w="55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40,593</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NET INTEREST INCOME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56,498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130,264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104,866</w:t>
            </w:r>
          </w:p>
        </w:tc>
      </w:tr>
      <w:tr>
        <w:trPr>
          <w:trHeight w:val="236"/>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credit losses</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8,899</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w:t>
            </w:r>
          </w:p>
        </w:tc>
      </w:tr>
      <w:tr>
        <w:trPr>
          <w:trHeight w:val="223"/>
        </w:trPr>
        <w:tc>
          <w:tcPr>
            <w:tcW w:w="5580" w:type="dxa"/>
            <w:vAlign w:val="bottom"/>
          </w:tcPr>
          <w:p>
            <w:pPr>
              <w:ind w:left="800"/>
              <w:spacing w:after="0"/>
              <w:rPr>
                <w:sz w:val="20"/>
                <w:szCs w:val="20"/>
                <w:color w:val="auto"/>
              </w:rPr>
            </w:pPr>
            <w:r>
              <w:rPr>
                <w:rFonts w:ascii="Arial" w:cs="Arial" w:eastAsia="Arial" w:hAnsi="Arial"/>
                <w:sz w:val="18"/>
                <w:szCs w:val="18"/>
                <w:color w:val="auto"/>
              </w:rPr>
              <w:t>Net interest income after provision for credit losses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53,586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121,365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99,661</w:t>
            </w: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NON-INTEREST INCOME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5580" w:type="dxa"/>
            <w:vAlign w:val="bottom"/>
          </w:tcPr>
          <w:p>
            <w:pPr>
              <w:ind w:left="200"/>
              <w:spacing w:after="0"/>
              <w:rPr>
                <w:sz w:val="20"/>
                <w:szCs w:val="20"/>
                <w:color w:val="auto"/>
              </w:rPr>
            </w:pPr>
            <w:r>
              <w:rPr>
                <w:rFonts w:ascii="Arial" w:cs="Arial" w:eastAsia="Arial" w:hAnsi="Arial"/>
                <w:sz w:val="18"/>
                <w:szCs w:val="18"/>
                <w:color w:val="auto"/>
              </w:rPr>
              <w:t>Trust Department fees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7,935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6,970</w:t>
            </w:r>
          </w:p>
        </w:tc>
      </w:tr>
      <w:tr>
        <w:trPr>
          <w:trHeight w:val="229"/>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charges on deposit accounts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r>
      <w:tr>
        <w:trPr>
          <w:trHeight w:val="237"/>
        </w:trPr>
        <w:tc>
          <w:tcPr>
            <w:tcW w:w="5580" w:type="dxa"/>
            <w:vAlign w:val="bottom"/>
          </w:tcPr>
          <w:p>
            <w:pPr>
              <w:ind w:left="200"/>
              <w:spacing w:after="0"/>
              <w:rPr>
                <w:sz w:val="20"/>
                <w:szCs w:val="20"/>
                <w:color w:val="auto"/>
              </w:rPr>
            </w:pPr>
            <w:r>
              <w:rPr>
                <w:rFonts w:ascii="Arial" w:cs="Arial" w:eastAsia="Arial" w:hAnsi="Arial"/>
                <w:sz w:val="18"/>
                <w:szCs w:val="18"/>
                <w:color w:val="auto"/>
              </w:rPr>
              <w:t>Bank-owned life insurance income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2,097</w:t>
            </w:r>
          </w:p>
        </w:tc>
      </w:tr>
      <w:tr>
        <w:trPr>
          <w:trHeight w:val="236"/>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on sale of securities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9"/>
        </w:trPr>
        <w:tc>
          <w:tcPr>
            <w:tcW w:w="5580" w:type="dxa"/>
            <w:vAlign w:val="bottom"/>
          </w:tcPr>
          <w:p>
            <w:pPr>
              <w:ind w:left="200"/>
              <w:spacing w:after="0"/>
              <w:rPr>
                <w:sz w:val="20"/>
                <w:szCs w:val="20"/>
                <w:color w:val="auto"/>
              </w:rPr>
            </w:pPr>
            <w:r>
              <w:rPr>
                <w:rFonts w:ascii="Arial" w:cs="Arial" w:eastAsia="Arial" w:hAnsi="Arial"/>
                <w:sz w:val="18"/>
                <w:szCs w:val="18"/>
                <w:color w:val="auto"/>
              </w:rPr>
              <w:t>Gains on sale of loans,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43"/>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method investments income (loss)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558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r>
      <w:tr>
        <w:trPr>
          <w:trHeight w:val="223"/>
        </w:trPr>
        <w:tc>
          <w:tcPr>
            <w:tcW w:w="55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non-interest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13,150</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14,668</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employee benefits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35,715</w:t>
            </w:r>
          </w:p>
        </w:tc>
      </w:tr>
      <w:tr>
        <w:trPr>
          <w:trHeight w:val="230"/>
        </w:trPr>
        <w:tc>
          <w:tcPr>
            <w:tcW w:w="5580" w:type="dxa"/>
            <w:vAlign w:val="bottom"/>
          </w:tcPr>
          <w:p>
            <w:pPr>
              <w:ind w:left="200"/>
              <w:spacing w:after="0"/>
              <w:rPr>
                <w:sz w:val="20"/>
                <w:szCs w:val="20"/>
                <w:color w:val="auto"/>
              </w:rPr>
            </w:pPr>
            <w:r>
              <w:rPr>
                <w:rFonts w:ascii="Arial" w:cs="Arial" w:eastAsia="Arial" w:hAnsi="Arial"/>
                <w:sz w:val="18"/>
                <w:szCs w:val="18"/>
                <w:color w:val="auto"/>
              </w:rPr>
              <w:t>Occupancy and depreciation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6,897</w:t>
            </w:r>
          </w:p>
        </w:tc>
      </w:tr>
      <w:tr>
        <w:trPr>
          <w:trHeight w:val="230"/>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r>
      <w:tr>
        <w:trPr>
          <w:trHeight w:val="237"/>
        </w:trPr>
        <w:tc>
          <w:tcPr>
            <w:tcW w:w="5580" w:type="dxa"/>
            <w:vAlign w:val="bottom"/>
          </w:tcPr>
          <w:p>
            <w:pPr>
              <w:ind w:left="200"/>
              <w:spacing w:after="0"/>
              <w:rPr>
                <w:sz w:val="20"/>
                <w:szCs w:val="20"/>
                <w:color w:val="auto"/>
              </w:rPr>
            </w:pPr>
            <w:r>
              <w:rPr>
                <w:rFonts w:ascii="Arial" w:cs="Arial" w:eastAsia="Arial" w:hAnsi="Arial"/>
                <w:sz w:val="18"/>
                <w:szCs w:val="18"/>
                <w:color w:val="auto"/>
              </w:rPr>
              <w:t>Data processing</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8,631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9,511</w:t>
            </w:r>
          </w:p>
        </w:tc>
      </w:tr>
      <w:tr>
        <w:trPr>
          <w:trHeight w:val="236"/>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 maintenance and depreciation</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r>
      <w:tr>
        <w:trPr>
          <w:trHeight w:val="230"/>
        </w:trPr>
        <w:tc>
          <w:tcPr>
            <w:tcW w:w="558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29"/>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Advertising and promotion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r>
      <w:tr>
        <w:trPr>
          <w:trHeight w:val="237"/>
        </w:trPr>
        <w:tc>
          <w:tcPr>
            <w:tcW w:w="5580" w:type="dxa"/>
            <w:vAlign w:val="bottom"/>
          </w:tcPr>
          <w:p>
            <w:pPr>
              <w:ind w:left="200"/>
              <w:spacing w:after="0"/>
              <w:rPr>
                <w:sz w:val="20"/>
                <w:szCs w:val="20"/>
                <w:color w:val="auto"/>
              </w:rPr>
            </w:pPr>
            <w:r>
              <w:rPr>
                <w:rFonts w:ascii="Arial" w:cs="Arial" w:eastAsia="Arial" w:hAnsi="Arial"/>
                <w:sz w:val="18"/>
                <w:szCs w:val="18"/>
                <w:color w:val="auto"/>
              </w:rPr>
              <w:t>Federal deposit insurance premiums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36"/>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5,986</w:t>
            </w:r>
          </w:p>
        </w:tc>
      </w:tr>
      <w:tr>
        <w:trPr>
          <w:trHeight w:val="223"/>
        </w:trPr>
        <w:tc>
          <w:tcPr>
            <w:tcW w:w="5580" w:type="dxa"/>
            <w:vAlign w:val="bottom"/>
          </w:tcPr>
          <w:p>
            <w:pPr>
              <w:ind w:left="800"/>
              <w:spacing w:after="0"/>
              <w:rPr>
                <w:sz w:val="20"/>
                <w:szCs w:val="20"/>
                <w:color w:val="auto"/>
              </w:rPr>
            </w:pPr>
            <w:r>
              <w:rPr>
                <w:rFonts w:ascii="Arial" w:cs="Arial" w:eastAsia="Arial" w:hAnsi="Arial"/>
                <w:sz w:val="18"/>
                <w:szCs w:val="18"/>
                <w:color w:val="auto"/>
              </w:rPr>
              <w:t>Total non-interest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37,529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76,156</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68,743</w:t>
            </w:r>
          </w:p>
        </w:tc>
      </w:tr>
      <w:tr>
        <w:trPr>
          <w:trHeight w:val="23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58,359</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45,586</w:t>
            </w:r>
          </w:p>
        </w:tc>
      </w:tr>
      <w:tr>
        <w:trPr>
          <w:trHeight w:val="230"/>
        </w:trPr>
        <w:tc>
          <w:tcPr>
            <w:tcW w:w="558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15,383</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11,808</w:t>
            </w:r>
          </w:p>
        </w:tc>
      </w:tr>
      <w:tr>
        <w:trPr>
          <w:trHeight w:val="223"/>
        </w:trPr>
        <w:tc>
          <w:tcPr>
            <w:tcW w:w="5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21,642</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33,778</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Earnings per common share - basic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2"/>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 (unaudited)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2" w:right="359"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b w:val="1"/>
          <w:bCs w:val="1"/>
          <w:color w:val="auto"/>
        </w:rPr>
        <w:t>Consolidated Statements of Comprehensive Income (unaudited)</w:t>
      </w:r>
    </w:p>
    <w:p>
      <w:pPr>
        <w:ind w:left="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54"/>
        </w:trPr>
        <w:tc>
          <w:tcPr>
            <w:tcW w:w="5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33,778</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Change in total obligation for postretirement benefits, prior service credit,</w:t>
            </w: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other benefits</w:t>
            </w:r>
          </w:p>
        </w:tc>
        <w:tc>
          <w:tcPr>
            <w:tcW w:w="32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Net unrealized gains (losses) on securities: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holding gains (losses) on securities available for sale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(116,038)</w:t>
            </w:r>
          </w:p>
        </w:tc>
        <w:tc>
          <w:tcPr>
            <w:tcW w:w="0" w:type="dxa"/>
            <w:vAlign w:val="bottom"/>
          </w:tcPr>
          <w:p>
            <w:pPr>
              <w:spacing w:after="0"/>
              <w:rPr>
                <w:sz w:val="1"/>
                <w:szCs w:val="1"/>
                <w:color w:val="auto"/>
              </w:rPr>
            </w:pPr>
          </w:p>
        </w:tc>
      </w:tr>
      <w:tr>
        <w:trPr>
          <w:trHeight w:val="237"/>
        </w:trPr>
        <w:tc>
          <w:tcPr>
            <w:tcW w:w="5420" w:type="dxa"/>
            <w:vAlign w:val="bottom"/>
          </w:tcPr>
          <w:p>
            <w:pPr>
              <w:ind w:left="140"/>
              <w:spacing w:after="0"/>
              <w:rPr>
                <w:sz w:val="20"/>
                <w:szCs w:val="20"/>
                <w:color w:val="auto"/>
              </w:rPr>
            </w:pPr>
            <w:r>
              <w:rPr>
                <w:rFonts w:ascii="Arial" w:cs="Arial" w:eastAsia="Arial" w:hAnsi="Arial"/>
                <w:sz w:val="18"/>
                <w:szCs w:val="18"/>
                <w:color w:val="auto"/>
              </w:rPr>
              <w:t>Reclassification adjustment for losses realized in income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182"/>
        </w:trPr>
        <w:tc>
          <w:tcPr>
            <w:tcW w:w="542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w w:val="98"/>
              </w:rPr>
              <w:t>Accretion of net unrealized loss on securities transferred to held-to-</w:t>
            </w: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maturity</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Net unrealized gains (losses) on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(51,543)</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(115,412)</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(115,294)</w:t>
            </w: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14,162</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31,717</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 net of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(37,322)</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(83,577)</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Total comprehensive income (loss), net of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13,745</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(17,709)</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46,469</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(49,799)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 (unaudited)</w:t>
      </w:r>
    </w:p>
    <w:p>
      <w:pPr>
        <w:sectPr>
          <w:pgSz w:w="11900" w:h="16838" w:orient="portrait"/>
          <w:cols w:equalWidth="0" w:num="1">
            <w:col w:w="11240"/>
          </w:cols>
          <w:pgMar w:left="320" w:top="952"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22"/>
          <w:szCs w:val="22"/>
          <w:b w:val="1"/>
          <w:bCs w:val="1"/>
          <w:color w:val="auto"/>
        </w:rPr>
        <w:t>Consolidated Statements of Changes in Stockholders’ Equity (unaudited)</w:t>
      </w:r>
    </w:p>
    <w:p>
      <w:pPr>
        <w:ind w:left="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9"/>
          </w:tcPr>
          <w:p>
            <w:pPr>
              <w:ind w:left="380"/>
              <w:spacing w:after="0"/>
              <w:rPr>
                <w:sz w:val="20"/>
                <w:szCs w:val="20"/>
                <w:color w:val="auto"/>
              </w:rPr>
            </w:pPr>
            <w:r>
              <w:rPr>
                <w:rFonts w:ascii="Arial" w:cs="Arial" w:eastAsia="Arial" w:hAnsi="Arial"/>
                <w:sz w:val="18"/>
                <w:szCs w:val="18"/>
                <w:b w:val="1"/>
                <w:bCs w:val="1"/>
                <w:color w:val="auto"/>
                <w:w w:val="89"/>
              </w:rPr>
              <w:t>Three Months Ended June 30, 2023</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900" w:type="dxa"/>
            <w:vAlign w:val="bottom"/>
          </w:tcPr>
          <w:p>
            <w:pPr>
              <w:spacing w:after="0"/>
              <w:rPr>
                <w:sz w:val="15"/>
                <w:szCs w:val="15"/>
                <w:color w:val="auto"/>
              </w:rPr>
            </w:pPr>
          </w:p>
        </w:tc>
        <w:tc>
          <w:tcPr>
            <w:tcW w:w="10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10"/>
              <w:spacing w:after="0" w:line="177"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7"/>
              </w:rPr>
              <w:t>Shares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5"/>
                <w:szCs w:val="15"/>
                <w:color w:val="auto"/>
              </w:rPr>
            </w:pPr>
          </w:p>
        </w:tc>
        <w:tc>
          <w:tcPr>
            <w:tcW w:w="88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2"/>
              </w:rPr>
              <w:t>Treasury</w:t>
            </w:r>
          </w:p>
        </w:tc>
        <w:tc>
          <w:tcPr>
            <w:tcW w:w="180" w:type="dxa"/>
            <w:vAlign w:val="bottom"/>
          </w:tcPr>
          <w:p>
            <w:pPr>
              <w:spacing w:after="0"/>
              <w:rPr>
                <w:sz w:val="15"/>
                <w:szCs w:val="15"/>
                <w:color w:val="auto"/>
              </w:rPr>
            </w:pPr>
          </w:p>
        </w:tc>
        <w:tc>
          <w:tcPr>
            <w:tcW w:w="9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5"/>
                <w:szCs w:val="1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2"/>
              </w:rPr>
              <w:t>Common</w:t>
            </w: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Retained</w:t>
            </w:r>
          </w:p>
        </w:tc>
        <w:tc>
          <w:tcPr>
            <w:tcW w:w="12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7"/>
              </w:rPr>
              <w:t>Comprehensive</w:t>
            </w:r>
          </w:p>
        </w:tc>
        <w:tc>
          <w:tcPr>
            <w:tcW w:w="10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0"/>
              </w:rPr>
              <w:t>Noncontrolling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6"/>
                <w:szCs w:val="16"/>
                <w:color w:val="auto"/>
              </w:rPr>
            </w:pPr>
          </w:p>
        </w:tc>
        <w:tc>
          <w:tcPr>
            <w:tcW w:w="104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50"/>
              <w:spacing w:after="0" w:line="184"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0"/>
              <w:spacing w:after="0" w:line="184" w:lineRule="exact"/>
              <w:rPr>
                <w:sz w:val="20"/>
                <w:szCs w:val="20"/>
                <w:color w:val="auto"/>
              </w:rPr>
            </w:pPr>
            <w:r>
              <w:rPr>
                <w:rFonts w:ascii="Arial" w:cs="Arial" w:eastAsia="Arial" w:hAnsi="Arial"/>
                <w:sz w:val="18"/>
                <w:szCs w:val="18"/>
                <w:b w:val="1"/>
                <w:bCs w:val="1"/>
                <w:color w:val="auto"/>
                <w:w w:val="85"/>
              </w:rPr>
              <w:t>Loss, net of</w:t>
            </w:r>
          </w:p>
        </w:tc>
        <w:tc>
          <w:tcPr>
            <w:tcW w:w="100" w:type="dxa"/>
            <w:vAlign w:val="bottom"/>
          </w:tcPr>
          <w:p>
            <w:pPr>
              <w:spacing w:after="0"/>
              <w:rPr>
                <w:sz w:val="16"/>
                <w:szCs w:val="16"/>
                <w:color w:val="auto"/>
              </w:rPr>
            </w:pPr>
          </w:p>
        </w:tc>
        <w:tc>
          <w:tcPr>
            <w:tcW w:w="880" w:type="dxa"/>
            <w:vAlign w:val="bottom"/>
            <w:gridSpan w:val="4"/>
          </w:tcPr>
          <w:p>
            <w:pPr>
              <w:jc w:val="center"/>
              <w:ind w:right="100"/>
              <w:spacing w:after="0" w:line="184" w:lineRule="exact"/>
              <w:rPr>
                <w:sz w:val="20"/>
                <w:szCs w:val="20"/>
                <w:color w:val="auto"/>
              </w:rPr>
            </w:pPr>
            <w:r>
              <w:rPr>
                <w:rFonts w:ascii="Arial" w:cs="Arial" w:eastAsia="Arial" w:hAnsi="Arial"/>
                <w:sz w:val="18"/>
                <w:szCs w:val="18"/>
                <w:b w:val="1"/>
                <w:bCs w:val="1"/>
                <w:color w:val="auto"/>
                <w:w w:val="87"/>
              </w:rPr>
              <w:t>Stock, at</w:t>
            </w:r>
          </w:p>
        </w:tc>
        <w:tc>
          <w:tcPr>
            <w:tcW w:w="1100" w:type="dxa"/>
            <w:vAlign w:val="bottom"/>
            <w:gridSpan w:val="2"/>
          </w:tcPr>
          <w:p>
            <w:pPr>
              <w:ind w:left="20"/>
              <w:spacing w:after="0" w:line="184" w:lineRule="exact"/>
              <w:rPr>
                <w:sz w:val="20"/>
                <w:szCs w:val="20"/>
                <w:color w:val="auto"/>
              </w:rPr>
            </w:pPr>
            <w:r>
              <w:rPr>
                <w:rFonts w:ascii="Arial" w:cs="Arial" w:eastAsia="Arial" w:hAnsi="Arial"/>
                <w:sz w:val="18"/>
                <w:szCs w:val="18"/>
                <w:b w:val="1"/>
                <w:bCs w:val="1"/>
                <w:color w:val="auto"/>
                <w:w w:val="89"/>
              </w:rPr>
              <w:t>Stockholders'</w:t>
            </w:r>
          </w:p>
        </w:tc>
        <w:tc>
          <w:tcPr>
            <w:tcW w:w="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income taxes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0"/>
              </w:rPr>
              <w:t>cost</w:t>
            </w:r>
          </w:p>
        </w:tc>
        <w:tc>
          <w:tcPr>
            <w:tcW w:w="18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Interest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23"/>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2"/>
              </w:rPr>
              <w:t>Balance at April 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30,642,299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287,514</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$ 330,673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519,025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519,158</w:t>
            </w:r>
          </w:p>
        </w:tc>
        <w:tc>
          <w:tcPr>
            <w:tcW w:w="0" w:type="dxa"/>
            <w:vAlign w:val="bottom"/>
          </w:tcPr>
          <w:p>
            <w:pPr>
              <w:spacing w:after="0"/>
              <w:rPr>
                <w:sz w:val="1"/>
                <w:szCs w:val="1"/>
                <w:color w:val="auto"/>
              </w:rPr>
            </w:pPr>
          </w:p>
        </w:tc>
      </w:tr>
      <w:tr>
        <w:trPr>
          <w:trHeight w:val="237"/>
        </w:trPr>
        <w:tc>
          <w:tcPr>
            <w:tcW w:w="1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21,642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21,642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21,642</w:t>
            </w:r>
          </w:p>
        </w:tc>
        <w:tc>
          <w:tcPr>
            <w:tcW w:w="0" w:type="dxa"/>
            <w:vAlign w:val="bottom"/>
          </w:tcPr>
          <w:p>
            <w:pPr>
              <w:spacing w:after="0"/>
              <w:rPr>
                <w:sz w:val="1"/>
                <w:szCs w:val="1"/>
                <w:color w:val="auto"/>
              </w:rPr>
            </w:pPr>
          </w:p>
        </w:tc>
      </w:tr>
      <w:tr>
        <w:trPr>
          <w:trHeight w:val="182"/>
        </w:trPr>
        <w:tc>
          <w:tcPr>
            <w:tcW w:w="19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7"/>
              </w:rPr>
              <w:t>Repurchase of common</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(138,962)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20"/>
              <w:spacing w:after="0" w:line="189" w:lineRule="exact"/>
              <w:rPr>
                <w:sz w:val="20"/>
                <w:szCs w:val="20"/>
                <w:color w:val="auto"/>
              </w:rPr>
            </w:pPr>
            <w:r>
              <w:rPr>
                <w:rFonts w:ascii="Arial" w:cs="Arial" w:eastAsia="Arial" w:hAnsi="Arial"/>
                <w:sz w:val="18"/>
                <w:szCs w:val="18"/>
                <w:color w:val="auto"/>
              </w:rPr>
              <w:t>Common stock issued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line="176" w:lineRule="exact"/>
              <w:rPr>
                <w:sz w:val="20"/>
                <w:szCs w:val="20"/>
                <w:color w:val="auto"/>
              </w:rPr>
            </w:pPr>
            <w:r>
              <w:rPr>
                <w:rFonts w:ascii="Arial" w:cs="Arial" w:eastAsia="Arial" w:hAnsi="Arial"/>
                <w:sz w:val="18"/>
                <w:szCs w:val="18"/>
                <w:color w:val="auto"/>
              </w:rPr>
              <w:t>under Employee Stock</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7,835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190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Dividends declared on</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stock, net,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$0.10 per share</w:t>
            </w: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20"/>
              <w:spacing w:after="0" w:line="189" w:lineRule="exact"/>
              <w:rPr>
                <w:sz w:val="20"/>
                <w:szCs w:val="20"/>
                <w:color w:val="auto"/>
              </w:rPr>
            </w:pPr>
            <w:r>
              <w:rPr>
                <w:rFonts w:ascii="Arial" w:cs="Arial" w:eastAsia="Arial" w:hAnsi="Arial"/>
                <w:sz w:val="18"/>
                <w:szCs w:val="18"/>
                <w:color w:val="auto"/>
              </w:rPr>
              <w:t>Restricted stock units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line="176" w:lineRule="exact"/>
              <w:rPr>
                <w:sz w:val="20"/>
                <w:szCs w:val="20"/>
                <w:color w:val="auto"/>
              </w:rPr>
            </w:pPr>
            <w:r>
              <w:rPr>
                <w:rFonts w:ascii="Arial" w:cs="Arial" w:eastAsia="Arial" w:hAnsi="Arial"/>
                <w:sz w:val="18"/>
                <w:szCs w:val="18"/>
                <w:color w:val="auto"/>
              </w:rPr>
              <w:t>vesting, net of</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61,434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(1,837)</w:t>
            </w:r>
          </w:p>
        </w:tc>
        <w:tc>
          <w:tcPr>
            <w:tcW w:w="8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1,487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190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Stock-based</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(7,897)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(7,897)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(7,897)</w:t>
            </w:r>
          </w:p>
        </w:tc>
        <w:tc>
          <w:tcPr>
            <w:tcW w:w="0" w:type="dxa"/>
            <w:vAlign w:val="bottom"/>
          </w:tcPr>
          <w:p>
            <w:pPr>
              <w:spacing w:after="0"/>
              <w:rPr>
                <w:sz w:val="1"/>
                <w:szCs w:val="1"/>
                <w:color w:val="auto"/>
              </w:rPr>
            </w:pPr>
          </w:p>
        </w:tc>
      </w:tr>
      <w:tr>
        <w:trPr>
          <w:trHeight w:val="230"/>
        </w:trPr>
        <w:tc>
          <w:tcPr>
            <w:tcW w:w="1900" w:type="dxa"/>
            <w:vAlign w:val="bottom"/>
          </w:tcPr>
          <w:p>
            <w:pPr>
              <w:ind w:left="20"/>
              <w:spacing w:after="0"/>
              <w:rPr>
                <w:sz w:val="20"/>
                <w:szCs w:val="20"/>
                <w:color w:val="auto"/>
              </w:rPr>
            </w:pPr>
            <w:r>
              <w:rPr>
                <w:rFonts w:ascii="Arial" w:cs="Arial" w:eastAsia="Arial" w:hAnsi="Arial"/>
                <w:sz w:val="18"/>
                <w:szCs w:val="18"/>
                <w:color w:val="auto"/>
              </w:rPr>
              <w:t>loss, net of taxes</w:t>
            </w: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9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Balance at June 30,</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30,572,606</w:t>
            </w:r>
          </w:p>
        </w:tc>
        <w:tc>
          <w:tcPr>
            <w:tcW w:w="100" w:type="dxa"/>
            <w:vAlign w:val="bottom"/>
            <w:vMerge w:val="restart"/>
            <w:shd w:val="clear" w:color="auto" w:fill="CCEEFF"/>
          </w:tcPr>
          <w:p>
            <w:pPr>
              <w:spacing w:after="0"/>
              <w:rPr>
                <w:sz w:val="14"/>
                <w:szCs w:val="14"/>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vMerge w:val="restart"/>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286,877</w:t>
            </w:r>
          </w:p>
        </w:tc>
        <w:tc>
          <w:tcPr>
            <w:tcW w:w="80" w:type="dxa"/>
            <w:vAlign w:val="bottom"/>
            <w:vMerge w:val="restart"/>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$ 349,204</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(105,214)</w:t>
            </w:r>
          </w:p>
        </w:tc>
        <w:tc>
          <w:tcPr>
            <w:tcW w:w="100" w:type="dxa"/>
            <w:vAlign w:val="bottom"/>
            <w:vMerge w:val="restart"/>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528,481</w:t>
            </w:r>
          </w:p>
        </w:tc>
        <w:tc>
          <w:tcPr>
            <w:tcW w:w="80" w:type="dxa"/>
            <w:vAlign w:val="bottom"/>
            <w:vMerge w:val="restart"/>
            <w:shd w:val="clear" w:color="auto" w:fill="CCEEFF"/>
          </w:tcPr>
          <w:p>
            <w:pPr>
              <w:spacing w:after="0"/>
              <w:rPr>
                <w:sz w:val="14"/>
                <w:szCs w:val="14"/>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vMerge w:val="restart"/>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528,614</w:t>
            </w:r>
          </w:p>
        </w:tc>
        <w:tc>
          <w:tcPr>
            <w:tcW w:w="0" w:type="dxa"/>
            <w:vAlign w:val="bottom"/>
          </w:tcPr>
          <w:p>
            <w:pPr>
              <w:spacing w:after="0"/>
              <w:rPr>
                <w:sz w:val="1"/>
                <w:szCs w:val="1"/>
                <w:color w:val="auto"/>
              </w:rPr>
            </w:pPr>
          </w:p>
        </w:tc>
      </w:tr>
      <w:tr>
        <w:trPr>
          <w:trHeight w:val="223"/>
        </w:trPr>
        <w:tc>
          <w:tcPr>
            <w:tcW w:w="19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2023</w:t>
            </w: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9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8"/>
          </w:tcPr>
          <w:p>
            <w:pPr>
              <w:ind w:left="500"/>
              <w:spacing w:after="0"/>
              <w:rPr>
                <w:sz w:val="20"/>
                <w:szCs w:val="20"/>
                <w:color w:val="auto"/>
              </w:rPr>
            </w:pPr>
            <w:r>
              <w:rPr>
                <w:rFonts w:ascii="Arial" w:cs="Arial" w:eastAsia="Arial" w:hAnsi="Arial"/>
                <w:sz w:val="18"/>
                <w:szCs w:val="18"/>
                <w:b w:val="1"/>
                <w:bCs w:val="1"/>
                <w:color w:val="auto"/>
                <w:w w:val="92"/>
              </w:rPr>
              <w:t>Six Months Ended June 30, 2023</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6"/>
                <w:szCs w:val="16"/>
                <w:color w:val="auto"/>
              </w:rPr>
            </w:pPr>
          </w:p>
        </w:tc>
        <w:tc>
          <w:tcPr>
            <w:tcW w:w="104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7"/>
              </w:rPr>
              <w:t>Shares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0"/>
              <w:spacing w:after="0" w:line="184" w:lineRule="exact"/>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5"/>
                <w:szCs w:val="1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2"/>
              </w:rPr>
              <w:t>Common</w:t>
            </w:r>
          </w:p>
        </w:tc>
        <w:tc>
          <w:tcPr>
            <w:tcW w:w="80" w:type="dxa"/>
            <w:vAlign w:val="bottom"/>
          </w:tcPr>
          <w:p>
            <w:pPr>
              <w:spacing w:after="0"/>
              <w:rPr>
                <w:sz w:val="15"/>
                <w:szCs w:val="15"/>
                <w:color w:val="auto"/>
              </w:rPr>
            </w:pPr>
          </w:p>
        </w:tc>
        <w:tc>
          <w:tcPr>
            <w:tcW w:w="860" w:type="dxa"/>
            <w:vAlign w:val="bottom"/>
            <w:gridSpan w:val="2"/>
          </w:tcPr>
          <w:p>
            <w:pPr>
              <w:ind w:left="20"/>
              <w:spacing w:after="0" w:line="181" w:lineRule="exact"/>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Retained</w:t>
            </w:r>
          </w:p>
        </w:tc>
        <w:tc>
          <w:tcPr>
            <w:tcW w:w="100" w:type="dxa"/>
            <w:vAlign w:val="bottom"/>
          </w:tcPr>
          <w:p>
            <w:pPr>
              <w:spacing w:after="0"/>
              <w:rPr>
                <w:sz w:val="15"/>
                <w:szCs w:val="15"/>
                <w:color w:val="auto"/>
              </w:rPr>
            </w:pPr>
          </w:p>
        </w:tc>
        <w:tc>
          <w:tcPr>
            <w:tcW w:w="12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87"/>
              </w:rPr>
              <w:t>Comprehensive</w:t>
            </w:r>
          </w:p>
        </w:tc>
        <w:tc>
          <w:tcPr>
            <w:tcW w:w="100" w:type="dxa"/>
            <w:vAlign w:val="bottom"/>
          </w:tcPr>
          <w:p>
            <w:pPr>
              <w:spacing w:after="0"/>
              <w:rPr>
                <w:sz w:val="15"/>
                <w:szCs w:val="15"/>
                <w:color w:val="auto"/>
              </w:rPr>
            </w:pPr>
          </w:p>
        </w:tc>
        <w:tc>
          <w:tcPr>
            <w:tcW w:w="860" w:type="dxa"/>
            <w:vAlign w:val="bottom"/>
            <w:gridSpan w:val="3"/>
          </w:tcPr>
          <w:p>
            <w:pPr>
              <w:jc w:val="center"/>
              <w:ind w:right="80"/>
              <w:spacing w:after="0" w:line="181" w:lineRule="exact"/>
              <w:rPr>
                <w:sz w:val="20"/>
                <w:szCs w:val="20"/>
                <w:color w:val="auto"/>
              </w:rPr>
            </w:pPr>
            <w:r>
              <w:rPr>
                <w:rFonts w:ascii="Arial" w:cs="Arial" w:eastAsia="Arial" w:hAnsi="Arial"/>
                <w:sz w:val="18"/>
                <w:szCs w:val="18"/>
                <w:b w:val="1"/>
                <w:bCs w:val="1"/>
                <w:color w:val="auto"/>
                <w:w w:val="92"/>
              </w:rPr>
              <w:t>Treasury</w:t>
            </w:r>
          </w:p>
        </w:tc>
        <w:tc>
          <w:tcPr>
            <w:tcW w:w="200" w:type="dxa"/>
            <w:vAlign w:val="bottom"/>
          </w:tcPr>
          <w:p>
            <w:pPr>
              <w:spacing w:after="0"/>
              <w:rPr>
                <w:sz w:val="15"/>
                <w:szCs w:val="15"/>
                <w:color w:val="auto"/>
              </w:rPr>
            </w:pPr>
          </w:p>
        </w:tc>
        <w:tc>
          <w:tcPr>
            <w:tcW w:w="920" w:type="dxa"/>
            <w:vAlign w:val="bottom"/>
          </w:tcPr>
          <w:p>
            <w:pPr>
              <w:jc w:val="right"/>
              <w:ind w:right="270"/>
              <w:spacing w:after="0" w:line="18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5"/>
                <w:szCs w:val="15"/>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0"/>
              </w:rPr>
              <w:t>Noncontrolling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50"/>
              <w:spacing w:after="0" w:line="176"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5"/>
              </w:rPr>
              <w:t>Loss, net of</w:t>
            </w:r>
          </w:p>
        </w:tc>
        <w:tc>
          <w:tcPr>
            <w:tcW w:w="100" w:type="dxa"/>
            <w:vAlign w:val="bottom"/>
          </w:tcPr>
          <w:p>
            <w:pPr>
              <w:spacing w:after="0"/>
              <w:rPr>
                <w:sz w:val="15"/>
                <w:szCs w:val="15"/>
                <w:color w:val="auto"/>
              </w:rPr>
            </w:pPr>
          </w:p>
        </w:tc>
        <w:tc>
          <w:tcPr>
            <w:tcW w:w="86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87"/>
              </w:rPr>
              <w:t>Stock, at</w:t>
            </w:r>
          </w:p>
        </w:tc>
        <w:tc>
          <w:tcPr>
            <w:tcW w:w="112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w w:val="89"/>
              </w:rPr>
              <w:t>Stockholders'</w:t>
            </w: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9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Stock</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Earnings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income taxes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cost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Interest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160"/>
        </w:trPr>
        <w:tc>
          <w:tcPr>
            <w:tcW w:w="1900" w:type="dxa"/>
            <w:vAlign w:val="bottom"/>
            <w:shd w:val="clear" w:color="auto" w:fill="CCEEFF"/>
          </w:tcPr>
          <w:p>
            <w:pPr>
              <w:ind w:left="20"/>
              <w:spacing w:after="0" w:line="160" w:lineRule="exact"/>
              <w:rPr>
                <w:sz w:val="20"/>
                <w:szCs w:val="20"/>
                <w:color w:val="auto"/>
              </w:rPr>
            </w:pPr>
            <w:r>
              <w:rPr>
                <w:rFonts w:ascii="Arial" w:cs="Arial" w:eastAsia="Arial" w:hAnsi="Arial"/>
                <w:sz w:val="18"/>
                <w:szCs w:val="18"/>
                <w:b w:val="1"/>
                <w:bCs w:val="1"/>
                <w:color w:val="auto"/>
              </w:rPr>
              <w:t>Balance at January 1,</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30,700,198</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286,947</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$ 330,275</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(108,707)</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508,822</w:t>
            </w: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508,955</w:t>
            </w: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1040" w:type="dxa"/>
            <w:vAlign w:val="bottom"/>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00" w:type="dxa"/>
            <w:vAlign w:val="bottom"/>
            <w:gridSpan w:val="2"/>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700" w:type="dxa"/>
            <w:vAlign w:val="bottom"/>
            <w:gridSpan w:val="2"/>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line="176" w:lineRule="exact"/>
              <w:rPr>
                <w:sz w:val="20"/>
                <w:szCs w:val="20"/>
                <w:color w:val="auto"/>
              </w:rPr>
            </w:pPr>
            <w:r>
              <w:rPr>
                <w:rFonts w:ascii="Arial" w:cs="Arial" w:eastAsia="Arial" w:hAnsi="Arial"/>
                <w:sz w:val="18"/>
                <w:szCs w:val="18"/>
                <w:color w:val="auto"/>
              </w:rPr>
              <w:t>Cumulative effect of</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00" w:type="dxa"/>
            <w:vAlign w:val="bottom"/>
          </w:tcPr>
          <w:p>
            <w:pPr>
              <w:ind w:left="20"/>
              <w:spacing w:after="0" w:line="176" w:lineRule="exact"/>
              <w:rPr>
                <w:sz w:val="20"/>
                <w:szCs w:val="20"/>
                <w:color w:val="auto"/>
              </w:rPr>
            </w:pPr>
            <w:r>
              <w:rPr>
                <w:rFonts w:ascii="Arial" w:cs="Arial" w:eastAsia="Arial" w:hAnsi="Arial"/>
                <w:sz w:val="18"/>
                <w:szCs w:val="18"/>
                <w:color w:val="auto"/>
              </w:rPr>
              <w:t>adoption of ASU No.</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(17,825)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(17,825)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(17,825)</w:t>
            </w:r>
          </w:p>
        </w:tc>
        <w:tc>
          <w:tcPr>
            <w:tcW w:w="0" w:type="dxa"/>
            <w:vAlign w:val="bottom"/>
          </w:tcPr>
          <w:p>
            <w:pPr>
              <w:spacing w:after="0"/>
              <w:rPr>
                <w:sz w:val="1"/>
                <w:szCs w:val="1"/>
                <w:color w:val="auto"/>
              </w:rPr>
            </w:pPr>
          </w:p>
        </w:tc>
      </w:tr>
      <w:tr>
        <w:trPr>
          <w:trHeight w:val="230"/>
        </w:trPr>
        <w:tc>
          <w:tcPr>
            <w:tcW w:w="1900" w:type="dxa"/>
            <w:vAlign w:val="bottom"/>
          </w:tcPr>
          <w:p>
            <w:pPr>
              <w:ind w:left="20"/>
              <w:spacing w:after="0"/>
              <w:rPr>
                <w:sz w:val="20"/>
                <w:szCs w:val="20"/>
                <w:color w:val="auto"/>
              </w:rPr>
            </w:pPr>
            <w:r>
              <w:rPr>
                <w:rFonts w:ascii="Arial" w:cs="Arial" w:eastAsia="Arial" w:hAnsi="Arial"/>
                <w:sz w:val="18"/>
                <w:szCs w:val="18"/>
                <w:color w:val="auto"/>
              </w:rPr>
              <w:t>2016-13</w:t>
            </w: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9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Balance at January 1,</w:t>
            </w: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2023 adjusted for change</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30,700,198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286,947</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312,450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(108,707)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490,997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491,130</w:t>
            </w: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accounting principle</w:t>
            </w: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42,976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42,976</w:t>
            </w: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Repurchase of common</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(267,765)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line="176" w:lineRule="exact"/>
              <w:rPr>
                <w:sz w:val="20"/>
                <w:szCs w:val="20"/>
                <w:color w:val="auto"/>
              </w:rPr>
            </w:pPr>
            <w:r>
              <w:rPr>
                <w:rFonts w:ascii="Arial" w:cs="Arial" w:eastAsia="Arial" w:hAnsi="Arial"/>
                <w:sz w:val="18"/>
                <w:szCs w:val="18"/>
                <w:color w:val="auto"/>
              </w:rPr>
              <w:t>Common stock issued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00" w:type="dxa"/>
            <w:vAlign w:val="bottom"/>
          </w:tcPr>
          <w:p>
            <w:pPr>
              <w:ind w:left="20"/>
              <w:spacing w:after="0" w:line="176" w:lineRule="exact"/>
              <w:rPr>
                <w:sz w:val="20"/>
                <w:szCs w:val="20"/>
                <w:color w:val="auto"/>
              </w:rPr>
            </w:pPr>
            <w:r>
              <w:rPr>
                <w:rFonts w:ascii="Arial" w:cs="Arial" w:eastAsia="Arial" w:hAnsi="Arial"/>
                <w:sz w:val="18"/>
                <w:szCs w:val="18"/>
                <w:color w:val="auto"/>
              </w:rPr>
              <w:t>under Employee Stock</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29,754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7"/>
        </w:trPr>
        <w:tc>
          <w:tcPr>
            <w:tcW w:w="190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9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Dividends declared on</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stock, net,</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$0.20 per share</w:t>
            </w: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900" w:type="dxa"/>
            <w:vAlign w:val="bottom"/>
          </w:tcPr>
          <w:p>
            <w:pPr>
              <w:ind w:left="20"/>
              <w:spacing w:after="0" w:line="176" w:lineRule="exact"/>
              <w:rPr>
                <w:sz w:val="20"/>
                <w:szCs w:val="20"/>
                <w:color w:val="auto"/>
              </w:rPr>
            </w:pPr>
            <w:r>
              <w:rPr>
                <w:rFonts w:ascii="Arial" w:cs="Arial" w:eastAsia="Arial" w:hAnsi="Arial"/>
                <w:sz w:val="18"/>
                <w:szCs w:val="18"/>
                <w:color w:val="auto"/>
              </w:rPr>
              <w:t>Exercise of stock</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line="176" w:lineRule="exact"/>
              <w:rPr>
                <w:sz w:val="20"/>
                <w:szCs w:val="20"/>
                <w:color w:val="auto"/>
              </w:rPr>
            </w:pPr>
            <w:r>
              <w:rPr>
                <w:rFonts w:ascii="Arial" w:cs="Arial" w:eastAsia="Arial" w:hAnsi="Arial"/>
                <w:sz w:val="18"/>
                <w:szCs w:val="18"/>
                <w:color w:val="auto"/>
              </w:rPr>
              <w:t>options, net of</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190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9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Restricted stock units</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net of</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103,788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w:t>
            </w: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900" w:type="dxa"/>
            <w:vAlign w:val="bottom"/>
          </w:tcPr>
          <w:p>
            <w:pPr>
              <w:ind w:left="20"/>
              <w:spacing w:after="0" w:line="176" w:lineRule="exact"/>
              <w:rPr>
                <w:sz w:val="20"/>
                <w:szCs w:val="20"/>
                <w:color w:val="auto"/>
              </w:rPr>
            </w:pPr>
            <w:r>
              <w:rPr>
                <w:rFonts w:ascii="Arial" w:cs="Arial" w:eastAsia="Arial" w:hAnsi="Arial"/>
                <w:sz w:val="18"/>
                <w:szCs w:val="18"/>
                <w:color w:val="auto"/>
              </w:rPr>
              <w:t>Stock-based</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2,240</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2,240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30"/>
        </w:trPr>
        <w:tc>
          <w:tcPr>
            <w:tcW w:w="1900" w:type="dxa"/>
            <w:vAlign w:val="bottom"/>
          </w:tcPr>
          <w:p>
            <w:pPr>
              <w:ind w:left="20"/>
              <w:spacing w:after="0"/>
              <w:rPr>
                <w:sz w:val="20"/>
                <w:szCs w:val="20"/>
                <w:color w:val="auto"/>
              </w:rPr>
            </w:pPr>
            <w:r>
              <w:rPr>
                <w:rFonts w:ascii="Arial" w:cs="Arial" w:eastAsia="Arial" w:hAnsi="Arial"/>
                <w:sz w:val="18"/>
                <w:szCs w:val="18"/>
                <w:color w:val="auto"/>
              </w:rPr>
              <w:t>compensation expense</w:t>
            </w: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 comprehensive</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17"/>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net of taxes</w:t>
            </w: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0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Balance at June 30,</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30,572,606</w:t>
            </w: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307</w:t>
            </w: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5"/>
              </w:rPr>
              <w:t>286,877</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$ 349,204</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(105,214)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(2,693)</w:t>
            </w:r>
          </w:p>
        </w:tc>
        <w:tc>
          <w:tcPr>
            <w:tcW w:w="80" w:type="dxa"/>
            <w:vAlign w:val="bottom"/>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528,481</w:t>
            </w:r>
          </w:p>
        </w:tc>
        <w:tc>
          <w:tcPr>
            <w:tcW w:w="2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133</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5"/>
              </w:rPr>
              <w:t>528,614</w:t>
            </w:r>
          </w:p>
        </w:tc>
        <w:tc>
          <w:tcPr>
            <w:tcW w:w="0" w:type="dxa"/>
            <w:vAlign w:val="bottom"/>
          </w:tcPr>
          <w:p>
            <w:pPr>
              <w:spacing w:after="0"/>
              <w:rPr>
                <w:sz w:val="1"/>
                <w:szCs w:val="1"/>
                <w:color w:val="auto"/>
              </w:rPr>
            </w:pPr>
          </w:p>
        </w:tc>
      </w:tr>
      <w:tr>
        <w:trPr>
          <w:trHeight w:val="216"/>
        </w:trPr>
        <w:tc>
          <w:tcPr>
            <w:tcW w:w="1900" w:type="dxa"/>
            <w:vAlign w:val="bottom"/>
          </w:tcPr>
          <w:p>
            <w:pPr>
              <w:ind w:left="20"/>
              <w:spacing w:after="0"/>
              <w:rPr>
                <w:sz w:val="20"/>
                <w:szCs w:val="20"/>
                <w:color w:val="auto"/>
              </w:rPr>
            </w:pPr>
            <w:r>
              <w:rPr>
                <w:rFonts w:ascii="Arial" w:cs="Arial" w:eastAsia="Arial" w:hAnsi="Arial"/>
                <w:sz w:val="18"/>
                <w:szCs w:val="18"/>
                <w:b w:val="1"/>
                <w:bCs w:val="1"/>
                <w:color w:val="auto"/>
              </w:rPr>
              <w:t>2023</w:t>
            </w:r>
          </w:p>
        </w:tc>
        <w:tc>
          <w:tcPr>
            <w:tcW w:w="104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ind w:left="660"/>
              <w:spacing w:after="0"/>
              <w:rPr>
                <w:sz w:val="20"/>
                <w:szCs w:val="20"/>
                <w:color w:val="auto"/>
              </w:rPr>
            </w:pPr>
            <w:r>
              <w:rPr>
                <w:rFonts w:ascii="Arial" w:cs="Arial" w:eastAsia="Arial" w:hAnsi="Arial"/>
                <w:sz w:val="18"/>
                <w:szCs w:val="18"/>
                <w:b w:val="1"/>
                <w:bCs w:val="1"/>
                <w:color w:val="auto"/>
                <w:w w:val="97"/>
              </w:rPr>
              <w:t>Three Months Ended June 30, 2022</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20" w:type="dxa"/>
            <w:vAlign w:val="bottom"/>
          </w:tcPr>
          <w:p>
            <w:pPr>
              <w:spacing w:after="0"/>
              <w:rPr>
                <w:sz w:val="16"/>
                <w:szCs w:val="16"/>
                <w:color w:val="auto"/>
              </w:rPr>
            </w:pPr>
          </w:p>
        </w:tc>
        <w:tc>
          <w:tcPr>
            <w:tcW w:w="102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5"/>
              </w:rPr>
              <w:t>Shares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30"/>
              <w:spacing w:after="0" w:line="184" w:lineRule="exact"/>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5"/>
                <w:szCs w:val="1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2"/>
              </w:rPr>
              <w:t>Common</w:t>
            </w:r>
          </w:p>
        </w:tc>
        <w:tc>
          <w:tcPr>
            <w:tcW w:w="80" w:type="dxa"/>
            <w:vAlign w:val="bottom"/>
          </w:tcPr>
          <w:p>
            <w:pPr>
              <w:spacing w:after="0"/>
              <w:rPr>
                <w:sz w:val="15"/>
                <w:szCs w:val="15"/>
                <w:color w:val="auto"/>
              </w:rPr>
            </w:pPr>
          </w:p>
        </w:tc>
        <w:tc>
          <w:tcPr>
            <w:tcW w:w="840" w:type="dxa"/>
            <w:vAlign w:val="bottom"/>
            <w:gridSpan w:val="2"/>
          </w:tcPr>
          <w:p>
            <w:pPr>
              <w:ind w:left="20"/>
              <w:spacing w:after="0" w:line="181" w:lineRule="exact"/>
              <w:rPr>
                <w:sz w:val="20"/>
                <w:szCs w:val="20"/>
                <w:color w:val="auto"/>
              </w:rPr>
            </w:pPr>
            <w:r>
              <w:rPr>
                <w:rFonts w:ascii="Arial" w:cs="Arial" w:eastAsia="Arial" w:hAnsi="Arial"/>
                <w:sz w:val="18"/>
                <w:szCs w:val="18"/>
                <w:b w:val="1"/>
                <w:bCs w:val="1"/>
                <w:color w:val="auto"/>
                <w:w w:val="90"/>
              </w:rPr>
              <w:t>Additional</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Retained</w:t>
            </w:r>
          </w:p>
        </w:tc>
        <w:tc>
          <w:tcPr>
            <w:tcW w:w="740" w:type="dxa"/>
            <w:vAlign w:val="bottom"/>
          </w:tcPr>
          <w:p>
            <w:pPr>
              <w:spacing w:after="0"/>
              <w:rPr>
                <w:sz w:val="15"/>
                <w:szCs w:val="15"/>
                <w:color w:val="auto"/>
              </w:rPr>
            </w:pPr>
          </w:p>
        </w:tc>
        <w:tc>
          <w:tcPr>
            <w:tcW w:w="12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5"/>
                <w:szCs w:val="15"/>
                <w:color w:val="auto"/>
              </w:rPr>
            </w:pPr>
          </w:p>
        </w:tc>
        <w:tc>
          <w:tcPr>
            <w:tcW w:w="760" w:type="dxa"/>
            <w:vAlign w:val="bottom"/>
            <w:gridSpan w:val="2"/>
          </w:tcPr>
          <w:p>
            <w:pPr>
              <w:ind w:left="40"/>
              <w:spacing w:after="0" w:line="181" w:lineRule="exact"/>
              <w:rPr>
                <w:sz w:val="20"/>
                <w:szCs w:val="20"/>
                <w:color w:val="auto"/>
              </w:rPr>
            </w:pPr>
            <w:r>
              <w:rPr>
                <w:rFonts w:ascii="Arial" w:cs="Arial" w:eastAsia="Arial" w:hAnsi="Arial"/>
                <w:sz w:val="18"/>
                <w:szCs w:val="18"/>
                <w:b w:val="1"/>
                <w:bCs w:val="1"/>
                <w:color w:val="auto"/>
                <w:w w:val="92"/>
              </w:rPr>
              <w:t>Treasury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70"/>
              <w:spacing w:after="0" w:line="18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5"/>
                <w:szCs w:val="15"/>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89"/>
              </w:rPr>
              <w:t>Noncontrolling</w:t>
            </w:r>
          </w:p>
        </w:tc>
        <w:tc>
          <w:tcPr>
            <w:tcW w:w="100" w:type="dxa"/>
            <w:vAlign w:val="bottom"/>
          </w:tcPr>
          <w:p>
            <w:pPr>
              <w:spacing w:after="0"/>
              <w:rPr>
                <w:sz w:val="15"/>
                <w:szCs w:val="15"/>
                <w:color w:val="auto"/>
              </w:rPr>
            </w:pPr>
          </w:p>
        </w:tc>
        <w:tc>
          <w:tcPr>
            <w:tcW w:w="8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50"/>
              <w:spacing w:after="0" w:line="176" w:lineRule="exact"/>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7"/>
              </w:rPr>
              <w:t>Loss, net of</w:t>
            </w:r>
          </w:p>
        </w:tc>
        <w:tc>
          <w:tcPr>
            <w:tcW w:w="80" w:type="dxa"/>
            <w:vAlign w:val="bottom"/>
          </w:tcPr>
          <w:p>
            <w:pPr>
              <w:spacing w:after="0"/>
              <w:rPr>
                <w:sz w:val="15"/>
                <w:szCs w:val="15"/>
                <w:color w:val="auto"/>
              </w:rPr>
            </w:pPr>
          </w:p>
        </w:tc>
        <w:tc>
          <w:tcPr>
            <w:tcW w:w="76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w w:val="93"/>
              </w:rPr>
              <w:t>Stock, at</w:t>
            </w:r>
          </w:p>
        </w:tc>
        <w:tc>
          <w:tcPr>
            <w:tcW w:w="80" w:type="dxa"/>
            <w:vAlign w:val="bottom"/>
          </w:tcPr>
          <w:p>
            <w:pPr>
              <w:spacing w:after="0"/>
              <w:rPr>
                <w:sz w:val="15"/>
                <w:szCs w:val="15"/>
                <w:color w:val="auto"/>
              </w:rPr>
            </w:pPr>
          </w:p>
        </w:tc>
        <w:tc>
          <w:tcPr>
            <w:tcW w:w="110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89"/>
              </w:rPr>
              <w:t>Stockholders'</w:t>
            </w: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4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Earnings</w:t>
            </w:r>
          </w:p>
        </w:tc>
        <w:tc>
          <w:tcPr>
            <w:tcW w:w="7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income taxes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cost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60"/>
        </w:trPr>
        <w:tc>
          <w:tcPr>
            <w:tcW w:w="1420" w:type="dxa"/>
            <w:vAlign w:val="bottom"/>
            <w:shd w:val="clear" w:color="auto" w:fill="CCEEFF"/>
          </w:tcPr>
          <w:p>
            <w:pPr>
              <w:ind w:left="20"/>
              <w:spacing w:after="0" w:line="160" w:lineRule="exact"/>
              <w:rPr>
                <w:sz w:val="20"/>
                <w:szCs w:val="20"/>
                <w:color w:val="auto"/>
              </w:rPr>
            </w:pPr>
            <w:r>
              <w:rPr>
                <w:rFonts w:ascii="Arial" w:cs="Arial" w:eastAsia="Arial" w:hAnsi="Arial"/>
                <w:sz w:val="18"/>
                <w:szCs w:val="18"/>
                <w:b w:val="1"/>
                <w:bCs w:val="1"/>
                <w:color w:val="auto"/>
              </w:rPr>
              <w:t>Balance at April</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30,995,271</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295,443</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$271,722</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$(40,846)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w w:val="95"/>
              </w:rPr>
              <w:t>(40,846)</w:t>
            </w: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526,629</w:t>
            </w: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$ 526,762</w:t>
            </w:r>
          </w:p>
        </w:tc>
        <w:tc>
          <w:tcPr>
            <w:tcW w:w="0" w:type="dxa"/>
            <w:vAlign w:val="bottom"/>
          </w:tcPr>
          <w:p>
            <w:pPr>
              <w:spacing w:after="0"/>
              <w:rPr>
                <w:sz w:val="1"/>
                <w:szCs w:val="1"/>
                <w:color w:val="auto"/>
              </w:rPr>
            </w:pPr>
          </w:p>
        </w:tc>
      </w:tr>
      <w:tr>
        <w:trPr>
          <w:trHeight w:val="243"/>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1, 2022</w:t>
            </w:r>
          </w:p>
        </w:tc>
        <w:tc>
          <w:tcPr>
            <w:tcW w:w="1020" w:type="dxa"/>
            <w:vAlign w:val="bottom"/>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200" w:type="dxa"/>
            <w:vAlign w:val="bottom"/>
            <w:gridSpan w:val="2"/>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240" w:type="dxa"/>
            <w:vAlign w:val="bottom"/>
            <w:gridSpan w:val="2"/>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19,613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19,613</w:t>
            </w:r>
          </w:p>
        </w:tc>
        <w:tc>
          <w:tcPr>
            <w:tcW w:w="0" w:type="dxa"/>
            <w:vAlign w:val="bottom"/>
          </w:tcPr>
          <w:p>
            <w:pPr>
              <w:spacing w:after="0"/>
              <w:rPr>
                <w:sz w:val="1"/>
                <w:szCs w:val="1"/>
                <w:color w:val="auto"/>
              </w:rPr>
            </w:pPr>
          </w:p>
        </w:tc>
      </w:tr>
      <w:tr>
        <w:trPr>
          <w:trHeight w:val="175"/>
        </w:trPr>
        <w:tc>
          <w:tcPr>
            <w:tcW w:w="1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Repurchase of</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(463,948)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0" w:type="dxa"/>
            <w:vAlign w:val="bottom"/>
          </w:tcPr>
          <w:p>
            <w:pPr>
              <w:spacing w:after="0"/>
              <w:rPr>
                <w:sz w:val="1"/>
                <w:szCs w:val="1"/>
                <w:color w:val="auto"/>
              </w:rPr>
            </w:pPr>
          </w:p>
        </w:tc>
      </w:tr>
      <w:tr>
        <w:trPr>
          <w:trHeight w:val="243"/>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0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Common stock</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issued under</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line="189" w:lineRule="exact"/>
              <w:rPr>
                <w:sz w:val="20"/>
                <w:szCs w:val="20"/>
                <w:color w:val="auto"/>
              </w:rPr>
            </w:pPr>
            <w:r>
              <w:rPr>
                <w:rFonts w:ascii="Arial" w:cs="Arial" w:eastAsia="Arial" w:hAnsi="Arial"/>
                <w:sz w:val="18"/>
                <w:szCs w:val="18"/>
                <w:color w:val="auto"/>
              </w:rPr>
              <w:t>Employee Stock</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020" w:type="dxa"/>
            <w:vAlign w:val="bottom"/>
          </w:tcPr>
          <w:p>
            <w:pPr>
              <w:jc w:val="right"/>
              <w:spacing w:after="0"/>
              <w:rPr>
                <w:sz w:val="20"/>
                <w:szCs w:val="20"/>
                <w:color w:val="auto"/>
              </w:rPr>
            </w:pPr>
            <w:r>
              <w:rPr>
                <w:rFonts w:ascii="Arial" w:cs="Arial" w:eastAsia="Arial" w:hAnsi="Arial"/>
                <w:sz w:val="18"/>
                <w:szCs w:val="18"/>
                <w:color w:val="auto"/>
              </w:rPr>
              <w:t>14,967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176"/>
        </w:trPr>
        <w:tc>
          <w:tcPr>
            <w:tcW w:w="1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Dividends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declared on</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stock,</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$0.08 per</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43"/>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10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Exercise of stock</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options, net of</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54,012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ind w:left="8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37"/>
        </w:trPr>
        <w:tc>
          <w:tcPr>
            <w:tcW w:w="142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4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Restricted stock</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units vesting, net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83,944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repurchases</w:t>
            </w:r>
          </w:p>
        </w:tc>
        <w:tc>
          <w:tcPr>
            <w:tcW w:w="10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Stock-based</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compensation</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ind w:left="8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7"/>
        </w:trPr>
        <w:tc>
          <w:tcPr>
            <w:tcW w:w="1420" w:type="dxa"/>
            <w:vAlign w:val="bottom"/>
          </w:tcPr>
          <w:p>
            <w:pPr>
              <w:ind w:left="20"/>
              <w:spacing w:after="0"/>
              <w:rPr>
                <w:sz w:val="20"/>
                <w:szCs w:val="20"/>
                <w:color w:val="auto"/>
              </w:rPr>
            </w:pPr>
            <w:r>
              <w:rPr>
                <w:rFonts w:ascii="Arial" w:cs="Arial" w:eastAsia="Arial" w:hAnsi="Arial"/>
                <w:sz w:val="18"/>
                <w:szCs w:val="18"/>
                <w:color w:val="auto"/>
              </w:rPr>
              <w:t>expense</w:t>
            </w: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4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comprehensive</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w w:val="95"/>
              </w:rPr>
              <w:t>(37,322)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(37,322)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(37,322)</w:t>
            </w:r>
          </w:p>
        </w:tc>
        <w:tc>
          <w:tcPr>
            <w:tcW w:w="0" w:type="dxa"/>
            <w:vAlign w:val="bottom"/>
          </w:tcPr>
          <w:p>
            <w:pPr>
              <w:spacing w:after="0"/>
              <w:rPr>
                <w:sz w:val="1"/>
                <w:szCs w:val="1"/>
                <w:color w:val="auto"/>
              </w:rPr>
            </w:pPr>
          </w:p>
        </w:tc>
      </w:tr>
      <w:tr>
        <w:trPr>
          <w:trHeight w:val="229"/>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net of taxes</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2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Balance at June</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30,684,246</w:t>
            </w: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307</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8"/>
              </w:rPr>
              <w:t>286,901</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288,868</w:t>
            </w:r>
          </w:p>
        </w:tc>
        <w:tc>
          <w:tcPr>
            <w:tcW w:w="74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ind w:left="480"/>
              <w:spacing w:after="0"/>
              <w:rPr>
                <w:sz w:val="20"/>
                <w:szCs w:val="20"/>
                <w:color w:val="auto"/>
              </w:rPr>
            </w:pPr>
            <w:r>
              <w:rPr>
                <w:rFonts w:ascii="Arial" w:cs="Arial" w:eastAsia="Arial" w:hAnsi="Arial"/>
                <w:sz w:val="18"/>
                <w:szCs w:val="18"/>
                <w:color w:val="auto"/>
                <w:w w:val="95"/>
              </w:rPr>
              <w:t>(78,168)</w:t>
            </w: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497,908</w:t>
            </w:r>
          </w:p>
        </w:tc>
        <w:tc>
          <w:tcPr>
            <w:tcW w:w="2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133</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$ 498,041</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30, 2022</w:t>
            </w:r>
          </w:p>
        </w:tc>
        <w:tc>
          <w:tcPr>
            <w:tcW w:w="102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1"/>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Six Months Ended June 30, 2022</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104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7"/>
              </w:rPr>
              <w:t>Shares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Common</w:t>
            </w:r>
          </w:p>
        </w:tc>
        <w:tc>
          <w:tcPr>
            <w:tcW w:w="80" w:type="dxa"/>
            <w:vAlign w:val="bottom"/>
          </w:tcPr>
          <w:p>
            <w:pPr>
              <w:spacing w:after="0"/>
              <w:rPr>
                <w:sz w:val="15"/>
                <w:szCs w:val="1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2"/>
              </w:rPr>
              <w:t>Common</w:t>
            </w:r>
          </w:p>
        </w:tc>
        <w:tc>
          <w:tcPr>
            <w:tcW w:w="80" w:type="dxa"/>
            <w:vAlign w:val="bottom"/>
          </w:tcPr>
          <w:p>
            <w:pPr>
              <w:spacing w:after="0"/>
              <w:rPr>
                <w:sz w:val="15"/>
                <w:szCs w:val="15"/>
                <w:color w:val="auto"/>
              </w:rPr>
            </w:pPr>
          </w:p>
        </w:tc>
        <w:tc>
          <w:tcPr>
            <w:tcW w:w="860" w:type="dxa"/>
            <w:vAlign w:val="bottom"/>
            <w:gridSpan w:val="2"/>
          </w:tcPr>
          <w:p>
            <w:pPr>
              <w:ind w:left="20"/>
              <w:spacing w:after="0" w:line="181" w:lineRule="exact"/>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Retained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5"/>
                <w:szCs w:val="15"/>
                <w:color w:val="auto"/>
              </w:rPr>
            </w:pPr>
          </w:p>
        </w:tc>
        <w:tc>
          <w:tcPr>
            <w:tcW w:w="82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auto"/>
                <w:w w:val="97"/>
              </w:rPr>
              <w:t>Treasury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50"/>
              <w:spacing w:after="0" w:line="18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5"/>
                <w:szCs w:val="15"/>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0"/>
              </w:rPr>
              <w:t>Noncontrolling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70"/>
              <w:spacing w:after="0" w:line="176"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5"/>
                <w:szCs w:val="15"/>
                <w:color w:val="auto"/>
              </w:rPr>
            </w:pPr>
          </w:p>
        </w:tc>
        <w:tc>
          <w:tcPr>
            <w:tcW w:w="82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w w:val="95"/>
              </w:rPr>
              <w:t>Stock, at</w:t>
            </w:r>
          </w:p>
        </w:tc>
        <w:tc>
          <w:tcPr>
            <w:tcW w:w="80" w:type="dxa"/>
            <w:vAlign w:val="bottom"/>
          </w:tcPr>
          <w:p>
            <w:pPr>
              <w:spacing w:after="0"/>
              <w:rPr>
                <w:sz w:val="15"/>
                <w:szCs w:val="15"/>
                <w:color w:val="auto"/>
              </w:rPr>
            </w:pPr>
          </w:p>
        </w:tc>
        <w:tc>
          <w:tcPr>
            <w:tcW w:w="110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w w:val="87"/>
              </w:rPr>
              <w:t>Stockholders'</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8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Earnings</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cost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Interest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160"/>
        </w:trPr>
        <w:tc>
          <w:tcPr>
            <w:tcW w:w="1880" w:type="dxa"/>
            <w:vAlign w:val="bottom"/>
            <w:shd w:val="clear" w:color="auto" w:fill="CCEEFF"/>
          </w:tcPr>
          <w:p>
            <w:pPr>
              <w:ind w:left="20"/>
              <w:spacing w:after="0" w:line="160" w:lineRule="exact"/>
              <w:rPr>
                <w:sz w:val="20"/>
                <w:szCs w:val="20"/>
                <w:color w:val="auto"/>
              </w:rPr>
            </w:pPr>
            <w:r>
              <w:rPr>
                <w:rFonts w:ascii="Arial" w:cs="Arial" w:eastAsia="Arial" w:hAnsi="Arial"/>
                <w:sz w:val="18"/>
                <w:szCs w:val="18"/>
                <w:b w:val="1"/>
                <w:bCs w:val="1"/>
                <w:color w:val="auto"/>
                <w:w w:val="99"/>
              </w:rPr>
              <w:t>Balance at January 1,</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31,130,143</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297,975</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$ 260,047</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563,742</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563,875</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1040" w:type="dxa"/>
            <w:vAlign w:val="bottom"/>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20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00" w:type="dxa"/>
            <w:vAlign w:val="bottom"/>
            <w:gridSpan w:val="2"/>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33,778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33,778</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Repurchase of common</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(634,520)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(11,727)</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(11,733)</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0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Common stock issued</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under Employee Stock</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17,872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7"/>
        </w:trPr>
        <w:tc>
          <w:tcPr>
            <w:tcW w:w="18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8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Dividends declared on</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stock, net,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$0.16 per share</w:t>
            </w:r>
          </w:p>
        </w:tc>
        <w:tc>
          <w:tcPr>
            <w:tcW w:w="10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Exercise of stock</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options, net of</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60,976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(1,039)</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37"/>
        </w:trPr>
        <w:tc>
          <w:tcPr>
            <w:tcW w:w="188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8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Restricted stock units</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net of</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109,775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w:t>
            </w:r>
          </w:p>
        </w:tc>
        <w:tc>
          <w:tcPr>
            <w:tcW w:w="10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Stock-based</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1,346</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w w:val="99"/>
              </w:rPr>
              <w:t>compensation expense</w:t>
            </w: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 comprehensive</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(83,577)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(83,577)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(83,577)</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net of taxes</w:t>
            </w: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8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 June 30,</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30,684,246</w:t>
            </w: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307</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286,901</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$ 288,868</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(78,168)</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497,908</w:t>
            </w:r>
          </w:p>
        </w:tc>
        <w:tc>
          <w:tcPr>
            <w:tcW w:w="30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133</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5"/>
              </w:rPr>
              <w:t>498,041</w:t>
            </w:r>
          </w:p>
        </w:tc>
        <w:tc>
          <w:tcPr>
            <w:tcW w:w="0" w:type="dxa"/>
            <w:vAlign w:val="bottom"/>
          </w:tcPr>
          <w:p>
            <w:pPr>
              <w:spacing w:after="0"/>
              <w:rPr>
                <w:sz w:val="1"/>
                <w:szCs w:val="1"/>
                <w:color w:val="auto"/>
              </w:rPr>
            </w:pPr>
          </w:p>
        </w:tc>
      </w:tr>
      <w:tr>
        <w:trPr>
          <w:trHeight w:val="216"/>
        </w:trPr>
        <w:tc>
          <w:tcPr>
            <w:tcW w:w="188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104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2"/>
          <w:szCs w:val="22"/>
          <w:b w:val="1"/>
          <w:bCs w:val="1"/>
          <w:color w:val="auto"/>
        </w:rPr>
        <w:t>Consolidated Statements of Cash Flows (unaudited)</w:t>
      </w:r>
    </w:p>
    <w:p>
      <w:pPr>
        <w:ind w:left="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p>
      <w:pPr>
        <w:jc w:val="center"/>
        <w:ind w:left="8500"/>
        <w:spacing w:after="0"/>
        <w:rPr>
          <w:sz w:val="20"/>
          <w:szCs w:val="20"/>
          <w:color w:val="auto"/>
        </w:rPr>
      </w:pPr>
      <w:r>
        <w:rPr>
          <w:rFonts w:ascii="Arial" w:cs="Arial" w:eastAsia="Arial" w:hAnsi="Arial"/>
          <w:sz w:val="18"/>
          <w:szCs w:val="18"/>
          <w:b w:val="1"/>
          <w:bCs w:val="1"/>
          <w:color w:val="auto"/>
        </w:rPr>
        <w:t>Six Months Ended</w:t>
      </w:r>
    </w:p>
    <w:p>
      <w:pPr>
        <w:jc w:val="center"/>
        <w:ind w:left="8500"/>
        <w:spacing w:after="0"/>
        <w:rPr>
          <w:sz w:val="20"/>
          <w:szCs w:val="20"/>
          <w:color w:val="auto"/>
        </w:rPr>
      </w:pPr>
      <w:r>
        <w:rPr>
          <w:rFonts w:ascii="Arial" w:cs="Arial" w:eastAsia="Arial" w:hAnsi="Arial"/>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5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5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42,976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33,778</w:t>
            </w:r>
          </w:p>
        </w:tc>
      </w:tr>
      <w:tr>
        <w:trPr>
          <w:trHeight w:val="230"/>
        </w:trPr>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85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1,790</w:t>
            </w:r>
          </w:p>
        </w:tc>
      </w:tr>
      <w:tr>
        <w:trPr>
          <w:trHeight w:val="236"/>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29"/>
        </w:trPr>
        <w:tc>
          <w:tcPr>
            <w:tcW w:w="8520" w:type="dxa"/>
            <w:vAlign w:val="bottom"/>
          </w:tcPr>
          <w:p>
            <w:pPr>
              <w:ind w:left="200"/>
              <w:spacing w:after="0"/>
              <w:rPr>
                <w:sz w:val="20"/>
                <w:szCs w:val="20"/>
                <w:color w:val="auto"/>
              </w:rPr>
            </w:pPr>
            <w:r>
              <w:rPr>
                <w:rFonts w:ascii="Arial" w:cs="Arial" w:eastAsia="Arial" w:hAnsi="Arial"/>
                <w:sz w:val="18"/>
                <w:szCs w:val="18"/>
                <w:color w:val="auto"/>
              </w:rPr>
              <w:t>Deferred income tax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43"/>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r>
      <w:tr>
        <w:trPr>
          <w:trHeight w:val="229"/>
        </w:trPr>
        <w:tc>
          <w:tcPr>
            <w:tcW w:w="85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1,346</w:t>
            </w:r>
          </w:p>
        </w:tc>
      </w:tr>
      <w:tr>
        <w:trPr>
          <w:trHeight w:val="229"/>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amortization on loan fees, costs, premiums, and discounts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188"/>
        </w:trPr>
        <w:tc>
          <w:tcPr>
            <w:tcW w:w="8520" w:type="dxa"/>
            <w:vAlign w:val="bottom"/>
          </w:tcPr>
          <w:p>
            <w:pPr>
              <w:ind w:left="200"/>
              <w:spacing w:after="0" w:line="189" w:lineRule="exact"/>
              <w:rPr>
                <w:sz w:val="20"/>
                <w:szCs w:val="20"/>
                <w:color w:val="auto"/>
              </w:rPr>
            </w:pPr>
            <w:r>
              <w:rPr>
                <w:rFonts w:ascii="Arial" w:cs="Arial" w:eastAsia="Arial" w:hAnsi="Arial"/>
                <w:sz w:val="18"/>
                <w:szCs w:val="18"/>
                <w:color w:val="auto"/>
                <w:w w:val="93"/>
              </w:rPr>
              <w:t>Net amortization on securities premiums, discounts, and net unrealized loss on securities transferred to held-to-</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85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2,537</w:t>
            </w:r>
          </w:p>
        </w:tc>
      </w:tr>
      <w:tr>
        <w:trPr>
          <w:trHeight w:val="229"/>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OTTI gain recognized in earnings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520" w:type="dxa"/>
            <w:vAlign w:val="bottom"/>
          </w:tcPr>
          <w:p>
            <w:pPr>
              <w:ind w:left="200"/>
              <w:spacing w:after="0"/>
              <w:rPr>
                <w:sz w:val="20"/>
                <w:szCs w:val="20"/>
                <w:color w:val="auto"/>
              </w:rPr>
            </w:pPr>
            <w:r>
              <w:rPr>
                <w:rFonts w:ascii="Arial" w:cs="Arial" w:eastAsia="Arial" w:hAnsi="Arial"/>
                <w:sz w:val="18"/>
                <w:szCs w:val="18"/>
                <w:color w:val="auto"/>
              </w:rPr>
              <w:t>Net (income) loss from equity method investments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36"/>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on sale of securities available for sale</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9"/>
        </w:trPr>
        <w:tc>
          <w:tcPr>
            <w:tcW w:w="8520" w:type="dxa"/>
            <w:vAlign w:val="bottom"/>
          </w:tcPr>
          <w:p>
            <w:pPr>
              <w:ind w:left="200"/>
              <w:spacing w:after="0"/>
              <w:rPr>
                <w:sz w:val="20"/>
                <w:szCs w:val="20"/>
                <w:color w:val="auto"/>
              </w:rPr>
            </w:pPr>
            <w:r>
              <w:rPr>
                <w:rFonts w:ascii="Arial" w:cs="Arial" w:eastAsia="Arial" w:hAnsi="Arial"/>
                <w:sz w:val="18"/>
                <w:szCs w:val="18"/>
                <w:color w:val="auto"/>
              </w:rPr>
              <w:t>Net gain on sale of loans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43"/>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on redemption of bank-owned life insurance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29"/>
        </w:trPr>
        <w:tc>
          <w:tcPr>
            <w:tcW w:w="8520" w:type="dxa"/>
            <w:vAlign w:val="bottom"/>
          </w:tcPr>
          <w:p>
            <w:pPr>
              <w:ind w:left="200"/>
              <w:spacing w:after="0"/>
              <w:rPr>
                <w:sz w:val="20"/>
                <w:szCs w:val="20"/>
                <w:color w:val="auto"/>
              </w:rPr>
            </w:pPr>
            <w:r>
              <w:rPr>
                <w:rFonts w:ascii="Arial" w:cs="Arial" w:eastAsia="Arial" w:hAnsi="Arial"/>
                <w:sz w:val="18"/>
                <w:szCs w:val="18"/>
                <w:color w:val="auto"/>
              </w:rPr>
              <w:t>Proceeds from sales of loans held for sale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10,919</w:t>
            </w:r>
          </w:p>
        </w:tc>
      </w:tr>
      <w:tr>
        <w:trPr>
          <w:trHeight w:val="230"/>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Originations of loans held for sale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r>
      <w:tr>
        <w:trPr>
          <w:trHeight w:val="237"/>
        </w:trPr>
        <w:tc>
          <w:tcPr>
            <w:tcW w:w="8520" w:type="dxa"/>
            <w:vAlign w:val="bottom"/>
          </w:tcPr>
          <w:p>
            <w:pPr>
              <w:ind w:left="200"/>
              <w:spacing w:after="0"/>
              <w:rPr>
                <w:sz w:val="20"/>
                <w:szCs w:val="20"/>
                <w:color w:val="auto"/>
              </w:rPr>
            </w:pPr>
            <w:r>
              <w:rPr>
                <w:rFonts w:ascii="Arial" w:cs="Arial" w:eastAsia="Arial" w:hAnsi="Arial"/>
                <w:sz w:val="18"/>
                <w:szCs w:val="18"/>
                <w:color w:val="auto"/>
              </w:rPr>
              <w:t>Increase in cash surrender value of bank-owned life insurance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36"/>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on repurchase of subordinated debt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20" w:type="dxa"/>
            <w:vAlign w:val="bottom"/>
          </w:tcPr>
          <w:p>
            <w:pPr>
              <w:ind w:left="200"/>
              <w:spacing w:after="0"/>
              <w:rPr>
                <w:sz w:val="20"/>
                <w:szCs w:val="20"/>
                <w:color w:val="auto"/>
              </w:rPr>
            </w:pPr>
            <w:r>
              <w:rPr>
                <w:rFonts w:ascii="Arial" w:cs="Arial" w:eastAsia="Arial" w:hAnsi="Arial"/>
                <w:sz w:val="18"/>
                <w:szCs w:val="18"/>
                <w:color w:val="auto"/>
              </w:rPr>
              <w:t>Increase in accrued interest and dividends receivable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(2,181)</w:t>
            </w:r>
          </w:p>
        </w:tc>
      </w:tr>
      <w:tr>
        <w:trPr>
          <w:trHeight w:val="243"/>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other assets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21,128</w:t>
            </w:r>
          </w:p>
        </w:tc>
      </w:tr>
      <w:tr>
        <w:trPr>
          <w:trHeight w:val="230"/>
        </w:trPr>
        <w:tc>
          <w:tcPr>
            <w:tcW w:w="8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Decrease in accrued expenses and other liabilities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r>
      <w:tr>
        <w:trPr>
          <w:trHeight w:val="223"/>
        </w:trPr>
        <w:tc>
          <w:tcPr>
            <w:tcW w:w="85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62,113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68,093</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in loans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(346,930)</w:t>
            </w:r>
          </w:p>
        </w:tc>
      </w:tr>
      <w:tr>
        <w:trPr>
          <w:trHeight w:val="237"/>
        </w:trPr>
        <w:tc>
          <w:tcPr>
            <w:tcW w:w="8520" w:type="dxa"/>
            <w:vAlign w:val="bottom"/>
          </w:tcPr>
          <w:p>
            <w:pPr>
              <w:ind w:left="200"/>
              <w:spacing w:after="0"/>
              <w:rPr>
                <w:sz w:val="20"/>
                <w:szCs w:val="20"/>
                <w:color w:val="auto"/>
              </w:rPr>
            </w:pPr>
            <w:r>
              <w:rPr>
                <w:rFonts w:ascii="Arial" w:cs="Arial" w:eastAsia="Arial" w:hAnsi="Arial"/>
                <w:sz w:val="18"/>
                <w:szCs w:val="18"/>
                <w:color w:val="auto"/>
              </w:rPr>
              <w:t>Purchase of securities available for sale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(623,371)</w:t>
            </w:r>
          </w:p>
        </w:tc>
      </w:tr>
      <w:tr>
        <w:trPr>
          <w:trHeight w:val="236"/>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securities held-to-maturity</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(358,776)</w:t>
            </w:r>
          </w:p>
        </w:tc>
      </w:tr>
      <w:tr>
        <w:trPr>
          <w:trHeight w:val="230"/>
        </w:trPr>
        <w:tc>
          <w:tcPr>
            <w:tcW w:w="8520" w:type="dxa"/>
            <w:vAlign w:val="bottom"/>
          </w:tcPr>
          <w:p>
            <w:pPr>
              <w:ind w:left="200"/>
              <w:spacing w:after="0"/>
              <w:rPr>
                <w:sz w:val="20"/>
                <w:szCs w:val="20"/>
                <w:color w:val="auto"/>
              </w:rPr>
            </w:pPr>
            <w:r>
              <w:rPr>
                <w:rFonts w:ascii="Arial" w:cs="Arial" w:eastAsia="Arial" w:hAnsi="Arial"/>
                <w:sz w:val="18"/>
                <w:szCs w:val="18"/>
                <w:color w:val="auto"/>
              </w:rPr>
              <w:t>Proceeds from sales of securities available for sale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174,537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35,951</w:t>
            </w:r>
          </w:p>
        </w:tc>
      </w:tr>
      <w:tr>
        <w:trPr>
          <w:trHeight w:val="243"/>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principal payments and redemptions of securities available for sale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224,026</w:t>
            </w:r>
          </w:p>
        </w:tc>
      </w:tr>
      <w:tr>
        <w:trPr>
          <w:trHeight w:val="230"/>
        </w:trPr>
        <w:tc>
          <w:tcPr>
            <w:tcW w:w="8520" w:type="dxa"/>
            <w:vAlign w:val="bottom"/>
          </w:tcPr>
          <w:p>
            <w:pPr>
              <w:ind w:left="200"/>
              <w:spacing w:after="0"/>
              <w:rPr>
                <w:sz w:val="20"/>
                <w:szCs w:val="20"/>
                <w:color w:val="auto"/>
              </w:rPr>
            </w:pPr>
            <w:r>
              <w:rPr>
                <w:rFonts w:ascii="Arial" w:cs="Arial" w:eastAsia="Arial" w:hAnsi="Arial"/>
                <w:sz w:val="18"/>
                <w:szCs w:val="18"/>
                <w:color w:val="auto"/>
              </w:rPr>
              <w:t>Maturities, principal payments and redemptions of securities held-to-maturity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79,570</w:t>
            </w:r>
          </w:p>
        </w:tc>
      </w:tr>
      <w:tr>
        <w:trPr>
          <w:trHeight w:val="230"/>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resell agreements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r>
      <w:tr>
        <w:trPr>
          <w:trHeight w:val="237"/>
        </w:trPr>
        <w:tc>
          <w:tcPr>
            <w:tcW w:w="8520" w:type="dxa"/>
            <w:vAlign w:val="bottom"/>
          </w:tcPr>
          <w:p>
            <w:pPr>
              <w:ind w:left="200"/>
              <w:spacing w:after="0"/>
              <w:rPr>
                <w:sz w:val="20"/>
                <w:szCs w:val="20"/>
                <w:color w:val="auto"/>
              </w:rPr>
            </w:pPr>
            <w:r>
              <w:rPr>
                <w:rFonts w:ascii="Arial" w:cs="Arial" w:eastAsia="Arial" w:hAnsi="Arial"/>
                <w:sz w:val="18"/>
                <w:szCs w:val="18"/>
                <w:color w:val="auto"/>
              </w:rPr>
              <w:t>Decrease (increase) in equity method investments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36"/>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FHLBNY stock, net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8520" w:type="dxa"/>
            <w:vAlign w:val="bottom"/>
          </w:tcPr>
          <w:p>
            <w:pPr>
              <w:ind w:left="200"/>
              <w:spacing w:after="0"/>
              <w:rPr>
                <w:sz w:val="20"/>
                <w:szCs w:val="20"/>
                <w:color w:val="auto"/>
              </w:rPr>
            </w:pPr>
            <w:r>
              <w:rPr>
                <w:rFonts w:ascii="Arial" w:cs="Arial" w:eastAsia="Arial" w:hAnsi="Arial"/>
                <w:sz w:val="18"/>
                <w:szCs w:val="18"/>
                <w:color w:val="auto"/>
              </w:rPr>
              <w:t>Purchases of premises and equipment,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30"/>
        </w:trPr>
        <w:tc>
          <w:tcPr>
            <w:tcW w:w="8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redemption of bank-owned life insurance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23"/>
        </w:trPr>
        <w:tc>
          <w:tcPr>
            <w:tcW w:w="8520" w:type="dxa"/>
            <w:vAlign w:val="bottom"/>
          </w:tcPr>
          <w:p>
            <w:pPr>
              <w:ind w:left="10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(983,571)</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8520" w:type="dxa"/>
            <w:vAlign w:val="bottom"/>
          </w:tcPr>
          <w:p>
            <w:pPr>
              <w:ind w:left="200"/>
              <w:spacing w:after="0"/>
              <w:rPr>
                <w:sz w:val="20"/>
                <w:szCs w:val="20"/>
                <w:color w:val="auto"/>
              </w:rPr>
            </w:pPr>
            <w:r>
              <w:rPr>
                <w:rFonts w:ascii="Arial" w:cs="Arial" w:eastAsia="Arial" w:hAnsi="Arial"/>
                <w:sz w:val="18"/>
                <w:szCs w:val="18"/>
                <w:color w:val="auto"/>
              </w:rPr>
              <w:t>Net increase in deposits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299,614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934,912</w:t>
            </w:r>
          </w:p>
        </w:tc>
      </w:tr>
      <w:tr>
        <w:trPr>
          <w:trHeight w:val="236"/>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in other borrowings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20" w:type="dxa"/>
            <w:vAlign w:val="bottom"/>
          </w:tcPr>
          <w:p>
            <w:pPr>
              <w:ind w:left="200"/>
              <w:spacing w:after="0"/>
              <w:rPr>
                <w:sz w:val="20"/>
                <w:szCs w:val="20"/>
                <w:color w:val="auto"/>
              </w:rPr>
            </w:pPr>
            <w:r>
              <w:rPr>
                <w:rFonts w:ascii="Arial" w:cs="Arial" w:eastAsia="Arial" w:hAnsi="Arial"/>
                <w:sz w:val="18"/>
                <w:szCs w:val="18"/>
                <w:color w:val="auto"/>
              </w:rPr>
              <w:t>Net decrease in FHLBNY advances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subordinated debt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8520" w:type="dxa"/>
            <w:vAlign w:val="bottom"/>
          </w:tcPr>
          <w:p>
            <w:pPr>
              <w:ind w:left="558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8"/>
        </w:trPr>
        <w:tc>
          <w:tcPr>
            <w:tcW w:w="8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8520" w:type="dxa"/>
            <w:vAlign w:val="bottom"/>
          </w:tcPr>
          <w:p>
            <w:pPr>
              <w:ind w:left="200"/>
              <w:spacing w:after="0"/>
              <w:rPr>
                <w:sz w:val="20"/>
                <w:szCs w:val="20"/>
                <w:color w:val="auto"/>
              </w:rPr>
            </w:pPr>
            <w:r>
              <w:rPr>
                <w:rFonts w:ascii="Arial" w:cs="Arial" w:eastAsia="Arial" w:hAnsi="Arial"/>
                <w:sz w:val="18"/>
                <w:szCs w:val="18"/>
                <w:color w:val="auto"/>
              </w:rPr>
              <w:t>Common stock issued under Employee Stock Purchase Plan</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3"/>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shares</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(11,733)</w:t>
            </w:r>
          </w:p>
        </w:tc>
        <w:tc>
          <w:tcPr>
            <w:tcW w:w="0" w:type="dxa"/>
            <w:vAlign w:val="bottom"/>
          </w:tcPr>
          <w:p>
            <w:pPr>
              <w:spacing w:after="0"/>
              <w:rPr>
                <w:sz w:val="1"/>
                <w:szCs w:val="1"/>
                <w:color w:val="auto"/>
              </w:rPr>
            </w:pPr>
          </w:p>
        </w:tc>
      </w:tr>
      <w:tr>
        <w:trPr>
          <w:trHeight w:val="229"/>
        </w:trPr>
        <w:tc>
          <w:tcPr>
            <w:tcW w:w="852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related to repurchase of common stock for equity awards</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23"/>
        </w:trPr>
        <w:tc>
          <w:tcPr>
            <w:tcW w:w="8520" w:type="dxa"/>
            <w:vAlign w:val="bottom"/>
          </w:tcPr>
          <w:p>
            <w:pPr>
              <w:ind w:left="10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(64,831)</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917,531</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Increase in cash, cash equivalents, and restricted cash</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330,485</w:t>
            </w:r>
          </w:p>
        </w:tc>
        <w:tc>
          <w:tcPr>
            <w:tcW w:w="0" w:type="dxa"/>
            <w:vAlign w:val="bottom"/>
          </w:tcPr>
          <w:p>
            <w:pPr>
              <w:spacing w:after="0"/>
              <w:rPr>
                <w:sz w:val="1"/>
                <w:szCs w:val="1"/>
                <w:color w:val="auto"/>
              </w:rPr>
            </w:pPr>
          </w:p>
        </w:tc>
      </w:tr>
      <w:tr>
        <w:trPr>
          <w:trHeight w:val="25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332,538</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 during the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36,150</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230"/>
        </w:trPr>
        <w:tc>
          <w:tcPr>
            <w:tcW w:w="8520" w:type="dxa"/>
            <w:vAlign w:val="bottom"/>
          </w:tcPr>
          <w:p>
            <w:pPr>
              <w:ind w:left="200"/>
              <w:spacing w:after="0"/>
              <w:rPr>
                <w:sz w:val="20"/>
                <w:szCs w:val="20"/>
                <w:color w:val="auto"/>
              </w:rPr>
            </w:pPr>
            <w:r>
              <w:rPr>
                <w:rFonts w:ascii="Arial" w:cs="Arial" w:eastAsia="Arial" w:hAnsi="Arial"/>
                <w:sz w:val="18"/>
                <w:szCs w:val="18"/>
                <w:color w:val="auto"/>
              </w:rPr>
              <w:t>Income taxes paid during the period</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transferred from held-for-sale</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20" w:type="dxa"/>
            <w:vAlign w:val="bottom"/>
          </w:tcPr>
          <w:p>
            <w:pPr>
              <w:ind w:left="200"/>
              <w:spacing w:after="0"/>
              <w:rPr>
                <w:sz w:val="20"/>
                <w:szCs w:val="20"/>
                <w:color w:val="auto"/>
              </w:rPr>
            </w:pPr>
            <w:r>
              <w:rPr>
                <w:rFonts w:ascii="Arial" w:cs="Arial" w:eastAsia="Arial" w:hAnsi="Arial"/>
                <w:sz w:val="18"/>
                <w:szCs w:val="18"/>
                <w:color w:val="auto"/>
              </w:rPr>
              <w:t>Loans transferred to held-for-sale</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8,140</w:t>
            </w:r>
          </w:p>
        </w:tc>
        <w:tc>
          <w:tcPr>
            <w:tcW w:w="0" w:type="dxa"/>
            <w:vAlign w:val="bottom"/>
          </w:tcPr>
          <w:p>
            <w:pPr>
              <w:spacing w:after="0"/>
              <w:rPr>
                <w:sz w:val="1"/>
                <w:szCs w:val="1"/>
                <w:color w:val="auto"/>
              </w:rPr>
            </w:pPr>
          </w:p>
        </w:tc>
      </w:tr>
      <w:tr>
        <w:trPr>
          <w:trHeight w:val="236"/>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available for sale transferred to held-to-maturity</w:t>
            </w: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260,112</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9"/>
          <w:szCs w:val="19"/>
          <w:b w:val="1"/>
          <w:bCs w:val="1"/>
          <w:color w:val="auto"/>
        </w:rPr>
        <w:t>BASIS OF PRESENTATION AND CONSOLIDATION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Accounting and Changes in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accounting and reporting policies of the Company conform to accounting principles generally accepted in the United States of America, or GAAP and predominant practices within the banking industry. The Company uses the accrual basis of accounting for financial statement purposes.</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U.S. generally accepted accounting principles (“GAAP”) for interim financial information and with the instructions to Form 10-Q and Article 10 of Regulation S-X. The annualized results of operations for the three and six months ended June 30, 2023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All significant inter-company transactions and balances are eliminated in consolidation. In the opinion of management, all adjustments necessary for a fair presentation of the consolidated financial position and the results of operations as of the dates and for the interim periods presented have been included. These unaudited consolidated financial statements should be read in conjunction with the audited consolidated financial statements and related notes appearing in the Annual Report on Form 10-K for the year ended December 31, 2022 (the “2022 Annual Report”). A more detailed description of our accounting policies is included in the 2022 Annual Report, which remain significantly unchanged except for the Allowance for Credit Losses ("ACL") policy, resulting from the adoption of the Accounting Standard Update ("ASU") No. 2016-13, Financial Instruments - Credit Losses (Topic 326): Measurement of Credit Losses on Financial Instruments and its amendments, (“ASU No. 2016-13”) as of January 1, 2023, as well as the addition of accounting policies related to treasury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Treasury stock </w:t>
      </w:r>
      <w:r>
        <w:rPr>
          <w:rFonts w:ascii="Arial" w:cs="Arial" w:eastAsia="Arial" w:hAnsi="Arial"/>
          <w:sz w:val="18"/>
          <w:szCs w:val="18"/>
          <w:color w:val="auto"/>
        </w:rPr>
        <w:t>- Treasury stock is carried at cost. Shares issued out of treasury are valued based on the weighted average cost.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significant changes to our accounting policies, or the estimates made pursuant to those policies as described in our 2022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2016-13, Financial Instruments - Credit Losses (Topic 326) - Measurement of Credit Losses on Financial Instruments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adopted ASU No. 2016-13 inclusive of subsequent amendments as of January 1, 2023. ASU No. 2016-13 amends guidance on reporting credit losses for assets held on an amortized cost basis and available-for-sale debt securities, as well as off balance sheet credit exposures. For assets held at amortized cost, ASU No. 2016-13 eliminates the probable initial recognition threshold in current GAAP and, instead, requires an entity to reflect its current estimate of all expected credit losses. The amendments in ASU No. 2016-13 replace the incurred loss impairment methodology with a methodology that reflects the measurement of expected credit losses based on relevant information about past events, including historical loss experience, current conditions, and reasonable and supportable forecasts that affect the collectability of the reported amounts. The allowance for credit losses is a valuation account that is deducted from the amortized cost basis of financial assets to present the net amount expected to be collected. For available for sale debt securities, credit losses will be presented as an allowance rather than as a write-down. For the Company, the amendments affected loans, debt securities, off-balance sheet credit exposures, and any other financial assets not excluded from the scope that have the contractual right to receive cash.</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adopted ASU No. 2016-13 on a modified retrospective basis with a cumulative-effect adjustment to retained earnings as of the adoption date and, accordingly, the Company recorded a net of tax decrease of $17.8 million to retained earnings as of January 1, 2023. The results for prior period amounts continue to be reported in accordance with previously applicable GAAP.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illustrates the impact of the adoption of ASU 2016-13.</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January 1, 2023</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178"/>
        </w:trPr>
        <w:tc>
          <w:tcPr>
            <w:tcW w:w="6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ind w:right="30"/>
              <w:spacing w:after="0" w:line="177" w:lineRule="exact"/>
              <w:rPr>
                <w:sz w:val="20"/>
                <w:szCs w:val="20"/>
                <w:color w:val="auto"/>
              </w:rPr>
            </w:pPr>
            <w:r>
              <w:rPr>
                <w:rFonts w:ascii="Arial" w:cs="Arial" w:eastAsia="Arial" w:hAnsi="Arial"/>
                <w:sz w:val="18"/>
                <w:szCs w:val="18"/>
                <w:b w:val="1"/>
                <w:bCs w:val="1"/>
                <w:color w:val="auto"/>
                <w:w w:val="89"/>
              </w:rPr>
              <w:t>Net Adjustment to</w:t>
            </w:r>
          </w:p>
        </w:tc>
      </w:tr>
      <w:tr>
        <w:trPr>
          <w:trHeight w:val="234"/>
        </w:trPr>
        <w:tc>
          <w:tcPr>
            <w:tcW w:w="6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Gross Adjustment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Tax Impact</w:t>
            </w:r>
          </w:p>
        </w:tc>
        <w:tc>
          <w:tcPr>
            <w:tcW w:w="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6"/>
              </w:rPr>
              <w:t>Retained Earnings</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6180" w:type="dxa"/>
            <w:vAlign w:val="bottom"/>
          </w:tcPr>
          <w:p>
            <w:pPr>
              <w:ind w:left="240"/>
              <w:spacing w:after="0"/>
              <w:rPr>
                <w:sz w:val="20"/>
                <w:szCs w:val="20"/>
                <w:color w:val="auto"/>
              </w:rPr>
            </w:pPr>
            <w:r>
              <w:rPr>
                <w:rFonts w:ascii="Arial" w:cs="Arial" w:eastAsia="Arial" w:hAnsi="Arial"/>
                <w:sz w:val="18"/>
                <w:szCs w:val="18"/>
                <w:color w:val="auto"/>
              </w:rPr>
              <w:t>Allowance for credit losses on held-to-maturity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29"/>
        </w:trPr>
        <w:tc>
          <w:tcPr>
            <w:tcW w:w="6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Allowance for credit losses on loans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15,380</w:t>
            </w:r>
          </w:p>
        </w:tc>
      </w:tr>
      <w:tr>
        <w:trPr>
          <w:trHeight w:val="270"/>
        </w:trPr>
        <w:tc>
          <w:tcPr>
            <w:tcW w:w="6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29"/>
        </w:trPr>
        <w:tc>
          <w:tcPr>
            <w:tcW w:w="6180" w:type="dxa"/>
            <w:vAlign w:val="bottom"/>
          </w:tcPr>
          <w:p>
            <w:pPr>
              <w:ind w:left="240"/>
              <w:spacing w:after="0"/>
              <w:rPr>
                <w:sz w:val="20"/>
                <w:szCs w:val="20"/>
                <w:color w:val="auto"/>
              </w:rPr>
            </w:pPr>
            <w:r>
              <w:rPr>
                <w:rFonts w:ascii="Arial" w:cs="Arial" w:eastAsia="Arial" w:hAnsi="Arial"/>
                <w:sz w:val="18"/>
                <w:szCs w:val="18"/>
                <w:color w:val="auto"/>
              </w:rPr>
              <w:t>Allowance for credit losses on off-balance sheet credit exposures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1,961</w:t>
            </w:r>
          </w:p>
        </w:tc>
      </w:tr>
      <w:tr>
        <w:trPr>
          <w:trHeight w:val="270"/>
        </w:trPr>
        <w:tc>
          <w:tcPr>
            <w:tcW w:w="61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Total Day 1 Adjustment for Adoption of ASU 2016-13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17,825</w:t>
            </w: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u w:val="single" w:color="auto"/>
          <w:color w:val="auto"/>
        </w:rPr>
        <w:t>Allowance for Credit Losses - Available for Sale Securities:</w:t>
      </w:r>
      <w:r>
        <w:rPr>
          <w:rFonts w:ascii="Arial" w:cs="Arial" w:eastAsia="Arial" w:hAnsi="Arial"/>
          <w:sz w:val="16"/>
          <w:szCs w:val="16"/>
          <w:color w:val="auto"/>
        </w:rPr>
        <w:t xml:space="preserve"> Any available for sale security in an unrealized loss position is assessed for Management's intent to sell, or if it is more likely than not that it will be required to sell before the recovery of its amortized cost basis. If either criteria regarding intent or requirement to sell is met, the security's amortized cost basis is written down to fair value through income. Accrued interest receivable is excluded from the estimate of expected credit losses, as accrued interest receivable is reversed for securities placed on nonaccrual status. Securities issued by U.S. government entities are either explicitly or implicitly guaranteed by the U.S. government, and are highly rated by major ratings agencies and have a long history of no credit losses. For debt securities that do not meet the aforementioned criteria, the Company evaluates whether the decline in fair value has resulted from expected credit losses or other factors in making this assessment. Management considers the extent in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is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There was no allowance for credit losses for available for sale securities as of January 1, 2023.</w:t>
      </w:r>
    </w:p>
    <w:p>
      <w:pPr>
        <w:spacing w:after="0" w:line="200" w:lineRule="exact"/>
        <w:rPr>
          <w:sz w:val="20"/>
          <w:szCs w:val="20"/>
          <w:color w:val="auto"/>
        </w:rPr>
      </w:pP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Allowance for Credit Losses - Held-to-maturity Securities:</w:t>
      </w:r>
      <w:r>
        <w:rPr>
          <w:rFonts w:ascii="Arial" w:cs="Arial" w:eastAsia="Arial" w:hAnsi="Arial"/>
          <w:sz w:val="18"/>
          <w:szCs w:val="18"/>
          <w:color w:val="auto"/>
        </w:rPr>
        <w:t xml:space="preserve"> Management measures expected credit losses on held-to-maturity securities on a collective basis by security type. Accrued interest receivable is excluded from the estimate of expected credit losses, as accrued interest receivable is reversed for securities placed on nonaccrual status. The Company has identified the following portfolio segments and measures the allowance for credit losses using the following methods:</w:t>
      </w:r>
    </w:p>
    <w:p>
      <w:pPr>
        <w:spacing w:after="0" w:line="21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Mortgage-backed - Certain residential securities held by the Company are issued by U.S. government entities and agencies. These securities are either explicitly or implicitly guaranteed by the U.S. government, and are highly rated by major rating agencies and have a long history of no credit losses.</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Non-GSE residential and commercial mortgage-backed securities held by the Company are secured by pools of commercial or residential certificates.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Asset-backed securities ("ABS") - ABS held by the Company are secured by pools of consumer products such as student loans, consumer loans, and consumer residential solar loans.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Property assessed clean energy ("PACE assessments") - PACE assessments held by the Company are secured low loan to value long-term funding for energy efficient and renewable energy projects for residential or commercial projects.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securities - Other securities held by the Company include corporate securities, municipal securities and small investments community reinvestment act investments secured by loans.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Allowance for Credit Losses - Loans:</w:t>
      </w:r>
      <w:r>
        <w:rPr>
          <w:rFonts w:ascii="Arial" w:cs="Arial" w:eastAsia="Arial" w:hAnsi="Arial"/>
          <w:sz w:val="18"/>
          <w:szCs w:val="18"/>
          <w:color w:val="auto"/>
        </w:rPr>
        <w:t xml:space="preserve"> The allowance for credit losses is a valuation account that is deducted from the amortized cost basis of a financial asset or a group of financial assets so that the balance sheet reflects the net amount the Company expects to collect. Amortized cost is the principal balance outstanding, net of purchase premiums and discounts, and deferred fees and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3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costs. Accrued interest receivable on loans is excluded from the estimate of expected credit losses, as accrued interest receivable is reversed for loans placed on nonaccrual status. Subsequent changes (favorable and unfavorable) in expected credit losses are recognized immediately in net income as a credit loss expense or a reversal of credit loss expense. Loans are charged off against the allowance when management believes the uncollectibility of a loan balance is confirmed. Expected recoveries do not exceed the aggregate of amounts previously charged-off and expected to be charged-off.</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calculates the estimation of the allowance for credit losses on loans on a quarterly basis. The Company’s methodology to measure the allowance for credit losses incorporates both quantitative and qualitative information to assess lifetime expected credit losses at the portfolio segment level. The quantitative component of the allowance model calculates future loan level balances by considering the loan segment baseline loss rate based on a peer group and severity rate. Expected credit losses are estimated over the contractual term of the loans, adjusted for forecasted prepayments when appropriate. The baseline loss rate is adjusted for relevant macroeconomic variables by loan segment that consider forecasted economic conditions. The adjusted loss rate is calculated for an eight quarter forecast period then reverts to the historical loss rate on a straight-line basis over four quarters. The loan level cash flows are discounted at the effective interest rate to calculate a loan level allowance which is aggregated at the loan segment level to arrive at the estimated allowance.</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Economic parameters are developed using available information relating to past events, current conditions, and reasonable and supportable forecasts. Historical credit experience provides the basis for the estimation of expected credit losses, with qualitative adjustments made to loan segments for differences in current loan-specific risk characteristics such as differences in underwriting standards, portfolio mix, delinquency levels and terms, as well as for changes in environmental conditions, such as changes in unemployment rates, property values or other relevant factors.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credit losses on loans is measured on a collective (pool) basis when similar risk characteristics exist. The Company has identified the following portfolio segments and measures the allowance for credit losses using the methods described above.</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Commercial and Industrial Loans - Loans in this classification are made to businesses and include term loans, lines of credit, and senior secured loans to corporations. Generally, these loans are secured by assets of the business and repayment is expected from the cash flows of the business. A weakened economy, and resultant decreased consumer and/or business spending, will have an effect on the credit quality in this loan class.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Multifamily Mortgage Loans - Loans in this classification include income producing residential investment properties of five or more families. Loans are made to established owners with a proven and demonstrable record of strong performance. Repayment is derived generally from the rental income generated from the property and may be supplemented by the owners’ personal cash flow. Credit risk arises with an increase in vacancy rates, property mismanagement and the predominance of non-recourse loans that are customary in the industry.</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Commercial Real Estate Loans - Loans in this classification include income producing investment properties and owner-occupied real estate used for business purposes. The underlying properties are located largely in the Company’s primary market area. The cash flows of the income producing investment properties are adversely impacted by a downturn in the economy as evidenced by increased vacancy rates, which in turn, will have an effect on credit quality. In the case of owner-occupied real estate used for business purposes, a weakened economy and resultant decreased consumer and/or business spending will have an adverse effect on credit quality.</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Construction and Land Development Loans - Loans in this classification primarily include land loans to local individuals, contractors and developers for developing the land for sale or for the purpose of making improvements thereon. Repayment is derived primarily from sale of the lots/units including any pre-sold units. Credit risk is affected by market conditions, time to sell at an adequate price and cost overruns. To a lesser extent, this class includes commercial development projects that the Company finances, which in most cases are interest only during construction, and then convert to permanent financing. Construction delays, cost overruns, market conditions and the availability of permanent financing, to the extent such permanent financing is not being provided by the Bank, all affect the credit risk in this loan class.</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Residential Real Estate Loans - Loans in this classification are generally secured by owner-occupied residential real estate and repayment is dependent on the credit quality of the individual borrower. Loans in this class are secured by both first liens and second liens. The overall health of the economy, including unemployment rates and housing prices, can have an effect on the credit quality in this loan class.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Consumer Solar Loans - Loans in this classification may be either secured or unsecured. This portfolio is comprised of residential solar loans. Repayment is dependent on the credit quality of the individual borrower and, if applicable, sale of the collateral securing the loan. Therefore, the overall health of the economy, including unemployment rates and housing prices, will have an effect on the credit quality in this loan class.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Consumer and Other Loans - Loans in this classification may be either secured or unsecured. This portfolio is comprised of student loans and other consumer products. Repayment is dependent on the credit quality of the individual borrower and, if applicable, sale of the collateral securing the loan. Therefore, the overall health of the economy, including unemployment rates and housing prices, will have an effect on the credit quality in this loan class.</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Loans that are determined to have unique risk characteristics are evaluated on an individual basis by Management. Loans evaluated individually are not included in the collective evaluation. Factors that may be considered are borrower delinquency trends and nonaccrual status, probability of foreclosure or note sale, changes in the borrower’s circumstances or cash collections, borrower’s industry, or other facts and circumstances of the loan or collateral.</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Individually Evaluated Loans with an ACL:</w:t>
      </w:r>
      <w:r>
        <w:rPr>
          <w:rFonts w:ascii="Arial" w:cs="Arial" w:eastAsia="Arial" w:hAnsi="Arial"/>
          <w:sz w:val="16"/>
          <w:szCs w:val="16"/>
          <w:color w:val="auto"/>
        </w:rPr>
        <w:t xml:space="preserve"> For collateral-dependent loans where the Company has determined that foreclosure of the collateral is probable, or where the borrower is experiencing financial difficulty and the Company expects repayment of the loan to be provided substantially through the operation or sale of the collateral, the ACL is measured based on the difference between the fair value of the collateral, less the estimated costs to sell, and the amortized cost basis of the loan as of the measurement date. The fair value of real estate collateral is determined based on recent appraised values. The fair value of non-real estate collateral, may be determined based on an appraisal, net book value per the borrower’s financial statements, aging reports, or by reference to market activity, adjusted or discounted based on management’s historical knowledge, changes in market conditions from the time of the valuation and management’s expertise and knowledge of the borrower and its business. For non-collateral dependent loans, ACL is measured based on the difference between the present value of expected cash flows and the amortized cost basis of the loan as of the measurement date.</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Allowance for Credit Losses on Off-Balance Sheet Credit Exposures:</w:t>
      </w:r>
      <w:r>
        <w:rPr>
          <w:rFonts w:ascii="Arial" w:cs="Arial" w:eastAsia="Arial" w:hAnsi="Arial"/>
          <w:sz w:val="17"/>
          <w:szCs w:val="17"/>
          <w:color w:val="auto"/>
        </w:rPr>
        <w:t xml:space="preserve"> The Company estimates expected credit losses over the contractual period in which the Company is exposed to credit risk via a contractual obligation to extend credit, unless that obligation is unconditionally cancellable by the Company for its security and loan portfolios. The allowance for credit losses on off-balance sheet credit exposures is recorded in other liabilities on the consolidated statements of financial condition, and adjusted through the credit loss expense which is recorded in the provision for credit losses on the consolidated statements of income. The estimate includes consideration of the likelihood that funding will occur and an estimate of expected credit losses on commitments expected to be funded over its estimated life, which is the same as the expected loss factor as determined based on the corresponding portfolio segment. At January 1, 2023, the Day 1 adjustment to allowance for credit losses on off-balance sheet credit exposures was $2.7 million, of which $2.6 million related to obligations on the loans portfolio, and $0.1 million related to obligations on the securities portfolio.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2022-02, Financial Instruments - Credit Losses (Topic 326) - Troubled Debt Restructurings and Vintage Disclosures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March 31, 2022, the Financial Accounting Standards Board ("FASB") issued ASU 2022-02, which eliminates the troubled debt restructuring ("TDR") accounting model for creditors that have adopted Topic 326, “Financial Instruments – Credit Losses.” Specifically, rather than applying the recognition and measurement guidance for TDRs, this ASU requires entities to evaluate receivable modifications, consistent with the accounting for other loan modifications, to determine whether a modification made to a borrower results is a new loan or a continuation of the existing loan. In addition, under the new ASU, entities are no longer required to use a discounted cash flow ("DCF") method to measure the ACL as a result of a modification or restructuring with a borrower experiencing financial difficulty. If a DCF method is used, the post-modification-derived effective interest rate is to be used, instead of the original interest rate as stipulated under the current GAAP. This ASU also enhances the disclosure requirements related to certain modifications of receivables made to borrowers experiencing financial difficulty. This ASU amends the guidance on “vintage disclosures” to require the disclosure of current-period gross write-offs by year of origination. The Company adopted ASU 2022-02 on January 1, 2023 on a prospective basis. The adoption of the standard did not have a material impact on the financial statements. Refer to the </w:t>
      </w:r>
      <w:r>
        <w:rPr>
          <w:rFonts w:ascii="Arial" w:cs="Arial" w:eastAsia="Arial" w:hAnsi="Arial"/>
          <w:sz w:val="17"/>
          <w:szCs w:val="17"/>
          <w:i w:val="1"/>
          <w:iCs w:val="1"/>
          <w:color w:val="auto"/>
        </w:rPr>
        <w:t>Loans receivable, net</w:t>
      </w:r>
      <w:r>
        <w:rPr>
          <w:rFonts w:ascii="Arial" w:cs="Arial" w:eastAsia="Arial" w:hAnsi="Arial"/>
          <w:sz w:val="17"/>
          <w:szCs w:val="17"/>
          <w:color w:val="auto"/>
        </w:rPr>
        <w:t xml:space="preserve"> footnote for updated disclosures for the three and six months ended June 30, 2023.</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reclassifications have been made to prior year amounts to conform to the current year presentation, however such reclassifications did not change stockholders' equity or net income.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9"/>
          <w:szCs w:val="19"/>
          <w:b w:val="1"/>
          <w:bCs w:val="1"/>
          <w:color w:val="auto"/>
        </w:rPr>
        <w:t>ACCUMULATED OTHER COMPREHENSIVE LOSS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gridSpan w:val="6"/>
          </w:tcPr>
          <w:p>
            <w:pPr>
              <w:spacing w:after="0"/>
              <w:rPr>
                <w:sz w:val="20"/>
                <w:szCs w:val="20"/>
                <w:color w:val="auto"/>
              </w:rPr>
            </w:pPr>
            <w:r>
              <w:rPr>
                <w:rFonts w:ascii="Arial" w:cs="Arial" w:eastAsia="Arial" w:hAnsi="Arial"/>
                <w:sz w:val="18"/>
                <w:szCs w:val="18"/>
                <w:color w:val="auto"/>
              </w:rPr>
              <w:t>The following is a summary of the accumulated comprehensive loss balances, net of income taxes: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Current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86"/>
              </w:rPr>
              <w:t>Balance as of</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92"/>
              </w:rPr>
              <w:t>Period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0"/>
              </w:rPr>
              <w:t>Income Tax</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ind w:left="80"/>
              <w:spacing w:after="0" w:line="181" w:lineRule="exact"/>
              <w:rPr>
                <w:sz w:val="20"/>
                <w:szCs w:val="20"/>
                <w:color w:val="auto"/>
              </w:rPr>
            </w:pPr>
            <w:r>
              <w:rPr>
                <w:rFonts w:ascii="Arial" w:cs="Arial" w:eastAsia="Arial" w:hAnsi="Arial"/>
                <w:sz w:val="18"/>
                <w:szCs w:val="18"/>
                <w:b w:val="1"/>
                <w:bCs w:val="1"/>
                <w:color w:val="auto"/>
              </w:rPr>
              <w:t>Balance as of</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January 1, 2023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Effect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June 30, 2023</w:t>
            </w:r>
          </w:p>
        </w:tc>
        <w:tc>
          <w:tcPr>
            <w:tcW w:w="0" w:type="dxa"/>
            <w:vAlign w:val="bottom"/>
          </w:tcPr>
          <w:p>
            <w:pPr>
              <w:spacing w:after="0"/>
              <w:rPr>
                <w:sz w:val="1"/>
                <w:szCs w:val="1"/>
                <w:color w:val="auto"/>
              </w:rPr>
            </w:pPr>
          </w:p>
        </w:tc>
      </w:tr>
      <w:tr>
        <w:trPr>
          <w:trHeight w:val="177"/>
        </w:trPr>
        <w:tc>
          <w:tcPr>
            <w:tcW w:w="5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on benefits plans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Unrealized gains (losses) on available for sale securities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(95,539)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(92,807)</w:t>
            </w:r>
          </w:p>
        </w:tc>
        <w:tc>
          <w:tcPr>
            <w:tcW w:w="0" w:type="dxa"/>
            <w:vAlign w:val="bottom"/>
          </w:tcPr>
          <w:p>
            <w:pPr>
              <w:spacing w:after="0"/>
              <w:rPr>
                <w:sz w:val="1"/>
                <w:szCs w:val="1"/>
                <w:color w:val="auto"/>
              </w:rPr>
            </w:pPr>
          </w:p>
        </w:tc>
      </w:tr>
      <w:tr>
        <w:trPr>
          <w:trHeight w:val="176"/>
        </w:trPr>
        <w:tc>
          <w:tcPr>
            <w:tcW w:w="5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Unaccreted unrealized loss on securities transferred to held-to-</w:t>
            </w:r>
          </w:p>
        </w:tc>
        <w:tc>
          <w:tcPr>
            <w:tcW w:w="1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maturity</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(108,707)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(105,214)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Current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86"/>
              </w:rPr>
              <w:t>Balance as of</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92"/>
              </w:rPr>
              <w:t>Period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0"/>
              </w:rPr>
              <w:t>Income Tax</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ind w:left="80"/>
              <w:spacing w:after="0" w:line="181" w:lineRule="exact"/>
              <w:rPr>
                <w:sz w:val="20"/>
                <w:szCs w:val="20"/>
                <w:color w:val="auto"/>
              </w:rPr>
            </w:pPr>
            <w:r>
              <w:rPr>
                <w:rFonts w:ascii="Arial" w:cs="Arial" w:eastAsia="Arial" w:hAnsi="Arial"/>
                <w:sz w:val="18"/>
                <w:szCs w:val="18"/>
                <w:b w:val="1"/>
                <w:bCs w:val="1"/>
                <w:color w:val="auto"/>
              </w:rPr>
              <w:t>Balance as of</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January 1, 2022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Effect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June 30, 2022</w:t>
            </w:r>
          </w:p>
        </w:tc>
        <w:tc>
          <w:tcPr>
            <w:tcW w:w="0" w:type="dxa"/>
            <w:vAlign w:val="bottom"/>
          </w:tcPr>
          <w:p>
            <w:pPr>
              <w:spacing w:after="0"/>
              <w:rPr>
                <w:sz w:val="1"/>
                <w:szCs w:val="1"/>
                <w:color w:val="auto"/>
              </w:rPr>
            </w:pPr>
          </w:p>
        </w:tc>
      </w:tr>
      <w:tr>
        <w:trPr>
          <w:trHeight w:val="176"/>
        </w:trPr>
        <w:tc>
          <w:tcPr>
            <w:tcW w:w="5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on benefits plans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Unrealized gains (losses) on available for sale securities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(115,412)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(76,152)</w:t>
            </w: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5,409</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(115,294)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31,717</w:t>
            </w:r>
          </w:p>
        </w:tc>
        <w:tc>
          <w:tcPr>
            <w:tcW w:w="120" w:type="dxa"/>
            <w:vAlign w:val="bottom"/>
            <w:gridSpan w:val="2"/>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(78,168)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(loss) components and related income tax effects were as follows: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8"/>
              </w:rPr>
              <w:t>Three Months Ended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6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163"/>
        </w:trPr>
        <w:tc>
          <w:tcPr>
            <w:tcW w:w="62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Postretirement Benefit Plans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Change in obligation for postretirement benefits and for prior service credit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8"/>
        </w:trPr>
        <w:tc>
          <w:tcPr>
            <w:tcW w:w="6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Reclassification adjustment for prior service expense included in compensation and</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Change in obligation for other benefits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69"/>
        </w:trPr>
        <w:tc>
          <w:tcPr>
            <w:tcW w:w="62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2"/>
              </w:rPr>
              <w:t>Change in total obligation for postretirement benefits and for prior service credit and</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other benefits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69"/>
        </w:trPr>
        <w:tc>
          <w:tcPr>
            <w:tcW w:w="62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2"/>
              </w:rPr>
              <w:t>Net change in total obligation for postretirement benefits and prior service credit and</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other benefits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20" w:type="dxa"/>
            <w:vAlign w:val="bottom"/>
          </w:tcPr>
          <w:p>
            <w:pPr>
              <w:ind w:left="20"/>
              <w:spacing w:after="0"/>
              <w:rPr>
                <w:sz w:val="20"/>
                <w:szCs w:val="20"/>
                <w:color w:val="auto"/>
              </w:rPr>
            </w:pPr>
            <w:r>
              <w:rPr>
                <w:rFonts w:ascii="Arial" w:cs="Arial" w:eastAsia="Arial" w:hAnsi="Arial"/>
                <w:sz w:val="18"/>
                <w:szCs w:val="18"/>
                <w:color w:val="auto"/>
              </w:rPr>
              <w:t>Unrealized holding gains (losses) on available for sale securities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(52,334)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(116,038)</w:t>
            </w:r>
          </w:p>
        </w:tc>
        <w:tc>
          <w:tcPr>
            <w:tcW w:w="0" w:type="dxa"/>
            <w:vAlign w:val="bottom"/>
          </w:tcPr>
          <w:p>
            <w:pPr>
              <w:spacing w:after="0"/>
              <w:rPr>
                <w:sz w:val="1"/>
                <w:szCs w:val="1"/>
                <w:color w:val="auto"/>
              </w:rPr>
            </w:pPr>
          </w:p>
        </w:tc>
      </w:tr>
      <w:tr>
        <w:trPr>
          <w:trHeight w:val="23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 for losses realized in loss on sale of securities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176"/>
        </w:trPr>
        <w:tc>
          <w:tcPr>
            <w:tcW w:w="6220" w:type="dxa"/>
            <w:vAlign w:val="bottom"/>
          </w:tcPr>
          <w:p>
            <w:pPr>
              <w:ind w:left="20"/>
              <w:spacing w:after="0" w:line="176" w:lineRule="exact"/>
              <w:rPr>
                <w:sz w:val="20"/>
                <w:szCs w:val="20"/>
                <w:color w:val="auto"/>
              </w:rPr>
            </w:pPr>
            <w:r>
              <w:rPr>
                <w:rFonts w:ascii="Arial" w:cs="Arial" w:eastAsia="Arial" w:hAnsi="Arial"/>
                <w:sz w:val="18"/>
                <w:szCs w:val="18"/>
                <w:color w:val="auto"/>
              </w:rPr>
              <w:t>Accretion of net unrealized loss on securities transferred to held-to-maturity</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recognized in interest income from securities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unrealized gains (losses) on available for sale securities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(115,412)</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31,749</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unrealized gains (losses) on securities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(83,663)</w:t>
            </w:r>
          </w:p>
        </w:tc>
        <w:tc>
          <w:tcPr>
            <w:tcW w:w="0" w:type="dxa"/>
            <w:vAlign w:val="bottom"/>
          </w:tcPr>
          <w:p>
            <w:pPr>
              <w:spacing w:after="0"/>
              <w:rPr>
                <w:sz w:val="1"/>
                <w:szCs w:val="1"/>
                <w:color w:val="auto"/>
              </w:rPr>
            </w:pPr>
          </w:p>
        </w:tc>
      </w:tr>
      <w:tr>
        <w:trPr>
          <w:trHeight w:val="250"/>
        </w:trPr>
        <w:tc>
          <w:tcPr>
            <w:tcW w:w="6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(83,577)</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6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tab/>
        <w:t>INVESTMENT SECURITIES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gridSpan w:val="9"/>
          </w:tcPr>
          <w:p>
            <w:pPr>
              <w:spacing w:after="0"/>
              <w:rPr>
                <w:sz w:val="20"/>
                <w:szCs w:val="20"/>
                <w:color w:val="auto"/>
              </w:rPr>
            </w:pPr>
            <w:r>
              <w:rPr>
                <w:rFonts w:ascii="Arial" w:cs="Arial" w:eastAsia="Arial" w:hAnsi="Arial"/>
                <w:sz w:val="18"/>
                <w:szCs w:val="18"/>
                <w:color w:val="auto"/>
                <w:w w:val="93"/>
              </w:rPr>
              <w:t>The amortized cost and fair value of investment securities available for sale and held-to-maturity as of June 30, 2023 are as follows: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5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7"/>
              </w:rPr>
              <w:t>Amortized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Available for sale: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Mortgage-related:</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560"/>
              <w:spacing w:after="0" w:line="176" w:lineRule="exact"/>
              <w:rPr>
                <w:sz w:val="20"/>
                <w:szCs w:val="20"/>
                <w:color w:val="auto"/>
              </w:rPr>
            </w:pPr>
            <w:r>
              <w:rPr>
                <w:rFonts w:ascii="Arial" w:cs="Arial" w:eastAsia="Arial" w:hAnsi="Arial"/>
                <w:sz w:val="18"/>
                <w:szCs w:val="18"/>
                <w:color w:val="auto"/>
              </w:rPr>
              <w:t>Government sponsored entities ("GSE") residential CMOs</w:t>
            </w:r>
          </w:p>
        </w:tc>
        <w:tc>
          <w:tcPr>
            <w:tcW w:w="1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406,801</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(38,168)</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368,658</w:t>
            </w:r>
          </w:p>
        </w:tc>
        <w:tc>
          <w:tcPr>
            <w:tcW w:w="0" w:type="dxa"/>
            <w:vAlign w:val="bottom"/>
          </w:tcPr>
          <w:p>
            <w:pPr>
              <w:spacing w:after="0"/>
              <w:rPr>
                <w:sz w:val="1"/>
                <w:szCs w:val="1"/>
                <w:color w:val="auto"/>
              </w:rPr>
            </w:pPr>
          </w:p>
        </w:tc>
      </w:tr>
      <w:tr>
        <w:trPr>
          <w:trHeight w:val="229"/>
        </w:trPr>
        <w:tc>
          <w:tcPr>
            <w:tcW w:w="5440" w:type="dxa"/>
            <w:vAlign w:val="bottom"/>
          </w:tcPr>
          <w:p>
            <w:pPr>
              <w:ind w:left="560"/>
              <w:spacing w:after="0"/>
              <w:rPr>
                <w:sz w:val="20"/>
                <w:szCs w:val="20"/>
                <w:color w:val="auto"/>
              </w:rPr>
            </w:pPr>
            <w:r>
              <w:rPr>
                <w:rFonts w:ascii="Arial" w:cs="Arial" w:eastAsia="Arial" w:hAnsi="Arial"/>
                <w:sz w:val="18"/>
                <w:szCs w:val="18"/>
                <w:color w:val="auto"/>
              </w:rPr>
              <w:t>("collateralized mortgage obligations")</w:t>
            </w:r>
          </w:p>
        </w:tc>
        <w:tc>
          <w:tcPr>
            <w:tcW w:w="1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GSE commercial certificates &amp; CMO</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139,492</w:t>
            </w:r>
          </w:p>
        </w:tc>
        <w:tc>
          <w:tcPr>
            <w:tcW w:w="0" w:type="dxa"/>
            <w:vAlign w:val="bottom"/>
          </w:tcPr>
          <w:p>
            <w:pPr>
              <w:spacing w:after="0"/>
              <w:rPr>
                <w:sz w:val="1"/>
                <w:szCs w:val="1"/>
                <w:color w:val="auto"/>
              </w:rPr>
            </w:pPr>
          </w:p>
        </w:tc>
      </w:tr>
      <w:tr>
        <w:trPr>
          <w:trHeight w:val="229"/>
        </w:trPr>
        <w:tc>
          <w:tcPr>
            <w:tcW w:w="5440" w:type="dxa"/>
            <w:vAlign w:val="bottom"/>
          </w:tcPr>
          <w:p>
            <w:pPr>
              <w:ind w:left="560"/>
              <w:spacing w:after="0"/>
              <w:rPr>
                <w:sz w:val="20"/>
                <w:szCs w:val="20"/>
                <w:color w:val="auto"/>
              </w:rPr>
            </w:pPr>
            <w:r>
              <w:rPr>
                <w:rFonts w:ascii="Arial" w:cs="Arial" w:eastAsia="Arial" w:hAnsi="Arial"/>
                <w:sz w:val="18"/>
                <w:szCs w:val="18"/>
                <w:color w:val="auto"/>
              </w:rPr>
              <w:t>Non-GSE residential certificates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116,941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101,373</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Non-GSE commercial certificates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106,510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95,683</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778,266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(73,085)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705,206</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560"/>
              <w:spacing w:after="0"/>
              <w:rPr>
                <w:sz w:val="20"/>
                <w:szCs w:val="20"/>
                <w:color w:val="auto"/>
              </w:rPr>
            </w:pPr>
            <w:r>
              <w:rPr>
                <w:rFonts w:ascii="Arial" w:cs="Arial" w:eastAsia="Arial" w:hAnsi="Arial"/>
                <w:sz w:val="18"/>
                <w:szCs w:val="18"/>
                <w:color w:val="auto"/>
              </w:rPr>
              <w:t>U.S. Treasury</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ABS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728,397</w:t>
            </w:r>
          </w:p>
        </w:tc>
        <w:tc>
          <w:tcPr>
            <w:tcW w:w="0" w:type="dxa"/>
            <w:vAlign w:val="bottom"/>
          </w:tcPr>
          <w:p>
            <w:pPr>
              <w:spacing w:after="0"/>
              <w:rPr>
                <w:sz w:val="1"/>
                <w:szCs w:val="1"/>
                <w:color w:val="auto"/>
              </w:rPr>
            </w:pPr>
          </w:p>
        </w:tc>
      </w:tr>
      <w:tr>
        <w:trPr>
          <w:trHeight w:val="237"/>
        </w:trPr>
        <w:tc>
          <w:tcPr>
            <w:tcW w:w="5440" w:type="dxa"/>
            <w:vAlign w:val="bottom"/>
          </w:tcPr>
          <w:p>
            <w:pPr>
              <w:ind w:left="560"/>
              <w:spacing w:after="0"/>
              <w:rPr>
                <w:sz w:val="20"/>
                <w:szCs w:val="20"/>
                <w:color w:val="auto"/>
              </w:rPr>
            </w:pPr>
            <w:r>
              <w:rPr>
                <w:rFonts w:ascii="Arial" w:cs="Arial" w:eastAsia="Arial" w:hAnsi="Arial"/>
                <w:sz w:val="18"/>
                <w:szCs w:val="18"/>
                <w:color w:val="auto"/>
              </w:rPr>
              <w:t>Trust preferred</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10,134</w:t>
            </w: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Corporate</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113,861</w:t>
            </w:r>
          </w:p>
        </w:tc>
        <w:tc>
          <w:tcPr>
            <w:tcW w:w="0" w:type="dxa"/>
            <w:vAlign w:val="bottom"/>
          </w:tcPr>
          <w:p>
            <w:pPr>
              <w:spacing w:after="0"/>
              <w:rPr>
                <w:sz w:val="1"/>
                <w:szCs w:val="1"/>
                <w:color w:val="auto"/>
              </w:rPr>
            </w:pPr>
          </w:p>
        </w:tc>
      </w:tr>
      <w:tr>
        <w:trPr>
          <w:trHeight w:val="229"/>
        </w:trPr>
        <w:tc>
          <w:tcPr>
            <w:tcW w:w="5440" w:type="dxa"/>
            <w:vAlign w:val="bottom"/>
          </w:tcPr>
          <w:p>
            <w:pPr>
              <w:ind w:left="560"/>
              <w:spacing w:after="0"/>
              <w:rPr>
                <w:sz w:val="20"/>
                <w:szCs w:val="20"/>
                <w:color w:val="auto"/>
              </w:rPr>
            </w:pPr>
            <w:r>
              <w:rPr>
                <w:rFonts w:ascii="Arial" w:cs="Arial" w:eastAsia="Arial" w:hAnsi="Arial"/>
                <w:sz w:val="18"/>
                <w:szCs w:val="18"/>
                <w:color w:val="auto"/>
              </w:rPr>
              <w:t>Residential PACE assessments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22,456</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930,080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(55,153)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875,042</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available for sale</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1,708,346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(128,238)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1,580,248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1"/>
              </w:rPr>
              <w:t>Amortized Cost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Unrecognized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Unrecognized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6"/>
        </w:trPr>
        <w:tc>
          <w:tcPr>
            <w:tcW w:w="5440" w:type="dxa"/>
            <w:vAlign w:val="bottom"/>
          </w:tcPr>
          <w:p>
            <w:pPr>
              <w:spacing w:after="0"/>
              <w:rPr>
                <w:sz w:val="20"/>
                <w:szCs w:val="20"/>
                <w:color w:val="auto"/>
              </w:rPr>
            </w:pPr>
          </w:p>
        </w:tc>
        <w:tc>
          <w:tcPr>
            <w:tcW w:w="1300" w:type="dxa"/>
            <w:vAlign w:val="bottom"/>
            <w:tcBorders>
              <w:bottom w:val="single" w:sz="8" w:color="auto"/>
            </w:tcBorders>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Held-to-maturity:</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Traditional securities:</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60"/>
              <w:spacing w:after="0"/>
              <w:rPr>
                <w:sz w:val="20"/>
                <w:szCs w:val="20"/>
                <w:color w:val="auto"/>
              </w:rPr>
            </w:pPr>
            <w:r>
              <w:rPr>
                <w:rFonts w:ascii="Arial" w:cs="Arial" w:eastAsia="Arial" w:hAnsi="Arial"/>
                <w:sz w:val="18"/>
                <w:szCs w:val="18"/>
                <w:color w:val="auto"/>
              </w:rPr>
              <w:t>GSE residential CMOs</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66,982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(4,698)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62,284</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GSE commercial certificates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78,624</w:t>
            </w:r>
          </w:p>
        </w:tc>
        <w:tc>
          <w:tcPr>
            <w:tcW w:w="0" w:type="dxa"/>
            <w:vAlign w:val="bottom"/>
          </w:tcPr>
          <w:p>
            <w:pPr>
              <w:spacing w:after="0"/>
              <w:rPr>
                <w:sz w:val="1"/>
                <w:szCs w:val="1"/>
                <w:color w:val="auto"/>
              </w:rPr>
            </w:pPr>
          </w:p>
        </w:tc>
      </w:tr>
      <w:tr>
        <w:trPr>
          <w:trHeight w:val="229"/>
        </w:trPr>
        <w:tc>
          <w:tcPr>
            <w:tcW w:w="5440" w:type="dxa"/>
            <w:vAlign w:val="bottom"/>
          </w:tcPr>
          <w:p>
            <w:pPr>
              <w:ind w:left="560"/>
              <w:spacing w:after="0"/>
              <w:rPr>
                <w:sz w:val="20"/>
                <w:szCs w:val="20"/>
                <w:color w:val="auto"/>
              </w:rPr>
            </w:pPr>
            <w:r>
              <w:rPr>
                <w:rFonts w:ascii="Arial" w:cs="Arial" w:eastAsia="Arial" w:hAnsi="Arial"/>
                <w:sz w:val="18"/>
                <w:szCs w:val="18"/>
                <w:color w:val="auto"/>
              </w:rPr>
              <w:t>GSE residential certificates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Non-GSE commercial certificates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29,381</w:t>
            </w:r>
          </w:p>
        </w:tc>
        <w:tc>
          <w:tcPr>
            <w:tcW w:w="0" w:type="dxa"/>
            <w:vAlign w:val="bottom"/>
          </w:tcPr>
          <w:p>
            <w:pPr>
              <w:spacing w:after="0"/>
              <w:rPr>
                <w:sz w:val="1"/>
                <w:szCs w:val="1"/>
                <w:color w:val="auto"/>
              </w:rPr>
            </w:pPr>
          </w:p>
        </w:tc>
      </w:tr>
      <w:tr>
        <w:trPr>
          <w:trHeight w:val="237"/>
        </w:trPr>
        <w:tc>
          <w:tcPr>
            <w:tcW w:w="5440" w:type="dxa"/>
            <w:vAlign w:val="bottom"/>
          </w:tcPr>
          <w:p>
            <w:pPr>
              <w:ind w:left="560"/>
              <w:spacing w:after="0"/>
              <w:rPr>
                <w:sz w:val="20"/>
                <w:szCs w:val="20"/>
                <w:color w:val="auto"/>
              </w:rPr>
            </w:pPr>
            <w:r>
              <w:rPr>
                <w:rFonts w:ascii="Arial" w:cs="Arial" w:eastAsia="Arial" w:hAnsi="Arial"/>
                <w:sz w:val="18"/>
                <w:szCs w:val="18"/>
                <w:color w:val="auto"/>
              </w:rPr>
              <w:t>Non-GSE residential certificates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43,093</w:t>
            </w: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ABS</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284,377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272,473</w:t>
            </w:r>
          </w:p>
        </w:tc>
        <w:tc>
          <w:tcPr>
            <w:tcW w:w="0" w:type="dxa"/>
            <w:vAlign w:val="bottom"/>
          </w:tcPr>
          <w:p>
            <w:pPr>
              <w:spacing w:after="0"/>
              <w:rPr>
                <w:sz w:val="1"/>
                <w:szCs w:val="1"/>
                <w:color w:val="auto"/>
              </w:rPr>
            </w:pPr>
          </w:p>
        </w:tc>
      </w:tr>
      <w:tr>
        <w:trPr>
          <w:trHeight w:val="230"/>
        </w:trPr>
        <w:tc>
          <w:tcPr>
            <w:tcW w:w="5440" w:type="dxa"/>
            <w:vAlign w:val="bottom"/>
          </w:tcPr>
          <w:p>
            <w:pPr>
              <w:ind w:left="560"/>
              <w:spacing w:after="0"/>
              <w:rPr>
                <w:sz w:val="20"/>
                <w:szCs w:val="20"/>
                <w:color w:val="auto"/>
              </w:rPr>
            </w:pPr>
            <w:r>
              <w:rPr>
                <w:rFonts w:ascii="Arial" w:cs="Arial" w:eastAsia="Arial" w:hAnsi="Arial"/>
                <w:sz w:val="18"/>
                <w:szCs w:val="18"/>
                <w:color w:val="auto"/>
              </w:rPr>
              <w:t>Municipal</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76,865</w:t>
            </w:r>
          </w:p>
        </w:tc>
        <w:tc>
          <w:tcPr>
            <w:tcW w:w="0" w:type="dxa"/>
            <w:vAlign w:val="bottom"/>
          </w:tcPr>
          <w:p>
            <w:pPr>
              <w:spacing w:after="0"/>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617,437</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(54,315)</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563,122</w:t>
            </w:r>
          </w:p>
        </w:tc>
        <w:tc>
          <w:tcPr>
            <w:tcW w:w="0" w:type="dxa"/>
            <w:vAlign w:val="bottom"/>
          </w:tcPr>
          <w:p>
            <w:pPr>
              <w:spacing w:after="0"/>
              <w:rPr>
                <w:sz w:val="1"/>
                <w:szCs w:val="1"/>
                <w:color w:val="auto"/>
              </w:rPr>
            </w:pPr>
          </w:p>
        </w:tc>
      </w:tr>
      <w:tr>
        <w:trPr>
          <w:trHeight w:val="209"/>
        </w:trPr>
        <w:tc>
          <w:tcPr>
            <w:tcW w:w="5440" w:type="dxa"/>
            <w:vAlign w:val="bottom"/>
          </w:tcPr>
          <w:p>
            <w:pPr>
              <w:ind w:left="220"/>
              <w:spacing w:after="0"/>
              <w:rPr>
                <w:sz w:val="20"/>
                <w:szCs w:val="20"/>
                <w:color w:val="auto"/>
              </w:rPr>
            </w:pPr>
            <w:r>
              <w:rPr>
                <w:rFonts w:ascii="Arial" w:cs="Arial" w:eastAsia="Arial" w:hAnsi="Arial"/>
                <w:sz w:val="18"/>
                <w:szCs w:val="18"/>
                <w:color w:val="auto"/>
              </w:rPr>
              <w:t>PACE assessments: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Commercial PACE assessments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223,957</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Residential PACE assessments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775,708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689,862</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1,037,801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913,819</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Allowance for credit losses</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held-to-maturity</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1,654,531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(178,297)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1,476,941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440" w:type="dxa"/>
            <w:vAlign w:val="bottom"/>
          </w:tcPr>
          <w:p>
            <w:pPr>
              <w:spacing w:after="0"/>
              <w:rPr>
                <w:sz w:val="24"/>
                <w:szCs w:val="24"/>
                <w:color w:val="auto"/>
              </w:rPr>
            </w:pPr>
          </w:p>
        </w:tc>
        <w:tc>
          <w:tcPr>
            <w:tcW w:w="1300" w:type="dxa"/>
            <w:vAlign w:val="bottom"/>
            <w:gridSpan w:val="2"/>
          </w:tcPr>
          <w:p>
            <w:pPr>
              <w:jc w:val="right"/>
              <w:ind w:right="9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3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2023, available for sale securities with a fair value of $937.0 million and held-to-maturity securities with a fair value of $425.4 million were pledged. The majority of the securities were pledged to the FHLBNY to secure outstanding advances, letters of credit and to provide additional borrowing potential. In addition, securities were pledged to provide capacity to borrow from the Federal Reserve Bank and to collateralize municipal deposits.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investment securities available for sale and held-to-maturity as of December 31, 2022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90"/>
              </w:rPr>
              <w:t>Gross Unrealized</w:t>
            </w:r>
          </w:p>
        </w:tc>
        <w:tc>
          <w:tcPr>
            <w:tcW w:w="120" w:type="dxa"/>
            <w:vAlign w:val="bottom"/>
          </w:tcPr>
          <w:p>
            <w:pPr>
              <w:spacing w:after="0"/>
              <w:rPr>
                <w:sz w:val="15"/>
                <w:szCs w:val="15"/>
                <w:color w:val="auto"/>
              </w:rPr>
            </w:pPr>
          </w:p>
        </w:tc>
        <w:tc>
          <w:tcPr>
            <w:tcW w:w="140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89"/>
              </w:rPr>
              <w:t>Gross Unrealized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Amortized 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Available for sale: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Mortgage-related:</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480"/>
              <w:spacing w:after="0"/>
              <w:rPr>
                <w:sz w:val="20"/>
                <w:szCs w:val="20"/>
                <w:color w:val="auto"/>
              </w:rPr>
            </w:pPr>
            <w:r>
              <w:rPr>
                <w:rFonts w:ascii="Arial" w:cs="Arial" w:eastAsia="Arial" w:hAnsi="Arial"/>
                <w:sz w:val="18"/>
                <w:szCs w:val="18"/>
                <w:color w:val="auto"/>
              </w:rPr>
              <w:t>GSE residential CMOs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427,529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(38,293)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389,260</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GSE commercial certificates &amp; CMO</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213,786</w:t>
            </w:r>
          </w:p>
        </w:tc>
        <w:tc>
          <w:tcPr>
            <w:tcW w:w="0" w:type="dxa"/>
            <w:vAlign w:val="bottom"/>
          </w:tcPr>
          <w:p>
            <w:pPr>
              <w:spacing w:after="0"/>
              <w:rPr>
                <w:sz w:val="1"/>
                <w:szCs w:val="1"/>
                <w:color w:val="auto"/>
              </w:rPr>
            </w:pPr>
          </w:p>
        </w:tc>
      </w:tr>
      <w:tr>
        <w:trPr>
          <w:trHeight w:val="230"/>
        </w:trPr>
        <w:tc>
          <w:tcPr>
            <w:tcW w:w="5240" w:type="dxa"/>
            <w:vAlign w:val="bottom"/>
          </w:tcPr>
          <w:p>
            <w:pPr>
              <w:ind w:left="480"/>
              <w:spacing w:after="0"/>
              <w:rPr>
                <w:sz w:val="20"/>
                <w:szCs w:val="20"/>
                <w:color w:val="auto"/>
              </w:rPr>
            </w:pPr>
            <w:r>
              <w:rPr>
                <w:rFonts w:ascii="Arial" w:cs="Arial" w:eastAsia="Arial" w:hAnsi="Arial"/>
                <w:sz w:val="18"/>
                <w:szCs w:val="18"/>
                <w:color w:val="auto"/>
              </w:rPr>
              <w:t>Non-GSE residential certificates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123,139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107,080</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Non-GSE commercial certificates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108,286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97,482</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881,574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(73,990)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807,608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480"/>
              <w:spacing w:after="0"/>
              <w:rPr>
                <w:sz w:val="20"/>
                <w:szCs w:val="20"/>
                <w:color w:val="auto"/>
              </w:rPr>
            </w:pPr>
            <w:r>
              <w:rPr>
                <w:rFonts w:ascii="Arial" w:cs="Arial" w:eastAsia="Arial" w:hAnsi="Arial"/>
                <w:sz w:val="18"/>
                <w:szCs w:val="18"/>
                <w:color w:val="auto"/>
              </w:rPr>
              <w:t>U.S. Treasury</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ABS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862,163</w:t>
            </w:r>
          </w:p>
        </w:tc>
        <w:tc>
          <w:tcPr>
            <w:tcW w:w="0" w:type="dxa"/>
            <w:vAlign w:val="bottom"/>
          </w:tcPr>
          <w:p>
            <w:pPr>
              <w:spacing w:after="0"/>
              <w:rPr>
                <w:sz w:val="1"/>
                <w:szCs w:val="1"/>
                <w:color w:val="auto"/>
              </w:rPr>
            </w:pPr>
          </w:p>
        </w:tc>
      </w:tr>
      <w:tr>
        <w:trPr>
          <w:trHeight w:val="237"/>
        </w:trPr>
        <w:tc>
          <w:tcPr>
            <w:tcW w:w="524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10,143</w:t>
            </w:r>
          </w:p>
        </w:tc>
        <w:tc>
          <w:tcPr>
            <w:tcW w:w="0" w:type="dxa"/>
            <w:vAlign w:val="bottom"/>
          </w:tcPr>
          <w:p>
            <w:pPr>
              <w:spacing w:after="0"/>
              <w:rPr>
                <w:sz w:val="1"/>
                <w:szCs w:val="1"/>
                <w:color w:val="auto"/>
              </w:rPr>
            </w:pPr>
          </w:p>
        </w:tc>
      </w:tr>
      <w:tr>
        <w:trPr>
          <w:trHeight w:val="222"/>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149,836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132,370</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1,062,769</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1,004,868</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880"/>
              <w:spacing w:after="0"/>
              <w:rPr>
                <w:sz w:val="20"/>
                <w:szCs w:val="20"/>
                <w:color w:val="auto"/>
              </w:rPr>
            </w:pPr>
            <w:r>
              <w:rPr>
                <w:rFonts w:ascii="Arial" w:cs="Arial" w:eastAsia="Arial" w:hAnsi="Arial"/>
                <w:sz w:val="18"/>
                <w:szCs w:val="18"/>
                <w:color w:val="auto"/>
              </w:rPr>
              <w:t>Total available for sale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1,944,343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(131,925)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1,812,476</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6"/>
              </w:rPr>
              <w:t>Amortized Cost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89"/>
              </w:rPr>
              <w:t>Unrecognized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87"/>
              </w:rPr>
              <w:t>Unrecognized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19"/>
                <w:szCs w:val="19"/>
                <w:color w:val="auto"/>
              </w:rPr>
            </w:pPr>
          </w:p>
        </w:tc>
        <w:tc>
          <w:tcPr>
            <w:tcW w:w="138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Held-to-maturity:</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Traditional securities: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480"/>
              <w:spacing w:after="0"/>
              <w:rPr>
                <w:sz w:val="20"/>
                <w:szCs w:val="20"/>
                <w:color w:val="auto"/>
              </w:rPr>
            </w:pPr>
            <w:r>
              <w:rPr>
                <w:rFonts w:ascii="Arial" w:cs="Arial" w:eastAsia="Arial" w:hAnsi="Arial"/>
                <w:sz w:val="18"/>
                <w:szCs w:val="18"/>
                <w:color w:val="auto"/>
              </w:rPr>
              <w:t>GSE residential CMOs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69,391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(4,054)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65,337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GSE commercial certificates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79,149</w:t>
            </w:r>
          </w:p>
        </w:tc>
        <w:tc>
          <w:tcPr>
            <w:tcW w:w="0" w:type="dxa"/>
            <w:vAlign w:val="bottom"/>
          </w:tcPr>
          <w:p>
            <w:pPr>
              <w:spacing w:after="0"/>
              <w:rPr>
                <w:sz w:val="1"/>
                <w:szCs w:val="1"/>
                <w:color w:val="auto"/>
              </w:rPr>
            </w:pPr>
          </w:p>
        </w:tc>
      </w:tr>
      <w:tr>
        <w:trPr>
          <w:trHeight w:val="237"/>
        </w:trPr>
        <w:tc>
          <w:tcPr>
            <w:tcW w:w="5240" w:type="dxa"/>
            <w:vAlign w:val="bottom"/>
          </w:tcPr>
          <w:p>
            <w:pPr>
              <w:ind w:left="460"/>
              <w:spacing w:after="0"/>
              <w:rPr>
                <w:sz w:val="20"/>
                <w:szCs w:val="20"/>
                <w:color w:val="auto"/>
              </w:rPr>
            </w:pPr>
            <w:r>
              <w:rPr>
                <w:rFonts w:ascii="Arial" w:cs="Arial" w:eastAsia="Arial" w:hAnsi="Arial"/>
                <w:sz w:val="18"/>
                <w:szCs w:val="18"/>
                <w:color w:val="auto"/>
              </w:rPr>
              <w:t>GSE residential certificates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6"/>
        </w:trPr>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Non-GSE commercial certificates</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29,496</w:t>
            </w:r>
          </w:p>
        </w:tc>
        <w:tc>
          <w:tcPr>
            <w:tcW w:w="0" w:type="dxa"/>
            <w:vAlign w:val="bottom"/>
          </w:tcPr>
          <w:p>
            <w:pPr>
              <w:spacing w:after="0"/>
              <w:rPr>
                <w:sz w:val="1"/>
                <w:szCs w:val="1"/>
                <w:color w:val="auto"/>
              </w:rPr>
            </w:pPr>
          </w:p>
        </w:tc>
      </w:tr>
      <w:tr>
        <w:trPr>
          <w:trHeight w:val="229"/>
        </w:trPr>
        <w:tc>
          <w:tcPr>
            <w:tcW w:w="5240" w:type="dxa"/>
            <w:vAlign w:val="bottom"/>
          </w:tcPr>
          <w:p>
            <w:pPr>
              <w:ind w:left="480"/>
              <w:spacing w:after="0"/>
              <w:rPr>
                <w:sz w:val="20"/>
                <w:szCs w:val="20"/>
                <w:color w:val="auto"/>
              </w:rPr>
            </w:pPr>
            <w:r>
              <w:rPr>
                <w:rFonts w:ascii="Arial" w:cs="Arial" w:eastAsia="Arial" w:hAnsi="Arial"/>
                <w:sz w:val="18"/>
                <w:szCs w:val="18"/>
                <w:color w:val="auto"/>
              </w:rPr>
              <w:t>Non-GSE residential certificates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45,223</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ABS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273,507</w:t>
            </w:r>
          </w:p>
        </w:tc>
        <w:tc>
          <w:tcPr>
            <w:tcW w:w="0" w:type="dxa"/>
            <w:vAlign w:val="bottom"/>
          </w:tcPr>
          <w:p>
            <w:pPr>
              <w:spacing w:after="0"/>
              <w:rPr>
                <w:sz w:val="1"/>
                <w:szCs w:val="1"/>
                <w:color w:val="auto"/>
              </w:rPr>
            </w:pPr>
          </w:p>
        </w:tc>
      </w:tr>
      <w:tr>
        <w:trPr>
          <w:trHeight w:val="229"/>
        </w:trPr>
        <w:tc>
          <w:tcPr>
            <w:tcW w:w="5240" w:type="dxa"/>
            <w:vAlign w:val="bottom"/>
          </w:tcPr>
          <w:p>
            <w:pPr>
              <w:ind w:left="440"/>
              <w:spacing w:after="0"/>
              <w:rPr>
                <w:sz w:val="20"/>
                <w:szCs w:val="20"/>
                <w:color w:val="auto"/>
              </w:rPr>
            </w:pPr>
            <w:r>
              <w:rPr>
                <w:rFonts w:ascii="Arial" w:cs="Arial" w:eastAsia="Arial" w:hAnsi="Arial"/>
                <w:sz w:val="18"/>
                <w:szCs w:val="18"/>
                <w:color w:val="auto"/>
              </w:rPr>
              <w:t>Municipal</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79,486</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574,609</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PACE assessments: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440"/>
              <w:spacing w:after="0"/>
              <w:rPr>
                <w:sz w:val="20"/>
                <w:szCs w:val="20"/>
                <w:color w:val="auto"/>
              </w:rPr>
            </w:pPr>
            <w:r>
              <w:rPr>
                <w:rFonts w:ascii="Arial" w:cs="Arial" w:eastAsia="Arial" w:hAnsi="Arial"/>
                <w:sz w:val="18"/>
                <w:szCs w:val="18"/>
                <w:color w:val="auto"/>
              </w:rPr>
              <w:t>Commercial PACE assessments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255,424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228,642</w:t>
            </w:r>
          </w:p>
        </w:tc>
        <w:tc>
          <w:tcPr>
            <w:tcW w:w="0" w:type="dxa"/>
            <w:vAlign w:val="bottom"/>
          </w:tcPr>
          <w:p>
            <w:pPr>
              <w:spacing w:after="0"/>
              <w:rPr>
                <w:sz w:val="1"/>
                <w:szCs w:val="1"/>
                <w:color w:val="auto"/>
              </w:rPr>
            </w:pPr>
          </w:p>
        </w:tc>
      </w:tr>
      <w:tr>
        <w:trPr>
          <w:trHeight w:val="23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PACE assessments</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656,453</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611,620</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911,877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(71,615)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840,262</w:t>
            </w:r>
          </w:p>
        </w:tc>
        <w:tc>
          <w:tcPr>
            <w:tcW w:w="0" w:type="dxa"/>
            <w:vAlign w:val="bottom"/>
          </w:tcPr>
          <w:p>
            <w:pPr>
              <w:spacing w:after="0"/>
              <w:rPr>
                <w:sz w:val="1"/>
                <w:szCs w:val="1"/>
                <w:color w:val="auto"/>
              </w:rPr>
            </w:pPr>
          </w:p>
        </w:tc>
      </w:tr>
      <w:tr>
        <w:trPr>
          <w:trHeight w:val="236"/>
        </w:trPr>
        <w:tc>
          <w:tcPr>
            <w:tcW w:w="5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880"/>
              <w:spacing w:after="0"/>
              <w:rPr>
                <w:sz w:val="20"/>
                <w:szCs w:val="20"/>
                <w:color w:val="auto"/>
              </w:rPr>
            </w:pPr>
            <w:r>
              <w:rPr>
                <w:rFonts w:ascii="Arial" w:cs="Arial" w:eastAsia="Arial" w:hAnsi="Arial"/>
                <w:sz w:val="18"/>
                <w:szCs w:val="18"/>
                <w:color w:val="auto"/>
              </w:rPr>
              <w:t>Total held-to-maturity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1,541,301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(126,439)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1,414,871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8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were no transfers to or from securities held-to-maturity during the three or six months ended June 30, 2023. The Company reassessed the classification of certain investments during the three months ended June 30, 2022 and transferred securities with a book value of $277.3 million from available-for-sale to held-to-maturity. The transfer occurred at a fair value totaling $260.1 million. The related unrealized losses of $17.1 million were converted to a discount that is being accreted through interest income on a level-yield method over the term of the securities, while the unrealized losses recorded in other comprehensive income are amortized out of other comprehensive income through interest income on a level-yield method over the remaining term of securities, with no net change to interest income. No gain or loss was recorded at the time of transfer.</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amortized cost and fair value of debt securities available for sale and held-to-maturity, exclusive of mortgage-backed securities, by their contractual maturity as of June 30, 2023. Actual maturities may differ from contractual maturities because borrowers may have the right to call or prepay obligations with or without penalty: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Available for Sale</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Held-to-maturity</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ind w:right="270"/>
              <w:spacing w:after="0" w:line="176" w:lineRule="exact"/>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270"/>
              <w:spacing w:after="0" w:line="176" w:lineRule="exact"/>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68,309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61,111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years through ten years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338,763</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ten years</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503,651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474,973</w:t>
            </w:r>
          </w:p>
        </w:tc>
        <w:tc>
          <w:tcPr>
            <w:tcW w:w="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1,396,746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1,244,576</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875,042</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1,416,727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1,263,157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and gains and losses realized on sales of available for sale securities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June 30, 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June 30, 2022</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30, 2023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June 30, 2022</w:t>
            </w:r>
          </w:p>
        </w:tc>
      </w:tr>
      <w:tr>
        <w:trPr>
          <w:trHeight w:val="176"/>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6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Realized losses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r>
      <w:tr>
        <w:trPr>
          <w:trHeight w:val="256"/>
        </w:trPr>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losses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sales of held-to-maturity securities during the three or six months ended June 30, 2023 or the three or six months ended June 30, 2022.</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controls and monitors inherent credit risk in its securities portfolio through due diligence, diversification, concentration limits, periodic securities reviews, and by investing in low risk securities. This includes high quality Non Agency Securities, low loan-to-value PACE Bonds and a significant portion of the securities portfolio in U.S. GSE obligations. GSEs include the Federal Home Loan Mortgage Corporation (“FHLMC”), the Federal National Mortgage Association (“FNMA”), the Government National Mortgage Association (“GNMA”) and the Small Business Administration (“SBA”). GNMA is a wholly owned U.S. Government corporation whereas FHLMC and FNMA are private. Mortgage-related securities may include mortgage pass-through certificates, participation certificates and CMOs.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summarizes the fair value and unrealized losses for those available for sale and unrecognized losses for those held-to-maturity securities as of June 30, 2023 and December 31, 2022, respectively, segregated between securities that have been in an unrealized or unrecognized loss position for less than twelve months and those that have been in a continuous unrealized or unrecognized loss position for twelve months or longer at the respective dates: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6"/>
                <w:szCs w:val="16"/>
                <w:b w:val="1"/>
                <w:bCs w:val="1"/>
                <w:color w:val="auto"/>
              </w:rPr>
              <w:t>Less Than Twelve Months</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6"/>
                <w:szCs w:val="16"/>
                <w:b w:val="1"/>
                <w:bCs w:val="1"/>
                <w:color w:val="auto"/>
              </w:rPr>
              <w:t>Twelve Months or Longer</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191"/>
              <w:spacing w:after="0" w:line="158" w:lineRule="exact"/>
              <w:rPr>
                <w:sz w:val="20"/>
                <w:szCs w:val="20"/>
                <w:color w:val="auto"/>
              </w:rPr>
            </w:pPr>
            <w:r>
              <w:rPr>
                <w:rFonts w:ascii="Arial" w:cs="Arial" w:eastAsia="Arial" w:hAnsi="Arial"/>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w w:val="93"/>
              </w:rPr>
              <w:t>Unrealized</w:t>
            </w:r>
          </w:p>
        </w:tc>
        <w:tc>
          <w:tcPr>
            <w:tcW w:w="0" w:type="dxa"/>
            <w:vAlign w:val="bottom"/>
          </w:tcPr>
          <w:p>
            <w:pPr>
              <w:spacing w:after="0"/>
              <w:rPr>
                <w:sz w:val="1"/>
                <w:szCs w:val="1"/>
                <w:color w:val="auto"/>
              </w:rPr>
            </w:pPr>
          </w:p>
        </w:tc>
      </w:tr>
      <w:tr>
        <w:trPr>
          <w:trHeight w:val="210"/>
        </w:trPr>
        <w:tc>
          <w:tcPr>
            <w:tcW w:w="3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Losses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79"/>
              </w:rPr>
              <w:t>Losses</w:t>
            </w:r>
          </w:p>
        </w:tc>
        <w:tc>
          <w:tcPr>
            <w:tcW w:w="0" w:type="dxa"/>
            <w:vAlign w:val="bottom"/>
          </w:tcPr>
          <w:p>
            <w:pPr>
              <w:spacing w:after="0"/>
              <w:rPr>
                <w:sz w:val="1"/>
                <w:szCs w:val="1"/>
                <w:color w:val="auto"/>
              </w:rPr>
            </w:pPr>
          </w:p>
        </w:tc>
      </w:tr>
      <w:tr>
        <w:trPr>
          <w:trHeight w:val="215"/>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Available for sale: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Mortgage-related:</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40"/>
              <w:spacing w:after="0"/>
              <w:rPr>
                <w:sz w:val="20"/>
                <w:szCs w:val="20"/>
                <w:color w:val="auto"/>
              </w:rPr>
            </w:pPr>
            <w:r>
              <w:rPr>
                <w:rFonts w:ascii="Arial" w:cs="Arial" w:eastAsia="Arial" w:hAnsi="Arial"/>
                <w:sz w:val="18"/>
                <w:szCs w:val="18"/>
                <w:color w:val="auto"/>
              </w:rPr>
              <w:t>GSE residential CMOs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39,625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324,083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35,998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363,708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38,168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GSE commercial certificates &amp; CMO</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37"/>
        </w:trPr>
        <w:tc>
          <w:tcPr>
            <w:tcW w:w="3120" w:type="dxa"/>
            <w:vAlign w:val="bottom"/>
          </w:tcPr>
          <w:p>
            <w:pPr>
              <w:ind w:left="240"/>
              <w:spacing w:after="0"/>
              <w:rPr>
                <w:sz w:val="20"/>
                <w:szCs w:val="20"/>
                <w:color w:val="auto"/>
              </w:rPr>
            </w:pPr>
            <w:r>
              <w:rPr>
                <w:rFonts w:ascii="Arial" w:cs="Arial" w:eastAsia="Arial" w:hAnsi="Arial"/>
                <w:sz w:val="18"/>
                <w:szCs w:val="18"/>
                <w:color w:val="auto"/>
              </w:rPr>
              <w:t>Non-GSE residential certificates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101,373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101,373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15,568</w:t>
            </w:r>
          </w:p>
        </w:tc>
        <w:tc>
          <w:tcPr>
            <w:tcW w:w="0" w:type="dxa"/>
            <w:vAlign w:val="bottom"/>
          </w:tcPr>
          <w:p>
            <w:pPr>
              <w:spacing w:after="0"/>
              <w:rPr>
                <w:sz w:val="1"/>
                <w:szCs w:val="1"/>
                <w:color w:val="auto"/>
              </w:rPr>
            </w:pPr>
          </w:p>
        </w:tc>
      </w:tr>
      <w:tr>
        <w:trPr>
          <w:trHeight w:val="236"/>
        </w:trPr>
        <w:tc>
          <w:tcPr>
            <w:tcW w:w="3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Non-GSE commercial certificates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10,827</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Other debt: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120" w:type="dxa"/>
            <w:vAlign w:val="bottom"/>
          </w:tcPr>
          <w:p>
            <w:pPr>
              <w:ind w:left="240"/>
              <w:spacing w:after="0"/>
              <w:rPr>
                <w:sz w:val="20"/>
                <w:szCs w:val="20"/>
                <w:color w:val="auto"/>
              </w:rPr>
            </w:pPr>
            <w:r>
              <w:rPr>
                <w:rFonts w:ascii="Arial" w:cs="Arial" w:eastAsia="Arial" w:hAnsi="Arial"/>
                <w:sz w:val="18"/>
                <w:szCs w:val="18"/>
                <w:color w:val="auto"/>
              </w:rPr>
              <w:t>ABS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680,461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701,385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31,671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Trust preferred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7"/>
        </w:trPr>
        <w:tc>
          <w:tcPr>
            <w:tcW w:w="3120" w:type="dxa"/>
            <w:vAlign w:val="bottom"/>
          </w:tcPr>
          <w:p>
            <w:pPr>
              <w:ind w:left="24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113,861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113,861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22,216</w:t>
            </w:r>
          </w:p>
        </w:tc>
        <w:tc>
          <w:tcPr>
            <w:tcW w:w="0" w:type="dxa"/>
            <w:vAlign w:val="bottom"/>
          </w:tcPr>
          <w:p>
            <w:pPr>
              <w:spacing w:after="0"/>
              <w:rPr>
                <w:sz w:val="1"/>
                <w:szCs w:val="1"/>
                <w:color w:val="auto"/>
              </w:rPr>
            </w:pPr>
          </w:p>
        </w:tc>
      </w:tr>
      <w:tr>
        <w:trPr>
          <w:trHeight w:val="236"/>
        </w:trPr>
        <w:tc>
          <w:tcPr>
            <w:tcW w:w="3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Residential PACE assessments</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3"/>
        </w:trPr>
        <w:tc>
          <w:tcPr>
            <w:tcW w:w="3120" w:type="dxa"/>
            <w:vAlign w:val="bottom"/>
          </w:tcPr>
          <w:p>
            <w:pPr>
              <w:ind w:left="360"/>
              <w:spacing w:after="0"/>
              <w:rPr>
                <w:sz w:val="20"/>
                <w:szCs w:val="20"/>
                <w:color w:val="auto"/>
              </w:rPr>
            </w:pPr>
            <w:r>
              <w:rPr>
                <w:rFonts w:ascii="Arial" w:cs="Arial" w:eastAsia="Arial" w:hAnsi="Arial"/>
                <w:sz w:val="18"/>
                <w:szCs w:val="18"/>
                <w:color w:val="auto"/>
              </w:rPr>
              <w:t>Total available for sale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1,425,377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1,548,286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128,238</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6"/>
                <w:szCs w:val="16"/>
                <w:b w:val="1"/>
                <w:bCs w:val="1"/>
                <w:color w:val="auto"/>
              </w:rPr>
              <w:t>Less Than Twelve Months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6"/>
                <w:szCs w:val="16"/>
                <w:b w:val="1"/>
                <w:bCs w:val="1"/>
                <w:color w:val="auto"/>
              </w:rPr>
              <w:t>Twelve Months or Longer</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91"/>
              <w:spacing w:after="0" w:line="158" w:lineRule="exact"/>
              <w:rPr>
                <w:sz w:val="20"/>
                <w:szCs w:val="20"/>
                <w:color w:val="auto"/>
              </w:rPr>
            </w:pPr>
            <w:r>
              <w:rPr>
                <w:rFonts w:ascii="Arial" w:cs="Arial" w:eastAsia="Arial" w:hAnsi="Arial"/>
                <w:sz w:val="16"/>
                <w:szCs w:val="16"/>
                <w:b w:val="1"/>
                <w:bCs w:val="1"/>
                <w:color w:val="auto"/>
                <w:w w:val="90"/>
              </w:rPr>
              <w:t>Unrecognized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w w:val="90"/>
              </w:rPr>
              <w:t>Unrecognized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w w:val="90"/>
              </w:rPr>
              <w:t>Unrecognized</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Losses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79"/>
              </w:rPr>
              <w:t>Losses</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Held-to-maturity:</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Traditional securities:</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40"/>
              <w:spacing w:after="0"/>
              <w:rPr>
                <w:sz w:val="20"/>
                <w:szCs w:val="20"/>
                <w:color w:val="auto"/>
              </w:rPr>
            </w:pPr>
            <w:r>
              <w:rPr>
                <w:rFonts w:ascii="Arial" w:cs="Arial" w:eastAsia="Arial" w:hAnsi="Arial"/>
                <w:sz w:val="18"/>
                <w:szCs w:val="18"/>
                <w:color w:val="auto"/>
              </w:rPr>
              <w:t>GSE CMOs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62,284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62,284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GSE commercial certificates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0" w:type="dxa"/>
            <w:vAlign w:val="bottom"/>
          </w:tcPr>
          <w:p>
            <w:pPr>
              <w:spacing w:after="0"/>
              <w:rPr>
                <w:sz w:val="1"/>
                <w:szCs w:val="1"/>
                <w:color w:val="auto"/>
              </w:rPr>
            </w:pPr>
          </w:p>
        </w:tc>
      </w:tr>
      <w:tr>
        <w:trPr>
          <w:trHeight w:val="237"/>
        </w:trPr>
        <w:tc>
          <w:tcPr>
            <w:tcW w:w="3120" w:type="dxa"/>
            <w:vAlign w:val="bottom"/>
          </w:tcPr>
          <w:p>
            <w:pPr>
              <w:ind w:left="240"/>
              <w:spacing w:after="0"/>
              <w:rPr>
                <w:sz w:val="20"/>
                <w:szCs w:val="20"/>
                <w:color w:val="auto"/>
              </w:rPr>
            </w:pPr>
            <w:r>
              <w:rPr>
                <w:rFonts w:ascii="Arial" w:cs="Arial" w:eastAsia="Arial" w:hAnsi="Arial"/>
                <w:sz w:val="18"/>
                <w:szCs w:val="18"/>
                <w:color w:val="auto"/>
              </w:rPr>
              <w:t>GSE residential certificates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6"/>
        </w:trPr>
        <w:tc>
          <w:tcPr>
            <w:tcW w:w="3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 GSE commercial certificates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29"/>
        </w:trPr>
        <w:tc>
          <w:tcPr>
            <w:tcW w:w="3120" w:type="dxa"/>
            <w:vAlign w:val="bottom"/>
          </w:tcPr>
          <w:p>
            <w:pPr>
              <w:ind w:left="240"/>
              <w:spacing w:after="0"/>
              <w:rPr>
                <w:sz w:val="20"/>
                <w:szCs w:val="20"/>
                <w:color w:val="auto"/>
              </w:rPr>
            </w:pPr>
            <w:r>
              <w:rPr>
                <w:rFonts w:ascii="Arial" w:cs="Arial" w:eastAsia="Arial" w:hAnsi="Arial"/>
                <w:sz w:val="18"/>
                <w:szCs w:val="18"/>
                <w:color w:val="auto"/>
              </w:rPr>
              <w:t>Non GSE residential certificates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ABS</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w:t>
            </w:r>
          </w:p>
        </w:tc>
        <w:tc>
          <w:tcPr>
            <w:tcW w:w="0" w:type="dxa"/>
            <w:vAlign w:val="bottom"/>
          </w:tcPr>
          <w:p>
            <w:pPr>
              <w:spacing w:after="0"/>
              <w:rPr>
                <w:sz w:val="1"/>
                <w:szCs w:val="1"/>
                <w:color w:val="auto"/>
              </w:rPr>
            </w:pPr>
          </w:p>
        </w:tc>
      </w:tr>
      <w:tr>
        <w:trPr>
          <w:trHeight w:val="230"/>
        </w:trPr>
        <w:tc>
          <w:tcPr>
            <w:tcW w:w="3120" w:type="dxa"/>
            <w:vAlign w:val="bottom"/>
          </w:tcPr>
          <w:p>
            <w:pPr>
              <w:ind w:left="240"/>
              <w:spacing w:after="0"/>
              <w:rPr>
                <w:sz w:val="20"/>
                <w:szCs w:val="20"/>
                <w:color w:val="auto"/>
              </w:rPr>
            </w:pPr>
            <w:r>
              <w:rPr>
                <w:rFonts w:ascii="Arial" w:cs="Arial" w:eastAsia="Arial" w:hAnsi="Arial"/>
                <w:sz w:val="18"/>
                <w:szCs w:val="18"/>
                <w:color w:val="auto"/>
              </w:rPr>
              <w:t>Municipal</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76,865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17,684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PACE assessments: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40"/>
              <w:spacing w:after="0"/>
              <w:rPr>
                <w:sz w:val="20"/>
                <w:szCs w:val="20"/>
                <w:color w:val="auto"/>
              </w:rPr>
            </w:pPr>
            <w:r>
              <w:rPr>
                <w:rFonts w:ascii="Arial" w:cs="Arial" w:eastAsia="Arial" w:hAnsi="Arial"/>
                <w:sz w:val="18"/>
                <w:szCs w:val="18"/>
                <w:color w:val="auto"/>
              </w:rPr>
              <w:t>Commercial PACE assessments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179,998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223,957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38,136</w:t>
            </w:r>
          </w:p>
        </w:tc>
        <w:tc>
          <w:tcPr>
            <w:tcW w:w="0" w:type="dxa"/>
            <w:vAlign w:val="bottom"/>
          </w:tcPr>
          <w:p>
            <w:pPr>
              <w:spacing w:after="0"/>
              <w:rPr>
                <w:sz w:val="1"/>
                <w:szCs w:val="1"/>
                <w:color w:val="auto"/>
              </w:rPr>
            </w:pPr>
          </w:p>
        </w:tc>
      </w:tr>
      <w:tr>
        <w:trPr>
          <w:trHeight w:val="222"/>
        </w:trPr>
        <w:tc>
          <w:tcPr>
            <w:tcW w:w="3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Residential PACE assessments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402,454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689,862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85,846</w:t>
            </w:r>
          </w:p>
        </w:tc>
        <w:tc>
          <w:tcPr>
            <w:tcW w:w="0" w:type="dxa"/>
            <w:vAlign w:val="bottom"/>
          </w:tcPr>
          <w:p>
            <w:pPr>
              <w:spacing w:after="0"/>
              <w:rPr>
                <w:sz w:val="1"/>
                <w:szCs w:val="1"/>
                <w:color w:val="auto"/>
              </w:rPr>
            </w:pPr>
          </w:p>
        </w:tc>
      </w:tr>
      <w:tr>
        <w:trPr>
          <w:trHeight w:val="236"/>
        </w:trPr>
        <w:tc>
          <w:tcPr>
            <w:tcW w:w="3120" w:type="dxa"/>
            <w:vAlign w:val="bottom"/>
          </w:tcPr>
          <w:p>
            <w:pPr>
              <w:ind w:left="360"/>
              <w:spacing w:after="0"/>
              <w:rPr>
                <w:sz w:val="20"/>
                <w:szCs w:val="20"/>
                <w:color w:val="auto"/>
              </w:rPr>
            </w:pPr>
            <w:r>
              <w:rPr>
                <w:rFonts w:ascii="Arial" w:cs="Arial" w:eastAsia="Arial" w:hAnsi="Arial"/>
                <w:sz w:val="18"/>
                <w:szCs w:val="18"/>
                <w:color w:val="auto"/>
              </w:rPr>
              <w:t>Total held-to-maturity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371,009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30,177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1,105,813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148,120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1,476,822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178,297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6"/>
                <w:szCs w:val="16"/>
                <w:b w:val="1"/>
                <w:bCs w:val="1"/>
                <w:color w:val="auto"/>
              </w:rPr>
              <w:t>Less Than Twelve Months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6"/>
                <w:szCs w:val="16"/>
                <w:b w:val="1"/>
                <w:bCs w:val="1"/>
                <w:color w:val="auto"/>
              </w:rPr>
              <w:t>Twelve Months or Longer</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72"/>
              <w:spacing w:after="0" w:line="15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72"/>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83"/>
              </w:rPr>
              <w:t>Losses</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Available for sale:</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Mortgage-related:</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GSE residential CMOs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231,562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13,937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151,285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24,356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382,847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38,293</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GSE commercial certificates &amp; CMO</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Non-GSE residential certificates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72,527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107,080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16,059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Non-GSE commercial certificates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w:t>
            </w:r>
          </w:p>
        </w:tc>
        <w:tc>
          <w:tcPr>
            <w:tcW w:w="0" w:type="dxa"/>
            <w:vAlign w:val="bottom"/>
          </w:tcPr>
          <w:p>
            <w:pPr>
              <w:spacing w:after="0"/>
              <w:rPr>
                <w:sz w:val="1"/>
                <w:szCs w:val="1"/>
                <w:color w:val="auto"/>
              </w:rPr>
            </w:pPr>
          </w:p>
        </w:tc>
      </w:tr>
      <w:tr>
        <w:trPr>
          <w:trHeight w:val="237"/>
        </w:trPr>
        <w:tc>
          <w:tcPr>
            <w:tcW w:w="3160" w:type="dxa"/>
            <w:vAlign w:val="bottom"/>
          </w:tcPr>
          <w:p>
            <w:pPr>
              <w:ind w:left="120"/>
              <w:spacing w:after="0"/>
              <w:rPr>
                <w:sz w:val="20"/>
                <w:szCs w:val="20"/>
                <w:color w:val="auto"/>
              </w:rPr>
            </w:pPr>
            <w:r>
              <w:rPr>
                <w:rFonts w:ascii="Arial" w:cs="Arial" w:eastAsia="Arial" w:hAnsi="Arial"/>
                <w:sz w:val="18"/>
                <w:szCs w:val="18"/>
                <w:color w:val="auto"/>
              </w:rPr>
              <w:t>Other debt:</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ABS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530,269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299,425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829,694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39,617</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Trust preferred</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89,054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17,466</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available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131,925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6"/>
                <w:szCs w:val="16"/>
                <w:b w:val="1"/>
                <w:bCs w:val="1"/>
                <w:color w:val="auto"/>
              </w:rPr>
              <w:t>Less Than Twelve Months</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6"/>
                <w:szCs w:val="16"/>
                <w:b w:val="1"/>
                <w:bCs w:val="1"/>
                <w:color w:val="auto"/>
              </w:rPr>
              <w:t>Twelve Months or Longer</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w w:val="90"/>
              </w:rPr>
              <w:t>Unrecognized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72"/>
              <w:spacing w:after="0" w:line="158" w:lineRule="exact"/>
              <w:rPr>
                <w:sz w:val="20"/>
                <w:szCs w:val="20"/>
                <w:color w:val="auto"/>
              </w:rPr>
            </w:pPr>
            <w:r>
              <w:rPr>
                <w:rFonts w:ascii="Arial" w:cs="Arial" w:eastAsia="Arial" w:hAnsi="Arial"/>
                <w:sz w:val="16"/>
                <w:szCs w:val="16"/>
                <w:b w:val="1"/>
                <w:bCs w:val="1"/>
                <w:color w:val="auto"/>
                <w:w w:val="90"/>
              </w:rPr>
              <w:t>Unrecognized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72"/>
              <w:spacing w:after="0" w:line="158" w:lineRule="exact"/>
              <w:rPr>
                <w:sz w:val="20"/>
                <w:szCs w:val="20"/>
                <w:color w:val="auto"/>
              </w:rPr>
            </w:pPr>
            <w:r>
              <w:rPr>
                <w:rFonts w:ascii="Arial" w:cs="Arial" w:eastAsia="Arial" w:hAnsi="Arial"/>
                <w:sz w:val="16"/>
                <w:szCs w:val="16"/>
                <w:b w:val="1"/>
                <w:bCs w:val="1"/>
                <w:color w:val="auto"/>
                <w:w w:val="88"/>
              </w:rPr>
              <w:t>Unrecognized</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83"/>
              </w:rPr>
              <w:t>Losses</w:t>
            </w:r>
          </w:p>
        </w:tc>
        <w:tc>
          <w:tcPr>
            <w:tcW w:w="0" w:type="dxa"/>
            <w:vAlign w:val="bottom"/>
          </w:tcPr>
          <w:p>
            <w:pPr>
              <w:spacing w:after="0"/>
              <w:rPr>
                <w:sz w:val="1"/>
                <w:szCs w:val="1"/>
                <w:color w:val="auto"/>
              </w:rPr>
            </w:pPr>
          </w:p>
        </w:tc>
      </w:tr>
      <w:tr>
        <w:trPr>
          <w:trHeight w:val="222"/>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Held-to-maturity:</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Traditional securities:</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GSE CMOs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54,475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65,337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GSE commercial certificates</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GSE residential certificates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 GSE commercial certificates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37"/>
        </w:trPr>
        <w:tc>
          <w:tcPr>
            <w:tcW w:w="3160" w:type="dxa"/>
            <w:vAlign w:val="bottom"/>
          </w:tcPr>
          <w:p>
            <w:pPr>
              <w:ind w:left="240"/>
              <w:spacing w:after="0"/>
              <w:rPr>
                <w:sz w:val="20"/>
                <w:szCs w:val="20"/>
                <w:color w:val="auto"/>
              </w:rPr>
            </w:pPr>
            <w:r>
              <w:rPr>
                <w:rFonts w:ascii="Arial" w:cs="Arial" w:eastAsia="Arial" w:hAnsi="Arial"/>
                <w:sz w:val="18"/>
                <w:szCs w:val="18"/>
                <w:color w:val="auto"/>
              </w:rPr>
              <w:t>Non GSE residential certificates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36"/>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ABS</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15,175</w:t>
            </w: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Municipal</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15,999</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PACE assessments:</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Commercial PACE assessments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228,642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228,642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26,782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Residential PACE assessments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611,620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611,620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44,833</w:t>
            </w:r>
          </w:p>
        </w:tc>
        <w:tc>
          <w:tcPr>
            <w:tcW w:w="0" w:type="dxa"/>
            <w:vAlign w:val="bottom"/>
          </w:tcPr>
          <w:p>
            <w:pPr>
              <w:spacing w:after="0"/>
              <w:rPr>
                <w:sz w:val="1"/>
                <w:szCs w:val="1"/>
                <w:color w:val="auto"/>
              </w:rPr>
            </w:pPr>
          </w:p>
        </w:tc>
      </w:tr>
      <w:tr>
        <w:trPr>
          <w:trHeight w:val="223"/>
        </w:trPr>
        <w:tc>
          <w:tcPr>
            <w:tcW w:w="3160" w:type="dxa"/>
            <w:vAlign w:val="bottom"/>
          </w:tcPr>
          <w:p>
            <w:pPr>
              <w:ind w:left="340"/>
              <w:spacing w:after="0"/>
              <w:rPr>
                <w:sz w:val="20"/>
                <w:szCs w:val="20"/>
                <w:color w:val="auto"/>
              </w:rPr>
            </w:pPr>
            <w:r>
              <w:rPr>
                <w:rFonts w:ascii="Arial" w:cs="Arial" w:eastAsia="Arial" w:hAnsi="Arial"/>
                <w:sz w:val="18"/>
                <w:szCs w:val="18"/>
                <w:color w:val="auto"/>
              </w:rPr>
              <w:t>Total held-to-maturity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1,267,169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1,412,850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126,439</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 for sale securities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discussed in Note 1, upon adoption of the Current Expected Credit Losses ("CECL") standard, no allowance for credit losses was recorded on available for sale securities. During the three months ended March 31, 2023, a Corporate bond related to Silicon Valley Bank ("SIVB") was placed on nonaccrual status following credit concerns over the issuer. As a result, Management charged-off the $1.2 million unrealized loss position given Management's intent to sell the Corporate bond and unlikely recovery of the unrealized position. The sale of the security in the second quarter of 2023 resulted in an immaterial additional loss. During the three months ended June 30, 2023, no available for sale securities were charged-off.</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of June 30, 2023, none of the Company’s available for sale debt securities were in an unrealized loss position due to credit and therefore no allowance for credit losses on available for sale debt securities was required. The temporary impairment of fixed income securities is primarily attributable to changes in overall market interest rates and/or changes in credit/liquidity spreads since the investments were acquired. In general, as market interest rates rise and/or credit/liquidity spreads widen, the fair value of fixed rate securities will decrease, as market interest rates fall and/or credit spreads tighten, the fair value of fixed rate securities will increase.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With respect to the Company’s security investments that are temporarily impaired as of June 30, 2023, management does not intend to sell these investments and does not believe it will be necessary to do so before anticipated recovery. If either criteria regarding intent or requirement to sell is met, the security's amortized cost basis is written down to fair value through income. The Company expects to collect all amounts due according to the contractual terms of these investments. Therefore, the Company does not hold an allowance for credit losses for available for sale securities at June 30,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Held-to-maturity securities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conducts an evaluation of expected credit losses on held-to-maturity securities on a collective basis by security type. Management monitors the credit quality of debt securities held-to-maturity through reasonable and supportable forecasts, reviews of credit trends on underlying assets, credit ratings, and other factors. Holdings of securities issued by GSEs with unrealized losses are either explicitly or implicitly guaranteed by the U.S. government, and are highly rated by major rating agencies and have a long history of no credit losses.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the exception of PACE assessments, which are generally not rated, our traditional securities were rated investment grade by at least one nationally recognized statistical rating organization with no ratings below investment grade. All issues were current as to their interest payments. We have had insignificant losses on PACE assessments that we have invested in and are not aware of any significant losses in the PACE bonds sector given the low loan-to-value position and the superior lien position on the property. Management considers that the temporary impairment of these investments as of June 30, 2023 is primarily due to an increase in interest rates and spreads since the time these investments were acquired.</w:t>
      </w: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Accrued interest receivable on securities totaling $26.0 million and $22.4 million at June 30, 2023 and December 31, 2022, respectively, was included in other assets in the consolidated balance sheet and excluded from the amortized cost and estimated fair value totals in the table above.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activity in the allowance for credit losses for securities held-to-maturity for the three months ended June 30,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Non-GSE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75"/>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commercial</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certificates</w:t>
            </w:r>
          </w:p>
        </w:tc>
        <w:tc>
          <w:tcPr>
            <w:tcW w:w="100" w:type="dxa"/>
            <w:vAlign w:val="bottom"/>
          </w:tcPr>
          <w:p>
            <w:pPr>
              <w:spacing w:after="0"/>
              <w:rPr>
                <w:sz w:val="21"/>
                <w:szCs w:val="21"/>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3"/>
              </w:rPr>
              <w:t>Commercial PACE</w:t>
            </w:r>
          </w:p>
        </w:tc>
        <w:tc>
          <w:tcPr>
            <w:tcW w:w="80" w:type="dxa"/>
            <w:vAlign w:val="bottom"/>
          </w:tcPr>
          <w:p>
            <w:pPr>
              <w:spacing w:after="0"/>
              <w:rPr>
                <w:sz w:val="21"/>
                <w:szCs w:val="2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Residential PACE</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0"/>
        </w:trPr>
        <w:tc>
          <w:tcPr>
            <w:tcW w:w="490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58</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7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Provision for (recovery of) credit losses</w:t>
            </w: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activity in the allowance for credit losses for securities held-to-maturity for the six months ended June 30,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Non-GSE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75"/>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commercial</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certificates</w:t>
            </w:r>
          </w:p>
        </w:tc>
        <w:tc>
          <w:tcPr>
            <w:tcW w:w="100" w:type="dxa"/>
            <w:vAlign w:val="bottom"/>
          </w:tcPr>
          <w:p>
            <w:pPr>
              <w:spacing w:after="0"/>
              <w:rPr>
                <w:sz w:val="21"/>
                <w:szCs w:val="21"/>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3"/>
              </w:rPr>
              <w:t>Commercial PACE</w:t>
            </w:r>
          </w:p>
        </w:tc>
        <w:tc>
          <w:tcPr>
            <w:tcW w:w="80" w:type="dxa"/>
            <w:vAlign w:val="bottom"/>
          </w:tcPr>
          <w:p>
            <w:pPr>
              <w:spacing w:after="0"/>
              <w:rPr>
                <w:sz w:val="21"/>
                <w:szCs w:val="2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Residential PACE</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7"/>
        </w:trPr>
        <w:tc>
          <w:tcPr>
            <w:tcW w:w="490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Adoption of ASU No. 2016-13</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(recovery of) credit losses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7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0"/>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9"/>
          <w:szCs w:val="19"/>
          <w:b w:val="1"/>
          <w:bCs w:val="1"/>
          <w:color w:val="auto"/>
        </w:rPr>
        <w:t>LOANS RECEIVABLE, NET</w:t>
      </w:r>
    </w:p>
    <w:p>
      <w:pPr>
        <w:spacing w:after="0" w:line="23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With the adoption of ASU 2016-13 on January 1, 2023, all loan balances in this footnote for the period ended June 30, 2023 are presented at amortized cost, net of deferred loan origination costs. Loan balances for the period ended December 31, 2022 are presented at unpaid principal balance.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Loans receivable are summarized as follows: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6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57"/>
        </w:trPr>
        <w:tc>
          <w:tcPr>
            <w:tcW w:w="69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949,403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925,641</w:t>
            </w:r>
          </w:p>
        </w:tc>
        <w:tc>
          <w:tcPr>
            <w:tcW w:w="0" w:type="dxa"/>
            <w:vAlign w:val="bottom"/>
          </w:tcPr>
          <w:p>
            <w:pPr>
              <w:spacing w:after="0"/>
              <w:rPr>
                <w:sz w:val="1"/>
                <w:szCs w:val="1"/>
                <w:color w:val="auto"/>
              </w:rPr>
            </w:pPr>
          </w:p>
        </w:tc>
      </w:tr>
      <w:tr>
        <w:trPr>
          <w:trHeight w:val="237"/>
        </w:trPr>
        <w:tc>
          <w:tcPr>
            <w:tcW w:w="692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1,095,752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967,521</w:t>
            </w:r>
          </w:p>
        </w:tc>
        <w:tc>
          <w:tcPr>
            <w:tcW w:w="0" w:type="dxa"/>
            <w:vAlign w:val="bottom"/>
          </w:tcPr>
          <w:p>
            <w:pPr>
              <w:spacing w:after="0"/>
              <w:rPr>
                <w:sz w:val="1"/>
                <w:szCs w:val="1"/>
                <w:color w:val="auto"/>
              </w:rPr>
            </w:pPr>
          </w:p>
        </w:tc>
      </w:tr>
      <w:tr>
        <w:trPr>
          <w:trHeight w:val="23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333,340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335,133</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37,696</w:t>
            </w:r>
          </w:p>
        </w:tc>
        <w:tc>
          <w:tcPr>
            <w:tcW w:w="0" w:type="dxa"/>
            <w:vAlign w:val="bottom"/>
          </w:tcPr>
          <w:p>
            <w:pPr>
              <w:spacing w:after="0"/>
              <w:rPr>
                <w:sz w:val="1"/>
                <w:szCs w:val="1"/>
                <w:color w:val="auto"/>
              </w:rPr>
            </w:pPr>
          </w:p>
        </w:tc>
      </w:tr>
      <w:tr>
        <w:trPr>
          <w:trHeight w:val="237"/>
        </w:trPr>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commercial portfolio</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2,407,159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2,265,991</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Residential real estate lending</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1,388,571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1,371,779</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solar</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416,849</w:t>
            </w:r>
          </w:p>
        </w:tc>
        <w:tc>
          <w:tcPr>
            <w:tcW w:w="0" w:type="dxa"/>
            <w:vAlign w:val="bottom"/>
          </w:tcPr>
          <w:p>
            <w:pPr>
              <w:spacing w:after="0"/>
              <w:rPr>
                <w:sz w:val="1"/>
                <w:szCs w:val="1"/>
                <w:color w:val="auto"/>
              </w:rPr>
            </w:pPr>
          </w:p>
        </w:tc>
      </w:tr>
      <w:tr>
        <w:trPr>
          <w:trHeight w:val="243"/>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 and other</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47,150</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retail portfolio</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1,844,579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1,835,778</w:t>
            </w:r>
          </w:p>
        </w:tc>
        <w:tc>
          <w:tcPr>
            <w:tcW w:w="0" w:type="dxa"/>
            <w:vAlign w:val="bottom"/>
          </w:tcPr>
          <w:p>
            <w:pPr>
              <w:spacing w:after="0"/>
              <w:rPr>
                <w:sz w:val="1"/>
                <w:szCs w:val="1"/>
                <w:color w:val="auto"/>
              </w:rPr>
            </w:pPr>
          </w:p>
        </w:tc>
      </w:tr>
      <w:tr>
        <w:trPr>
          <w:trHeight w:val="223"/>
        </w:trPr>
        <w:tc>
          <w:tcPr>
            <w:tcW w:w="6920" w:type="dxa"/>
            <w:vAlign w:val="bottom"/>
          </w:tcPr>
          <w:p>
            <w:pPr>
              <w:ind w:left="360"/>
              <w:spacing w:after="0"/>
              <w:rPr>
                <w:sz w:val="20"/>
                <w:szCs w:val="20"/>
                <w:color w:val="auto"/>
              </w:rPr>
            </w:pPr>
            <w:r>
              <w:rPr>
                <w:rFonts w:ascii="Arial" w:cs="Arial" w:eastAsia="Arial" w:hAnsi="Arial"/>
                <w:sz w:val="18"/>
                <w:szCs w:val="18"/>
                <w:color w:val="auto"/>
              </w:rPr>
              <w:t>Total loans receivable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4,251,738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4,101,769</w:t>
            </w:r>
          </w:p>
        </w:tc>
        <w:tc>
          <w:tcPr>
            <w:tcW w:w="0" w:type="dxa"/>
            <w:vAlign w:val="bottom"/>
          </w:tcPr>
          <w:p>
            <w:pPr>
              <w:spacing w:after="0"/>
              <w:rPr>
                <w:sz w:val="1"/>
                <w:szCs w:val="1"/>
                <w:color w:val="auto"/>
              </w:rPr>
            </w:pPr>
          </w:p>
        </w:tc>
      </w:tr>
      <w:tr>
        <w:trPr>
          <w:trHeight w:val="24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loan origination costs</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23"/>
        </w:trPr>
        <w:tc>
          <w:tcPr>
            <w:tcW w:w="6920" w:type="dxa"/>
            <w:vAlign w:val="bottom"/>
          </w:tcPr>
          <w:p>
            <w:pPr>
              <w:ind w:left="360"/>
              <w:spacing w:after="0"/>
              <w:rPr>
                <w:sz w:val="20"/>
                <w:szCs w:val="20"/>
                <w:color w:val="auto"/>
              </w:rPr>
            </w:pPr>
            <w:r>
              <w:rPr>
                <w:rFonts w:ascii="Arial" w:cs="Arial" w:eastAsia="Arial" w:hAnsi="Arial"/>
                <w:sz w:val="18"/>
                <w:szCs w:val="18"/>
                <w:color w:val="auto"/>
              </w:rPr>
              <w:t>Total loans receivable, net of deferred loan origination costs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4,251,738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4,106,002</w:t>
            </w:r>
          </w:p>
        </w:tc>
        <w:tc>
          <w:tcPr>
            <w:tcW w:w="0" w:type="dxa"/>
            <w:vAlign w:val="bottom"/>
          </w:tcPr>
          <w:p>
            <w:pPr>
              <w:spacing w:after="0"/>
              <w:rPr>
                <w:sz w:val="1"/>
                <w:szCs w:val="1"/>
                <w:color w:val="auto"/>
              </w:rPr>
            </w:pPr>
          </w:p>
        </w:tc>
      </w:tr>
      <w:tr>
        <w:trPr>
          <w:trHeight w:val="229"/>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(45,031)</w:t>
            </w:r>
          </w:p>
        </w:tc>
        <w:tc>
          <w:tcPr>
            <w:tcW w:w="0" w:type="dxa"/>
            <w:vAlign w:val="bottom"/>
          </w:tcPr>
          <w:p>
            <w:pPr>
              <w:spacing w:after="0"/>
              <w:rPr>
                <w:sz w:val="1"/>
                <w:szCs w:val="1"/>
                <w:color w:val="auto"/>
              </w:rPr>
            </w:pPr>
          </w:p>
        </w:tc>
      </w:tr>
      <w:tr>
        <w:trPr>
          <w:trHeight w:val="236"/>
        </w:trPr>
        <w:tc>
          <w:tcPr>
            <w:tcW w:w="6920" w:type="dxa"/>
            <w:vAlign w:val="bottom"/>
          </w:tcPr>
          <w:p>
            <w:pPr>
              <w:ind w:left="360"/>
              <w:spacing w:after="0"/>
              <w:rPr>
                <w:sz w:val="20"/>
                <w:szCs w:val="20"/>
                <w:color w:val="auto"/>
              </w:rPr>
            </w:pPr>
            <w:r>
              <w:rPr>
                <w:rFonts w:ascii="Arial" w:cs="Arial" w:eastAsia="Arial" w:hAnsi="Arial"/>
                <w:sz w:val="18"/>
                <w:szCs w:val="18"/>
                <w:color w:val="auto"/>
              </w:rPr>
              <w:t>Total loans receivable,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4,184,307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4,060,971</w:t>
            </w:r>
          </w:p>
        </w:tc>
        <w:tc>
          <w:tcPr>
            <w:tcW w:w="0" w:type="dxa"/>
            <w:vAlign w:val="bottom"/>
          </w:tcPr>
          <w:p>
            <w:pPr>
              <w:spacing w:after="0"/>
              <w:rPr>
                <w:sz w:val="1"/>
                <w:szCs w:val="1"/>
                <w:color w:val="auto"/>
              </w:rPr>
            </w:pPr>
          </w:p>
        </w:tc>
      </w:tr>
      <w:tr>
        <w:trPr>
          <w:trHeight w:val="21"/>
        </w:trPr>
        <w:tc>
          <w:tcPr>
            <w:tcW w:w="6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the past due status of the Company’s loans as of June 30,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90 Days 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w w:val="99"/>
              </w:rPr>
              <w:t>More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w w:val="94"/>
              </w:rPr>
              <w:t>Delinquent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6"/>
                <w:szCs w:val="16"/>
                <w:b w:val="1"/>
                <w:bCs w:val="1"/>
                <w:color w:val="auto"/>
                <w:w w:val="93"/>
              </w:rPr>
              <w:t>30-89 Days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Non-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w w:val="93"/>
              </w:rPr>
              <w:t>and Still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112"/>
              <w:spacing w:after="0"/>
              <w:rPr>
                <w:sz w:val="20"/>
                <w:szCs w:val="20"/>
                <w:color w:val="auto"/>
              </w:rPr>
            </w:pPr>
            <w:r>
              <w:rPr>
                <w:rFonts w:ascii="Arial" w:cs="Arial" w:eastAsia="Arial" w:hAnsi="Arial"/>
                <w:sz w:val="16"/>
                <w:szCs w:val="16"/>
                <w:b w:val="1"/>
                <w:bCs w:val="1"/>
                <w:color w:val="auto"/>
                <w:w w:val="94"/>
              </w:rPr>
              <w:t>Total Past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w w:val="91"/>
              </w:rPr>
              <w:t>Total Loans</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34"/>
              <w:spacing w:after="0" w:line="162" w:lineRule="exact"/>
              <w:rPr>
                <w:sz w:val="20"/>
                <w:szCs w:val="20"/>
                <w:color w:val="auto"/>
              </w:rPr>
            </w:pPr>
            <w:r>
              <w:rPr>
                <w:rFonts w:ascii="Arial" w:cs="Arial" w:eastAsia="Arial" w:hAnsi="Arial"/>
                <w:sz w:val="16"/>
                <w:szCs w:val="16"/>
                <w:b w:val="1"/>
                <w:bCs w:val="1"/>
                <w:color w:val="auto"/>
                <w:w w:val="92"/>
              </w:rPr>
              <w:t>Accruing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Past Due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Accrual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3"/>
              </w:rPr>
              <w:t>Interest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Due</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3"/>
              </w:rPr>
              <w:t>Receivable</w:t>
            </w:r>
          </w:p>
        </w:tc>
        <w:tc>
          <w:tcPr>
            <w:tcW w:w="0" w:type="dxa"/>
            <w:vAlign w:val="bottom"/>
          </w:tcPr>
          <w:p>
            <w:pPr>
              <w:spacing w:after="0"/>
              <w:rPr>
                <w:sz w:val="1"/>
                <w:szCs w:val="1"/>
                <w:color w:val="auto"/>
              </w:rPr>
            </w:pPr>
          </w:p>
        </w:tc>
      </w:tr>
      <w:tr>
        <w:trPr>
          <w:trHeight w:val="163"/>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941,828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949,403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1,091,068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1,095,752</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333,340</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28,664</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commercial portfolio</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2,364,649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2,407,159</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Residential real estate lending</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1,384,452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1,388,571</w:t>
            </w: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solar</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411,873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Consumer and other</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42,787</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retail portfolio</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1,832,779</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1,844,579</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20,626</w:t>
            </w:r>
          </w:p>
        </w:tc>
        <w:tc>
          <w:tcPr>
            <w:tcW w:w="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33,684</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54,310</w:t>
            </w:r>
          </w:p>
        </w:tc>
        <w:tc>
          <w:tcPr>
            <w:tcW w:w="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4,197,428</w:t>
            </w: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4,251,738</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the past due status of the Company’s loans as of December 31,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90 Days 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3"/>
              <w:spacing w:after="0"/>
              <w:rPr>
                <w:sz w:val="20"/>
                <w:szCs w:val="20"/>
                <w:color w:val="auto"/>
              </w:rPr>
            </w:pPr>
            <w:r>
              <w:rPr>
                <w:rFonts w:ascii="Arial" w:cs="Arial" w:eastAsia="Arial" w:hAnsi="Arial"/>
                <w:sz w:val="16"/>
                <w:szCs w:val="16"/>
                <w:b w:val="1"/>
                <w:bCs w:val="1"/>
                <w:color w:val="auto"/>
                <w:w w:val="99"/>
              </w:rPr>
              <w:t>More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3"/>
              <w:spacing w:after="0"/>
              <w:rPr>
                <w:sz w:val="20"/>
                <w:szCs w:val="20"/>
                <w:color w:val="auto"/>
              </w:rPr>
            </w:pPr>
            <w:r>
              <w:rPr>
                <w:rFonts w:ascii="Arial" w:cs="Arial" w:eastAsia="Arial" w:hAnsi="Arial"/>
                <w:sz w:val="16"/>
                <w:szCs w:val="16"/>
                <w:b w:val="1"/>
                <w:bCs w:val="1"/>
                <w:color w:val="auto"/>
                <w:w w:val="94"/>
              </w:rPr>
              <w:t>Delinquent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3"/>
              <w:spacing w:after="0"/>
              <w:rPr>
                <w:sz w:val="20"/>
                <w:szCs w:val="20"/>
                <w:color w:val="auto"/>
              </w:rPr>
            </w:pPr>
            <w:r>
              <w:rPr>
                <w:rFonts w:ascii="Arial" w:cs="Arial" w:eastAsia="Arial" w:hAnsi="Arial"/>
                <w:sz w:val="16"/>
                <w:szCs w:val="16"/>
                <w:b w:val="1"/>
                <w:bCs w:val="1"/>
                <w:color w:val="auto"/>
                <w:w w:val="93"/>
              </w:rPr>
              <w:t>and Still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72"/>
              <w:spacing w:after="0"/>
              <w:rPr>
                <w:sz w:val="20"/>
                <w:szCs w:val="20"/>
                <w:color w:val="auto"/>
              </w:rPr>
            </w:pPr>
            <w:r>
              <w:rPr>
                <w:rFonts w:ascii="Arial" w:cs="Arial" w:eastAsia="Arial" w:hAnsi="Arial"/>
                <w:sz w:val="16"/>
                <w:szCs w:val="16"/>
                <w:b w:val="1"/>
                <w:bCs w:val="1"/>
                <w:color w:val="auto"/>
                <w:w w:val="93"/>
              </w:rPr>
              <w:t>30-89 Days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72"/>
              <w:spacing w:after="0"/>
              <w:rPr>
                <w:sz w:val="20"/>
                <w:szCs w:val="20"/>
                <w:color w:val="auto"/>
              </w:rPr>
            </w:pPr>
            <w:r>
              <w:rPr>
                <w:rFonts w:ascii="Arial" w:cs="Arial" w:eastAsia="Arial" w:hAnsi="Arial"/>
                <w:sz w:val="16"/>
                <w:szCs w:val="16"/>
                <w:b w:val="1"/>
                <w:bCs w:val="1"/>
                <w:color w:val="auto"/>
              </w:rPr>
              <w:t>Non-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3"/>
              <w:spacing w:after="0"/>
              <w:rPr>
                <w:sz w:val="20"/>
                <w:szCs w:val="20"/>
                <w:color w:val="auto"/>
              </w:rPr>
            </w:pPr>
            <w:r>
              <w:rPr>
                <w:rFonts w:ascii="Arial" w:cs="Arial" w:eastAsia="Arial" w:hAnsi="Arial"/>
                <w:sz w:val="16"/>
                <w:szCs w:val="16"/>
                <w:b w:val="1"/>
                <w:bCs w:val="1"/>
                <w:color w:val="auto"/>
                <w:w w:val="92"/>
              </w:rPr>
              <w:t>Accruing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Total Past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52"/>
              <w:spacing w:after="0"/>
              <w:rPr>
                <w:sz w:val="20"/>
                <w:szCs w:val="20"/>
                <w:color w:val="auto"/>
              </w:rPr>
            </w:pPr>
            <w:r>
              <w:rPr>
                <w:rFonts w:ascii="Arial" w:cs="Arial" w:eastAsia="Arial" w:hAnsi="Arial"/>
                <w:sz w:val="16"/>
                <w:szCs w:val="16"/>
                <w:b w:val="1"/>
                <w:bCs w:val="1"/>
                <w:color w:val="auto"/>
                <w:w w:val="91"/>
              </w:rPr>
              <w:t>Total Loans</w:t>
            </w:r>
          </w:p>
        </w:tc>
      </w:tr>
      <w:tr>
        <w:trPr>
          <w:trHeight w:val="223"/>
        </w:trPr>
        <w:tc>
          <w:tcPr>
            <w:tcW w:w="4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Past Due</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Accrual</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3"/>
              </w:rPr>
              <w:t>Interest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Due</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3"/>
              </w:rPr>
              <w:t>Receivable</w:t>
            </w: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915,985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925,641</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963,693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967,521</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335,133</w:t>
            </w:r>
          </w:p>
        </w:tc>
      </w:tr>
      <w:tr>
        <w:trPr>
          <w:trHeight w:val="24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and land development</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37,696</w:t>
            </w:r>
          </w:p>
        </w:tc>
      </w:tr>
      <w:tr>
        <w:trPr>
          <w:trHeight w:val="223"/>
        </w:trPr>
        <w:tc>
          <w:tcPr>
            <w:tcW w:w="4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commercial portfolio</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2,219,512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2,265,991</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Residential real estate lending</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1,368,787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1,371,779</w:t>
            </w: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solar</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416,849</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 and other</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46,925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47,150</w:t>
            </w:r>
          </w:p>
        </w:tc>
      </w:tr>
      <w:tr>
        <w:trPr>
          <w:trHeight w:val="223"/>
        </w:trPr>
        <w:tc>
          <w:tcPr>
            <w:tcW w:w="4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retail portfolio</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1,827,657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1,835,778</w:t>
            </w:r>
          </w:p>
        </w:tc>
      </w:tr>
      <w:tr>
        <w:trPr>
          <w:trHeight w:val="230"/>
        </w:trPr>
        <w:tc>
          <w:tcPr>
            <w:tcW w:w="40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32,901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21,699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54,600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4,047,169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4,101,769</w:t>
            </w:r>
          </w:p>
        </w:tc>
      </w:tr>
      <w:tr>
        <w:trPr>
          <w:trHeight w:val="27"/>
        </w:trPr>
        <w:tc>
          <w:tcPr>
            <w:tcW w:w="40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regarding loan modifications granted to borrowers experiencing financial difficulty during the three and six months ended June 30,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80" w:type="dxa"/>
            <w:vAlign w:val="bottom"/>
            <w:gridSpan w:val="5"/>
          </w:tcPr>
          <w:p>
            <w:pPr>
              <w:ind w:left="1000"/>
              <w:spacing w:after="0"/>
              <w:rPr>
                <w:sz w:val="20"/>
                <w:szCs w:val="20"/>
                <w:color w:val="auto"/>
              </w:rPr>
            </w:pPr>
            <w:r>
              <w:rPr>
                <w:rFonts w:ascii="Arial" w:cs="Arial" w:eastAsia="Arial" w:hAnsi="Arial"/>
                <w:sz w:val="18"/>
                <w:szCs w:val="18"/>
                <w:b w:val="1"/>
                <w:bCs w:val="1"/>
                <w:color w:val="auto"/>
              </w:rPr>
              <w:t>Term Extension</w:t>
            </w:r>
          </w:p>
        </w:tc>
        <w:tc>
          <w:tcPr>
            <w:tcW w:w="3420" w:type="dxa"/>
            <w:vAlign w:val="bottom"/>
            <w:gridSpan w:val="3"/>
          </w:tcPr>
          <w:p>
            <w:pPr>
              <w:jc w:val="right"/>
              <w:ind w:right="1090"/>
              <w:spacing w:after="0"/>
              <w:rPr>
                <w:sz w:val="20"/>
                <w:szCs w:val="20"/>
                <w:color w:val="auto"/>
              </w:rPr>
            </w:pPr>
            <w:r>
              <w:rPr>
                <w:rFonts w:ascii="Arial" w:cs="Arial" w:eastAsia="Arial" w:hAnsi="Arial"/>
                <w:sz w:val="18"/>
                <w:szCs w:val="18"/>
                <w:b w:val="1"/>
                <w:bCs w:val="1"/>
                <w:color w:val="auto"/>
              </w:rPr>
              <w:t>Term Extension</w:t>
            </w:r>
          </w:p>
        </w:tc>
      </w:tr>
      <w:tr>
        <w:trPr>
          <w:trHeight w:val="229"/>
        </w:trPr>
        <w:tc>
          <w:tcPr>
            <w:tcW w:w="39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420" w:type="dxa"/>
            <w:vAlign w:val="bottom"/>
            <w:tcBorders>
              <w:top w:val="single" w:sz="8" w:color="auto"/>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8"/>
              </w:rPr>
              <w:t>Three Months Ended June 30, 2023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420" w:type="dxa"/>
            <w:vAlign w:val="bottom"/>
            <w:tcBorders>
              <w:top w:val="single" w:sz="8" w:color="auto"/>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Six Months Ended June 30, 2023</w:t>
            </w: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Amortized Cost</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of Portfolio</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Amortized Cost</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of Portfolio</w:t>
            </w:r>
          </w:p>
        </w:tc>
      </w:tr>
      <w:tr>
        <w:trPr>
          <w:trHeight w:val="23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6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 %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60" w:type="dxa"/>
            <w:vAlign w:val="bottom"/>
            <w:gridSpan w:val="3"/>
          </w:tcPr>
          <w:p>
            <w:pPr>
              <w:jc w:val="right"/>
              <w:ind w:right="280"/>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6,887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24.0 %</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the financial effect of the modifications made to borrowers experiencing financial difficulty: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Extension</w:t>
            </w:r>
          </w:p>
        </w:tc>
      </w:tr>
      <w:tr>
        <w:trPr>
          <w:trHeight w:val="223"/>
        </w:trPr>
        <w:tc>
          <w:tcPr>
            <w:tcW w:w="3500" w:type="dxa"/>
            <w:vAlign w:val="bottom"/>
            <w:tcBorders>
              <w:bottom w:val="single" w:sz="8" w:color="CCEEFF"/>
            </w:tcBorders>
          </w:tcPr>
          <w:p>
            <w:pPr>
              <w:spacing w:after="0"/>
              <w:rPr>
                <w:sz w:val="19"/>
                <w:szCs w:val="19"/>
                <w:color w:val="auto"/>
              </w:rPr>
            </w:pPr>
          </w:p>
        </w:tc>
        <w:tc>
          <w:tcPr>
            <w:tcW w:w="7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Three Months Ended June 30, 2023</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Multifamily</w:t>
            </w:r>
          </w:p>
        </w:tc>
        <w:tc>
          <w:tcPr>
            <w:tcW w:w="7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Modification added a weighted average 1.0 years to the life of the modified loan.</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7740" w:type="dxa"/>
            <w:vAlign w:val="bottom"/>
          </w:tcPr>
          <w:p>
            <w:pPr>
              <w:jc w:val="center"/>
              <w:spacing w:after="0"/>
              <w:rPr>
                <w:sz w:val="20"/>
                <w:szCs w:val="20"/>
                <w:color w:val="auto"/>
              </w:rPr>
            </w:pPr>
            <w:r>
              <w:rPr>
                <w:rFonts w:ascii="Arial" w:cs="Arial" w:eastAsia="Arial" w:hAnsi="Arial"/>
                <w:sz w:val="18"/>
                <w:szCs w:val="18"/>
                <w:color w:val="auto"/>
                <w:w w:val="91"/>
              </w:rPr>
              <w:t>Modification added a weighted average 1.0 years to the life of the modified loan.</w:t>
            </w:r>
          </w:p>
        </w:tc>
      </w:tr>
      <w:tr>
        <w:trPr>
          <w:trHeight w:val="445"/>
        </w:trPr>
        <w:tc>
          <w:tcPr>
            <w:tcW w:w="3500" w:type="dxa"/>
            <w:vAlign w:val="bottom"/>
          </w:tcPr>
          <w:p>
            <w:pPr>
              <w:spacing w:after="0"/>
              <w:rPr>
                <w:sz w:val="24"/>
                <w:szCs w:val="24"/>
                <w:color w:val="auto"/>
              </w:rPr>
            </w:pPr>
          </w:p>
        </w:tc>
        <w:tc>
          <w:tcPr>
            <w:tcW w:w="7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Extension</w:t>
            </w:r>
          </w:p>
        </w:tc>
      </w:tr>
      <w:tr>
        <w:trPr>
          <w:trHeight w:val="223"/>
        </w:trPr>
        <w:tc>
          <w:tcPr>
            <w:tcW w:w="3500" w:type="dxa"/>
            <w:vAlign w:val="bottom"/>
          </w:tcPr>
          <w:p>
            <w:pPr>
              <w:spacing w:after="0"/>
              <w:rPr>
                <w:sz w:val="19"/>
                <w:szCs w:val="19"/>
                <w:color w:val="auto"/>
              </w:rPr>
            </w:pPr>
          </w:p>
        </w:tc>
        <w:tc>
          <w:tcPr>
            <w:tcW w:w="7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Six Months Ended June 30, 2023</w:t>
            </w:r>
          </w:p>
        </w:tc>
      </w:tr>
      <w:tr>
        <w:trPr>
          <w:trHeight w:val="237"/>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7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Modification added a weighted average 1.0 years to the life of the modified loan.</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7740" w:type="dxa"/>
            <w:vAlign w:val="bottom"/>
          </w:tcPr>
          <w:p>
            <w:pPr>
              <w:jc w:val="center"/>
              <w:spacing w:after="0"/>
              <w:rPr>
                <w:sz w:val="20"/>
                <w:szCs w:val="20"/>
                <w:color w:val="auto"/>
              </w:rPr>
            </w:pPr>
            <w:r>
              <w:rPr>
                <w:rFonts w:ascii="Arial" w:cs="Arial" w:eastAsia="Arial" w:hAnsi="Arial"/>
                <w:sz w:val="18"/>
                <w:szCs w:val="18"/>
                <w:color w:val="auto"/>
                <w:w w:val="91"/>
              </w:rPr>
              <w:t>Modification added a weighted average 1.0 years to the life of the modified loan.</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7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Modifications added a weighted average 0.8 years to the life of the modified loans.</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7740" w:type="dxa"/>
            <w:vAlign w:val="bottom"/>
          </w:tcPr>
          <w:p>
            <w:pPr>
              <w:jc w:val="center"/>
              <w:spacing w:after="0"/>
              <w:rPr>
                <w:sz w:val="20"/>
                <w:szCs w:val="20"/>
                <w:color w:val="auto"/>
              </w:rPr>
            </w:pPr>
            <w:r>
              <w:rPr>
                <w:rFonts w:ascii="Arial" w:cs="Arial" w:eastAsia="Arial" w:hAnsi="Arial"/>
                <w:sz w:val="18"/>
                <w:szCs w:val="18"/>
                <w:color w:val="auto"/>
                <w:w w:val="91"/>
              </w:rPr>
              <w:t>Modifications added a weighted average 0.8 years to the life of the modified loans.</w:t>
            </w:r>
          </w:p>
        </w:tc>
      </w:tr>
    </w:tbl>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Two and six loans were permanently modified in the three and six months ended June 30, 2023, respectively and no loans that were modified had a payment default during the three and six months ended June 30, 2023.</w:t>
      </w:r>
    </w:p>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manage credit quality, we view the Company’s loan portfolio by various segments. For commercial loans, we assign individual credit ratings ranging from 1 (lowest risk) to 10 (highest risk) as an indicator of credit quality. These ratings are based on specific risk factors including (i) historical and projected financial results of the borrower, (ii) market conditions of the borrower’s industry that may affect the borrower’s future financial performance,</w:t>
      </w:r>
    </w:p>
    <w:p>
      <w:pPr>
        <w:spacing w:after="0" w:line="2" w:lineRule="exact"/>
        <w:rPr>
          <w:sz w:val="20"/>
          <w:szCs w:val="20"/>
          <w:color w:val="auto"/>
        </w:rPr>
      </w:pPr>
    </w:p>
    <w:p>
      <w:pPr>
        <w:jc w:val="both"/>
        <w:ind w:firstLine="8"/>
        <w:spacing w:after="0" w:line="277" w:lineRule="auto"/>
        <w:tabs>
          <w:tab w:leader="none" w:pos="330" w:val="left"/>
        </w:tabs>
        <w:numPr>
          <w:ilvl w:val="0"/>
          <w:numId w:val="2"/>
        </w:numPr>
        <w:rPr>
          <w:rFonts w:ascii="Arial" w:cs="Arial" w:eastAsia="Arial" w:hAnsi="Arial"/>
          <w:sz w:val="17"/>
          <w:szCs w:val="17"/>
          <w:color w:val="auto"/>
        </w:rPr>
      </w:pPr>
      <w:r>
        <w:rPr>
          <w:rFonts w:ascii="Arial" w:cs="Arial" w:eastAsia="Arial" w:hAnsi="Arial"/>
          <w:sz w:val="17"/>
          <w:szCs w:val="17"/>
          <w:color w:val="auto"/>
        </w:rPr>
        <w:t>business experience of the borrower’s management, (iv) nature of the underlying collateral, if any, including the ability of the collateral to generate sources of repayment, and (v) history of the borrower’s payment performance. These specific risk factors are then utilized as inputs in our credit model to determine the associated allowance for credit loss. Non-rated loans generally include residential mortgages and consumer loans.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below classifications follow regulatory guidelines and can be generally described as follows:</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pass loans are of satisfactory quality;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special mention loans have a potential weakness or risk that may result in the deterioration of future repayment;</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substandard loans are inadequately protected by the current net worth and paying capacity of the borrower or of the collateral pledged (these loans have a well-defined weakness, and there is a distinct possibility that the Company will sustain some loss);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doubtful loans, based on existing circumstances, have weaknesses that make collection or liquidation in full highly questionable and improbable.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residential loans are classified utilizing an inter-agency methodology that incorporates the extent of delinquency. Assigned risk rating grades are continuously updated as new information is obtained.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loan portfolio by credit quality indicator as of June 30,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368"/>
              <w:spacing w:after="0"/>
              <w:rPr>
                <w:sz w:val="20"/>
                <w:szCs w:val="20"/>
                <w:color w:val="auto"/>
              </w:rPr>
            </w:pPr>
            <w:r>
              <w:rPr>
                <w:rFonts w:ascii="Arial" w:cs="Arial" w:eastAsia="Arial" w:hAnsi="Arial"/>
                <w:sz w:val="14"/>
                <w:szCs w:val="14"/>
                <w:b w:val="1"/>
                <w:bCs w:val="1"/>
                <w:color w:val="auto"/>
              </w:rPr>
              <w:t>Term Loans by Origination Year</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Revolving Loans</w:t>
            </w: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2019 &amp; Prior</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Revolving loans</w:t>
            </w:r>
          </w:p>
        </w:tc>
        <w:tc>
          <w:tcPr>
            <w:tcW w:w="140" w:type="dxa"/>
            <w:vAlign w:val="bottom"/>
          </w:tcPr>
          <w:p>
            <w:pPr>
              <w:spacing w:after="0"/>
              <w:rPr>
                <w:sz w:val="12"/>
                <w:szCs w:val="12"/>
                <w:color w:val="auto"/>
              </w:rPr>
            </w:pPr>
          </w:p>
        </w:tc>
        <w:tc>
          <w:tcPr>
            <w:tcW w:w="98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w w:val="92"/>
              </w:rPr>
              <w:t>Converted to</w:t>
            </w:r>
          </w:p>
        </w:tc>
        <w:tc>
          <w:tcPr>
            <w:tcW w:w="28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Term</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and Industrial:</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960" w:type="dxa"/>
            <w:vAlign w:val="bottom"/>
          </w:tcPr>
          <w:p>
            <w:pPr>
              <w:ind w:left="240"/>
              <w:spacing w:after="0"/>
              <w:rPr>
                <w:sz w:val="20"/>
                <w:szCs w:val="20"/>
                <w:color w:val="auto"/>
              </w:rPr>
            </w:pPr>
            <w:r>
              <w:rPr>
                <w:rFonts w:ascii="Arial" w:cs="Arial" w:eastAsia="Arial" w:hAnsi="Arial"/>
                <w:sz w:val="14"/>
                <w:szCs w:val="14"/>
                <w:color w:val="auto"/>
              </w:rPr>
              <w:t>Pass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54,758</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206,133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216,803</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93,760</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164,604</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179,813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915,871</w:t>
            </w:r>
          </w:p>
        </w:tc>
        <w:tc>
          <w:tcPr>
            <w:tcW w:w="0" w:type="dxa"/>
            <w:vAlign w:val="bottom"/>
          </w:tcPr>
          <w:p>
            <w:pPr>
              <w:spacing w:after="0"/>
              <w:rPr>
                <w:sz w:val="1"/>
                <w:szCs w:val="1"/>
                <w:color w:val="auto"/>
              </w:rPr>
            </w:pPr>
          </w:p>
        </w:tc>
      </w:tr>
      <w:tr>
        <w:trPr>
          <w:trHeight w:val="186"/>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Special Mention</w:t>
            </w: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4,173</w:t>
            </w: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1,911</w:t>
            </w:r>
          </w:p>
        </w:tc>
        <w:tc>
          <w:tcPr>
            <w:tcW w:w="3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6,084</w:t>
            </w: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Substandard</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5,156</w:t>
            </w:r>
          </w:p>
        </w:tc>
        <w:tc>
          <w:tcPr>
            <w:tcW w:w="2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20,113</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2,179</w:t>
            </w:r>
          </w:p>
        </w:tc>
        <w:tc>
          <w:tcPr>
            <w:tcW w:w="140" w:type="dxa"/>
            <w:vAlign w:val="bottom"/>
          </w:tcPr>
          <w:p>
            <w:pPr>
              <w:spacing w:after="0"/>
              <w:rPr>
                <w:sz w:val="15"/>
                <w:szCs w:val="15"/>
                <w:color w:val="auto"/>
              </w:rPr>
            </w:pP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27,448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Doubtful</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960" w:type="dxa"/>
            <w:vAlign w:val="bottom"/>
          </w:tcPr>
          <w:p>
            <w:pPr>
              <w:ind w:left="360"/>
              <w:spacing w:after="0"/>
              <w:rPr>
                <w:sz w:val="20"/>
                <w:szCs w:val="20"/>
                <w:color w:val="auto"/>
              </w:rPr>
            </w:pPr>
            <w:r>
              <w:rPr>
                <w:rFonts w:ascii="Arial" w:cs="Arial" w:eastAsia="Arial" w:hAnsi="Arial"/>
                <w:sz w:val="14"/>
                <w:szCs w:val="14"/>
                <w:color w:val="auto"/>
              </w:rPr>
              <w:t>Total commercial and industrial</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54,758</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206,133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216,803</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103,089</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186,628</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181,992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949,403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1,726</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0" w:type="dxa"/>
            <w:vAlign w:val="bottom"/>
          </w:tcPr>
          <w:p>
            <w:pPr>
              <w:spacing w:after="0"/>
              <w:rPr>
                <w:sz w:val="1"/>
                <w:szCs w:val="1"/>
                <w:color w:val="auto"/>
              </w:rPr>
            </w:pPr>
          </w:p>
        </w:tc>
      </w:tr>
      <w:tr>
        <w:trPr>
          <w:trHeight w:val="188"/>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Multifamily:</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Pass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104,315</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383,753</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45,735</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138,991</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404,898</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1,077,695</w:t>
            </w: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Special Mention</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13,373</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13,373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Substandard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4,684</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4,684</w:t>
            </w:r>
          </w:p>
        </w:tc>
        <w:tc>
          <w:tcPr>
            <w:tcW w:w="0" w:type="dxa"/>
            <w:vAlign w:val="bottom"/>
          </w:tcPr>
          <w:p>
            <w:pPr>
              <w:spacing w:after="0"/>
              <w:rPr>
                <w:sz w:val="1"/>
                <w:szCs w:val="1"/>
                <w:color w:val="auto"/>
              </w:rPr>
            </w:pPr>
          </w:p>
        </w:tc>
      </w:tr>
      <w:tr>
        <w:trPr>
          <w:trHeight w:val="197"/>
        </w:trPr>
        <w:tc>
          <w:tcPr>
            <w:tcW w:w="2960" w:type="dxa"/>
            <w:vAlign w:val="bottom"/>
          </w:tcPr>
          <w:p>
            <w:pPr>
              <w:ind w:left="240"/>
              <w:spacing w:after="0"/>
              <w:rPr>
                <w:sz w:val="20"/>
                <w:szCs w:val="20"/>
                <w:color w:val="auto"/>
              </w:rPr>
            </w:pPr>
            <w:r>
              <w:rPr>
                <w:rFonts w:ascii="Arial" w:cs="Arial" w:eastAsia="Arial" w:hAnsi="Arial"/>
                <w:sz w:val="14"/>
                <w:szCs w:val="14"/>
                <w:color w:val="auto"/>
              </w:rPr>
              <w:t>Doubtful</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multifamily</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104,315</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383,753</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45,735</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138,991</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422,955</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1,095,752</w:t>
            </w:r>
          </w:p>
        </w:tc>
        <w:tc>
          <w:tcPr>
            <w:tcW w:w="0" w:type="dxa"/>
            <w:vAlign w:val="bottom"/>
          </w:tcPr>
          <w:p>
            <w:pPr>
              <w:spacing w:after="0"/>
              <w:rPr>
                <w:sz w:val="1"/>
                <w:szCs w:val="1"/>
                <w:color w:val="auto"/>
              </w:rPr>
            </w:pPr>
          </w:p>
        </w:tc>
      </w:tr>
      <w:tr>
        <w:trPr>
          <w:trHeight w:val="186"/>
        </w:trPr>
        <w:tc>
          <w:tcPr>
            <w:tcW w:w="2960" w:type="dxa"/>
            <w:vAlign w:val="bottom"/>
          </w:tcPr>
          <w:p>
            <w:pPr>
              <w:ind w:left="46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1,127</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1,127</w:t>
            </w: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real estate: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Pass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36,975</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43,299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49,204</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36,579</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134,890</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2,931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303,878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Special Mention</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24,788</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24,788</w:t>
            </w: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Substandard</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1,907</w:t>
            </w:r>
          </w:p>
        </w:tc>
        <w:tc>
          <w:tcPr>
            <w:tcW w:w="2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2,767</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4,674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Doubtful</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960" w:type="dxa"/>
            <w:vAlign w:val="bottom"/>
          </w:tcPr>
          <w:p>
            <w:pPr>
              <w:ind w:left="360"/>
              <w:spacing w:after="0"/>
              <w:rPr>
                <w:sz w:val="20"/>
                <w:szCs w:val="20"/>
                <w:color w:val="auto"/>
              </w:rPr>
            </w:pPr>
            <w:r>
              <w:rPr>
                <w:rFonts w:ascii="Arial" w:cs="Arial" w:eastAsia="Arial" w:hAnsi="Arial"/>
                <w:sz w:val="14"/>
                <w:szCs w:val="14"/>
                <w:color w:val="auto"/>
              </w:rPr>
              <w:t>Total commercial real estate</w:t>
            </w: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36,975</w:t>
            </w:r>
          </w:p>
        </w:tc>
        <w:tc>
          <w:tcPr>
            <w:tcW w:w="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43,299</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49,204</w:t>
            </w:r>
          </w:p>
        </w:tc>
        <w:tc>
          <w:tcPr>
            <w:tcW w:w="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38,486</w:t>
            </w: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162,445</w:t>
            </w: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2,931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333,340</w:t>
            </w:r>
          </w:p>
        </w:tc>
        <w:tc>
          <w:tcPr>
            <w:tcW w:w="0" w:type="dxa"/>
            <w:vAlign w:val="bottom"/>
          </w:tcPr>
          <w:p>
            <w:pPr>
              <w:spacing w:after="0"/>
              <w:rPr>
                <w:sz w:val="1"/>
                <w:szCs w:val="1"/>
                <w:color w:val="auto"/>
              </w:rPr>
            </w:pPr>
          </w:p>
        </w:tc>
      </w:tr>
      <w:tr>
        <w:trPr>
          <w:trHeight w:val="186"/>
        </w:trPr>
        <w:tc>
          <w:tcPr>
            <w:tcW w:w="2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 $</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2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Construction and land development:</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 $</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7,605</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12,773</w:t>
            </w: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Special Mention</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Substandard</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15,891</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15,891</w:t>
            </w:r>
          </w:p>
        </w:tc>
        <w:tc>
          <w:tcPr>
            <w:tcW w:w="0" w:type="dxa"/>
            <w:vAlign w:val="bottom"/>
          </w:tcPr>
          <w:p>
            <w:pPr>
              <w:spacing w:after="0"/>
              <w:rPr>
                <w:sz w:val="1"/>
                <w:szCs w:val="1"/>
                <w:color w:val="auto"/>
              </w:rPr>
            </w:pPr>
          </w:p>
        </w:tc>
      </w:tr>
      <w:tr>
        <w:trPr>
          <w:trHeight w:val="186"/>
        </w:trPr>
        <w:tc>
          <w:tcPr>
            <w:tcW w:w="2960" w:type="dxa"/>
            <w:vAlign w:val="bottom"/>
          </w:tcPr>
          <w:p>
            <w:pPr>
              <w:ind w:left="240"/>
              <w:spacing w:after="0"/>
              <w:rPr>
                <w:sz w:val="20"/>
                <w:szCs w:val="20"/>
                <w:color w:val="auto"/>
              </w:rPr>
            </w:pPr>
            <w:r>
              <w:rPr>
                <w:rFonts w:ascii="Arial" w:cs="Arial" w:eastAsia="Arial" w:hAnsi="Arial"/>
                <w:sz w:val="14"/>
                <w:szCs w:val="14"/>
                <w:color w:val="auto"/>
              </w:rPr>
              <w:t>Doubtful</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construction and land development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7,605</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21,059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28,664</w:t>
            </w:r>
          </w:p>
        </w:tc>
        <w:tc>
          <w:tcPr>
            <w:tcW w:w="0" w:type="dxa"/>
            <w:vAlign w:val="bottom"/>
          </w:tcPr>
          <w:p>
            <w:pPr>
              <w:spacing w:after="0"/>
              <w:rPr>
                <w:sz w:val="1"/>
                <w:szCs w:val="1"/>
                <w:color w:val="auto"/>
              </w:rPr>
            </w:pPr>
          </w:p>
        </w:tc>
      </w:tr>
      <w:tr>
        <w:trPr>
          <w:trHeight w:val="182"/>
        </w:trPr>
        <w:tc>
          <w:tcPr>
            <w:tcW w:w="2960" w:type="dxa"/>
            <w:vAlign w:val="bottom"/>
          </w:tcPr>
          <w:p>
            <w:pPr>
              <w:ind w:left="46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 $</w:t>
            </w:r>
          </w:p>
        </w:tc>
        <w:tc>
          <w:tcPr>
            <w:tcW w:w="960" w:type="dxa"/>
            <w:vAlign w:val="bottom"/>
            <w:gridSpan w:val="2"/>
          </w:tcPr>
          <w:p>
            <w:pPr>
              <w:jc w:val="right"/>
              <w:ind w:right="48"/>
              <w:spacing w:after="0"/>
              <w:rPr>
                <w:sz w:val="20"/>
                <w:szCs w:val="20"/>
                <w:color w:val="auto"/>
              </w:rPr>
            </w:pPr>
            <w:r>
              <w:rPr>
                <w:rFonts w:ascii="Arial" w:cs="Arial" w:eastAsia="Arial" w:hAnsi="Arial"/>
                <w:sz w:val="14"/>
                <w:szCs w:val="14"/>
                <w:color w:val="auto"/>
              </w:rPr>
              <w:t>— $</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 $</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 $</w:t>
            </w: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 $</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260" w:type="dxa"/>
            <w:vAlign w:val="bottom"/>
            <w:gridSpan w:val="2"/>
          </w:tcPr>
          <w:p>
            <w:pPr>
              <w:ind w:left="80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Residential real estate lending:</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Pass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58,581</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419,947</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343,544</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138,079</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423,366</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2,715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1,386,232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Special Mention</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Substandard</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756</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293</w:t>
            </w:r>
          </w:p>
        </w:tc>
        <w:tc>
          <w:tcPr>
            <w:tcW w:w="2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1,290</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2,339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Doubtful</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960" w:type="dxa"/>
            <w:vAlign w:val="bottom"/>
          </w:tcPr>
          <w:p>
            <w:pPr>
              <w:ind w:left="360"/>
              <w:spacing w:after="0"/>
              <w:rPr>
                <w:sz w:val="20"/>
                <w:szCs w:val="20"/>
                <w:color w:val="auto"/>
              </w:rPr>
            </w:pPr>
            <w:r>
              <w:rPr>
                <w:rFonts w:ascii="Arial" w:cs="Arial" w:eastAsia="Arial" w:hAnsi="Arial"/>
                <w:sz w:val="14"/>
                <w:szCs w:val="14"/>
                <w:color w:val="auto"/>
              </w:rPr>
              <w:t>Total residential real estate lending</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58,581</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420,703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343,544</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138,372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424,656</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2,715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1,388,571</w:t>
            </w:r>
          </w:p>
        </w:tc>
        <w:tc>
          <w:tcPr>
            <w:tcW w:w="0" w:type="dxa"/>
            <w:vAlign w:val="bottom"/>
          </w:tcPr>
          <w:p>
            <w:pPr>
              <w:spacing w:after="0"/>
              <w:rPr>
                <w:sz w:val="1"/>
                <w:szCs w:val="1"/>
                <w:color w:val="auto"/>
              </w:rPr>
            </w:pPr>
          </w:p>
        </w:tc>
      </w:tr>
      <w:tr>
        <w:trPr>
          <w:trHeight w:val="186"/>
        </w:trPr>
        <w:tc>
          <w:tcPr>
            <w:tcW w:w="2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4"/>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Consumer solar: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14,895</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109,512</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137,157</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76,696</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71,108</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409,368</w:t>
            </w: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Special Mention</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Substandard</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182</w:t>
            </w:r>
          </w:p>
        </w:tc>
        <w:tc>
          <w:tcPr>
            <w:tcW w:w="3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2,505</w:t>
            </w:r>
          </w:p>
        </w:tc>
        <w:tc>
          <w:tcPr>
            <w:tcW w:w="0" w:type="dxa"/>
            <w:vAlign w:val="bottom"/>
          </w:tcPr>
          <w:p>
            <w:pPr>
              <w:spacing w:after="0"/>
              <w:rPr>
                <w:sz w:val="1"/>
                <w:szCs w:val="1"/>
                <w:color w:val="auto"/>
              </w:rPr>
            </w:pPr>
          </w:p>
        </w:tc>
      </w:tr>
      <w:tr>
        <w:trPr>
          <w:trHeight w:val="186"/>
        </w:trPr>
        <w:tc>
          <w:tcPr>
            <w:tcW w:w="2960" w:type="dxa"/>
            <w:vAlign w:val="bottom"/>
          </w:tcPr>
          <w:p>
            <w:pPr>
              <w:ind w:left="240"/>
              <w:spacing w:after="0"/>
              <w:rPr>
                <w:sz w:val="20"/>
                <w:szCs w:val="20"/>
                <w:color w:val="auto"/>
              </w:rPr>
            </w:pPr>
            <w:r>
              <w:rPr>
                <w:rFonts w:ascii="Arial" w:cs="Arial" w:eastAsia="Arial" w:hAnsi="Arial"/>
                <w:sz w:val="14"/>
                <w:szCs w:val="14"/>
                <w:color w:val="auto"/>
              </w:rPr>
              <w:t>Doubtful</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consumer solar</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14,895</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110,387</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137,820</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77,481</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71,290</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411,873</w:t>
            </w:r>
          </w:p>
        </w:tc>
        <w:tc>
          <w:tcPr>
            <w:tcW w:w="0" w:type="dxa"/>
            <w:vAlign w:val="bottom"/>
          </w:tcPr>
          <w:p>
            <w:pPr>
              <w:spacing w:after="0"/>
              <w:rPr>
                <w:sz w:val="1"/>
                <w:szCs w:val="1"/>
                <w:color w:val="auto"/>
              </w:rPr>
            </w:pPr>
          </w:p>
        </w:tc>
      </w:tr>
      <w:tr>
        <w:trPr>
          <w:trHeight w:val="182"/>
        </w:trPr>
        <w:tc>
          <w:tcPr>
            <w:tcW w:w="2960" w:type="dxa"/>
            <w:vAlign w:val="bottom"/>
          </w:tcPr>
          <w:p>
            <w:pPr>
              <w:ind w:left="46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673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1,530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1,089</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339</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3,631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Consumer and other:</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Pass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2,349</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15,895</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12,833</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12,733</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43,810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Special Mention</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960" w:type="dxa"/>
            <w:vAlign w:val="bottom"/>
          </w:tcPr>
          <w:p>
            <w:pPr>
              <w:ind w:left="240"/>
              <w:spacing w:after="0"/>
              <w:rPr>
                <w:sz w:val="20"/>
                <w:szCs w:val="20"/>
                <w:color w:val="auto"/>
              </w:rPr>
            </w:pPr>
            <w:r>
              <w:rPr>
                <w:rFonts w:ascii="Arial" w:cs="Arial" w:eastAsia="Arial" w:hAnsi="Arial"/>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325</w:t>
            </w:r>
          </w:p>
        </w:tc>
      </w:tr>
      <w:tr>
        <w:trPr>
          <w:trHeight w:val="206"/>
        </w:trPr>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Doubtful</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2960" w:type="dxa"/>
            <w:vAlign w:val="bottom"/>
          </w:tcPr>
          <w:p>
            <w:pPr>
              <w:ind w:left="360"/>
              <w:spacing w:after="0"/>
              <w:rPr>
                <w:sz w:val="20"/>
                <w:szCs w:val="20"/>
                <w:color w:val="auto"/>
              </w:rPr>
            </w:pPr>
            <w:r>
              <w:rPr>
                <w:rFonts w:ascii="Arial" w:cs="Arial" w:eastAsia="Arial" w:hAnsi="Arial"/>
                <w:sz w:val="14"/>
                <w:szCs w:val="14"/>
                <w:color w:val="auto"/>
              </w:rPr>
              <w:t>Total consumer and other</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2,351</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16,167</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12,884</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12,733</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580" w:type="dxa"/>
            <w:vAlign w:val="bottom"/>
          </w:tcPr>
          <w:p>
            <w:pPr>
              <w:ind w:left="4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44,135</w:t>
            </w:r>
          </w:p>
        </w:tc>
      </w:tr>
      <w:tr>
        <w:trPr>
          <w:trHeight w:val="20"/>
        </w:trPr>
        <w:tc>
          <w:tcPr>
            <w:tcW w:w="2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9"/>
        </w:trPr>
        <w:tc>
          <w:tcPr>
            <w:tcW w:w="2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 $</w:t>
            </w:r>
          </w:p>
        </w:tc>
        <w:tc>
          <w:tcPr>
            <w:tcW w:w="9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 $</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 $</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194"/>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Total Loans:</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Pass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271,873</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1,178,539</w:t>
            </w:r>
          </w:p>
        </w:tc>
        <w:tc>
          <w:tcPr>
            <w:tcW w:w="3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805,276</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484,105</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1,219,204</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190,630</w:t>
            </w: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4,149,627</w:t>
            </w:r>
          </w:p>
        </w:tc>
      </w:tr>
      <w:tr>
        <w:trPr>
          <w:trHeight w:val="186"/>
        </w:trPr>
        <w:tc>
          <w:tcPr>
            <w:tcW w:w="296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4,173</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40,072</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44,245</w:t>
            </w:r>
          </w:p>
        </w:tc>
      </w:tr>
      <w:tr>
        <w:trPr>
          <w:trHeight w:val="186"/>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Substandard</w:t>
            </w: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1,903</w:t>
            </w:r>
          </w:p>
        </w:tc>
        <w:tc>
          <w:tcPr>
            <w:tcW w:w="3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8,141</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29,036</w:t>
            </w:r>
          </w:p>
        </w:tc>
        <w:tc>
          <w:tcPr>
            <w:tcW w:w="3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18,070</w:t>
            </w:r>
          </w:p>
        </w:tc>
        <w:tc>
          <w:tcPr>
            <w:tcW w:w="5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57,866</w:t>
            </w:r>
          </w:p>
        </w:tc>
      </w:tr>
      <w:tr>
        <w:trPr>
          <w:trHeight w:val="182"/>
        </w:trPr>
        <w:tc>
          <w:tcPr>
            <w:tcW w:w="2960" w:type="dxa"/>
            <w:vAlign w:val="bottom"/>
          </w:tcPr>
          <w:p>
            <w:pPr>
              <w:ind w:left="20"/>
              <w:spacing w:after="0"/>
              <w:rPr>
                <w:sz w:val="20"/>
                <w:szCs w:val="20"/>
                <w:color w:val="auto"/>
              </w:rPr>
            </w:pPr>
            <w:r>
              <w:rPr>
                <w:rFonts w:ascii="Arial" w:cs="Arial" w:eastAsia="Arial" w:hAnsi="Arial"/>
                <w:sz w:val="14"/>
                <w:szCs w:val="14"/>
                <w:color w:val="auto"/>
              </w:rPr>
              <w:t>Doubtful</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580" w:type="dxa"/>
            <w:vAlign w:val="bottom"/>
          </w:tcPr>
          <w:p>
            <w:pPr>
              <w:ind w:left="4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2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loans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271,875</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1,180,442</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805,990</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496,419</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1,288,312</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208,700</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4,251,738</w:t>
            </w:r>
          </w:p>
        </w:tc>
      </w:tr>
      <w:tr>
        <w:trPr>
          <w:trHeight w:val="182"/>
        </w:trPr>
        <w:tc>
          <w:tcPr>
            <w:tcW w:w="2960" w:type="dxa"/>
            <w:vAlign w:val="bottom"/>
          </w:tcPr>
          <w:p>
            <w:pPr>
              <w:ind w:left="460"/>
              <w:spacing w:after="0"/>
              <w:rPr>
                <w:sz w:val="20"/>
                <w:szCs w:val="20"/>
                <w:color w:val="auto"/>
              </w:rPr>
            </w:pPr>
            <w:r>
              <w:rPr>
                <w:rFonts w:ascii="Arial" w:cs="Arial" w:eastAsia="Arial" w:hAnsi="Arial"/>
                <w:sz w:val="14"/>
                <w:szCs w:val="14"/>
                <w:color w:val="auto"/>
              </w:rPr>
              <w:t>Current period gross charge-offs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673</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1,530</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1,089</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3,490</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580" w:type="dxa"/>
            <w:vAlign w:val="bottom"/>
          </w:tcPr>
          <w:p>
            <w:pPr>
              <w:ind w:left="4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6,782</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loan portfolio by credit quality indicator as of December 31,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Pass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3"/>
              </w:rPr>
              <w:t>Special Mention</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8"/>
              </w:rPr>
              <w:t>Substandard</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Doubtful</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3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893,637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23,275</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925,641</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947,661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967,521</w:t>
            </w: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335,133</w:t>
            </w: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37,696</w:t>
            </w:r>
          </w:p>
        </w:tc>
      </w:tr>
      <w:tr>
        <w:trPr>
          <w:trHeight w:val="23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real estate lending</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1,369,972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1,371,779</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Consumer and 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462,415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463,999</w:t>
            </w:r>
          </w:p>
        </w:tc>
      </w:tr>
      <w:tr>
        <w:trPr>
          <w:trHeight w:val="25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loans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3,994,908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45,755</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4,101,769</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activities in the allowance by portfolio for the three months ended June 30, 2023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Commercial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Commercial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Construction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Residential</w:t>
            </w:r>
          </w:p>
        </w:tc>
        <w:tc>
          <w:tcPr>
            <w:tcW w:w="12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Consumer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Consumer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Multifamily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6"/>
              </w:rPr>
              <w:t>and Land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and Industrial</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Real Estate</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Development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5"/>
              </w:rPr>
              <w:t>Lending</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Solar</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and Other</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780" w:type="dxa"/>
            <w:vAlign w:val="bottom"/>
          </w:tcPr>
          <w:p>
            <w:pPr>
              <w:ind w:left="20"/>
              <w:spacing w:after="0"/>
              <w:rPr>
                <w:sz w:val="20"/>
                <w:szCs w:val="20"/>
                <w:color w:val="auto"/>
              </w:rPr>
            </w:pPr>
            <w:r>
              <w:rPr>
                <w:rFonts w:ascii="Arial" w:cs="Arial" w:eastAsia="Arial" w:hAnsi="Arial"/>
                <w:sz w:val="14"/>
                <w:szCs w:val="14"/>
                <w:color w:val="auto"/>
              </w:rPr>
              <w:t>Allowance for credit losses: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16,473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7,030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14,849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22,762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3,400</w:t>
            </w: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67,323</w:t>
            </w:r>
          </w:p>
        </w:tc>
        <w:tc>
          <w:tcPr>
            <w:tcW w:w="0" w:type="dxa"/>
            <w:vAlign w:val="bottom"/>
          </w:tcPr>
          <w:p>
            <w:pPr>
              <w:spacing w:after="0"/>
              <w:rPr>
                <w:sz w:val="1"/>
                <w:szCs w:val="1"/>
                <w:color w:val="auto"/>
              </w:rPr>
            </w:pPr>
          </w:p>
        </w:tc>
      </w:tr>
      <w:tr>
        <w:trPr>
          <w:trHeight w:val="182"/>
        </w:trPr>
        <w:tc>
          <w:tcPr>
            <w:tcW w:w="2780" w:type="dxa"/>
            <w:vAlign w:val="bottom"/>
          </w:tcPr>
          <w:p>
            <w:pPr>
              <w:ind w:left="20"/>
              <w:spacing w:after="0"/>
              <w:rPr>
                <w:sz w:val="20"/>
                <w:szCs w:val="20"/>
                <w:color w:val="auto"/>
              </w:rPr>
            </w:pPr>
            <w:r>
              <w:rPr>
                <w:rFonts w:ascii="Arial" w:cs="Arial" w:eastAsia="Arial" w:hAnsi="Arial"/>
                <w:sz w:val="14"/>
                <w:szCs w:val="14"/>
                <w:color w:val="auto"/>
              </w:rPr>
              <w:t>Provision for (recovery of) credit losses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3,116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Charge-offs</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(3,772)</w:t>
            </w:r>
          </w:p>
        </w:tc>
        <w:tc>
          <w:tcPr>
            <w:tcW w:w="0" w:type="dxa"/>
            <w:vAlign w:val="bottom"/>
          </w:tcPr>
          <w:p>
            <w:pPr>
              <w:spacing w:after="0"/>
              <w:rPr>
                <w:sz w:val="1"/>
                <w:szCs w:val="1"/>
                <w:color w:val="auto"/>
              </w:rPr>
            </w:pPr>
          </w:p>
        </w:tc>
      </w:tr>
      <w:tr>
        <w:trPr>
          <w:trHeight w:val="197"/>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Recoveries</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227"/>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16,793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23,218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3,140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67,431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activities in the allowance by portfolio for the three months ended June 30, 2022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w w:val="93"/>
              </w:rPr>
              <w:t>Commercial</w:t>
            </w:r>
          </w:p>
        </w:tc>
        <w:tc>
          <w:tcPr>
            <w:tcW w:w="10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Construction and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33"/>
              <w:spacing w:after="0"/>
              <w:rPr>
                <w:sz w:val="20"/>
                <w:szCs w:val="20"/>
                <w:color w:val="auto"/>
              </w:rPr>
            </w:pPr>
            <w:r>
              <w:rPr>
                <w:rFonts w:ascii="Arial" w:cs="Arial" w:eastAsia="Arial" w:hAnsi="Arial"/>
                <w:sz w:val="16"/>
                <w:szCs w:val="16"/>
                <w:b w:val="1"/>
                <w:bCs w:val="1"/>
                <w:color w:val="auto"/>
                <w:w w:val="91"/>
              </w:rPr>
              <w:t>Residential</w:t>
            </w:r>
          </w:p>
        </w:tc>
        <w:tc>
          <w:tcPr>
            <w:tcW w:w="140" w:type="dxa"/>
            <w:vAlign w:val="bottom"/>
          </w:tcPr>
          <w:p>
            <w:pPr>
              <w:spacing w:after="0"/>
              <w:rPr>
                <w:sz w:val="16"/>
                <w:szCs w:val="16"/>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Consumer and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72"/>
              <w:spacing w:after="0"/>
              <w:rPr>
                <w:sz w:val="20"/>
                <w:szCs w:val="20"/>
                <w:color w:val="auto"/>
              </w:rPr>
            </w:pPr>
            <w:r>
              <w:rPr>
                <w:rFonts w:ascii="Arial" w:cs="Arial" w:eastAsia="Arial" w:hAnsi="Arial"/>
                <w:sz w:val="16"/>
                <w:szCs w:val="16"/>
                <w:b w:val="1"/>
                <w:bCs w:val="1"/>
                <w:color w:val="auto"/>
              </w:rPr>
              <w:t>Multifamily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353"/>
              <w:spacing w:after="0" w:line="162" w:lineRule="exact"/>
              <w:rPr>
                <w:sz w:val="20"/>
                <w:szCs w:val="20"/>
                <w:color w:val="auto"/>
              </w:rPr>
            </w:pPr>
            <w:r>
              <w:rPr>
                <w:rFonts w:ascii="Arial" w:cs="Arial" w:eastAsia="Arial" w:hAnsi="Arial"/>
                <w:sz w:val="16"/>
                <w:szCs w:val="16"/>
                <w:b w:val="1"/>
                <w:bCs w:val="1"/>
                <w:color w:val="auto"/>
              </w:rPr>
              <w:t>Land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0"/>
              </w:rPr>
              <w:t>Real Estate</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and Industrial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5"/>
              </w:rPr>
              <w:t>Real Estate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93"/>
              </w:rPr>
              <w:t>Development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3"/>
              </w:rPr>
              <w:t>Lending</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3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37,542</w:t>
            </w:r>
          </w:p>
        </w:tc>
        <w:tc>
          <w:tcPr>
            <w:tcW w:w="0" w:type="dxa"/>
            <w:vAlign w:val="bottom"/>
          </w:tcPr>
          <w:p>
            <w:pPr>
              <w:spacing w:after="0"/>
              <w:rPr>
                <w:sz w:val="1"/>
                <w:szCs w:val="1"/>
                <w:color w:val="auto"/>
              </w:rPr>
            </w:pPr>
          </w:p>
        </w:tc>
      </w:tr>
      <w:tr>
        <w:trPr>
          <w:trHeight w:val="188"/>
        </w:trPr>
        <w:tc>
          <w:tcPr>
            <w:tcW w:w="2480" w:type="dxa"/>
            <w:vAlign w:val="bottom"/>
          </w:tcPr>
          <w:p>
            <w:pPr>
              <w:ind w:left="20"/>
              <w:spacing w:after="0" w:line="189" w:lineRule="exact"/>
              <w:rPr>
                <w:sz w:val="20"/>
                <w:szCs w:val="20"/>
                <w:color w:val="auto"/>
              </w:rPr>
            </w:pPr>
            <w:r>
              <w:rPr>
                <w:rFonts w:ascii="Arial" w:cs="Arial" w:eastAsia="Arial" w:hAnsi="Arial"/>
                <w:sz w:val="18"/>
                <w:szCs w:val="18"/>
                <w:color w:val="auto"/>
                <w:w w:val="99"/>
              </w:rPr>
              <w:t>Provision for (recovery of) loan</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8"/>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39,477</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activities in the allowance by portfolio for the six months ended June 30, 2023 are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Commercial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Commercial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Construction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Residential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9"/>
              </w:rPr>
              <w:t>Consumer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Consumer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Multifamily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6"/>
              </w:rPr>
              <w:t>and Land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and Industrial</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Real Estate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Development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Lending</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Solar</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760" w:type="dxa"/>
            <w:vAlign w:val="bottom"/>
          </w:tcPr>
          <w:p>
            <w:pPr>
              <w:ind w:left="20"/>
              <w:spacing w:after="0"/>
              <w:rPr>
                <w:sz w:val="20"/>
                <w:szCs w:val="20"/>
                <w:color w:val="auto"/>
              </w:rPr>
            </w:pPr>
            <w:r>
              <w:rPr>
                <w:rFonts w:ascii="Arial" w:cs="Arial" w:eastAsia="Arial" w:hAnsi="Arial"/>
                <w:sz w:val="14"/>
                <w:szCs w:val="14"/>
                <w:color w:val="auto"/>
              </w:rPr>
              <w:t>Allowance for credit losses: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 - ALLL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12,916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7,104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11,338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45,031</w:t>
            </w:r>
          </w:p>
        </w:tc>
        <w:tc>
          <w:tcPr>
            <w:tcW w:w="0" w:type="dxa"/>
            <w:vAlign w:val="bottom"/>
          </w:tcPr>
          <w:p>
            <w:pPr>
              <w:spacing w:after="0"/>
              <w:rPr>
                <w:sz w:val="1"/>
                <w:szCs w:val="1"/>
                <w:color w:val="auto"/>
              </w:rPr>
            </w:pPr>
          </w:p>
        </w:tc>
      </w:tr>
      <w:tr>
        <w:trPr>
          <w:trHeight w:val="186"/>
        </w:trPr>
        <w:tc>
          <w:tcPr>
            <w:tcW w:w="2760" w:type="dxa"/>
            <w:vAlign w:val="bottom"/>
          </w:tcPr>
          <w:p>
            <w:pPr>
              <w:ind w:left="20"/>
              <w:spacing w:after="0"/>
              <w:rPr>
                <w:sz w:val="20"/>
                <w:szCs w:val="20"/>
                <w:color w:val="auto"/>
              </w:rPr>
            </w:pPr>
            <w:r>
              <w:rPr>
                <w:rFonts w:ascii="Arial" w:cs="Arial" w:eastAsia="Arial" w:hAnsi="Arial"/>
                <w:sz w:val="14"/>
                <w:szCs w:val="14"/>
                <w:color w:val="auto"/>
              </w:rPr>
              <w:t>Adoption of ASU No. 2016-13</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(1,183)</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3,068</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16,166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21,229</w:t>
            </w:r>
          </w:p>
        </w:tc>
        <w:tc>
          <w:tcPr>
            <w:tcW w:w="0" w:type="dxa"/>
            <w:vAlign w:val="bottom"/>
          </w:tcPr>
          <w:p>
            <w:pPr>
              <w:spacing w:after="0"/>
              <w:rPr>
                <w:sz w:val="1"/>
                <w:szCs w:val="1"/>
                <w:color w:val="auto"/>
              </w:rPr>
            </w:pPr>
          </w:p>
        </w:tc>
      </w:tr>
      <w:tr>
        <w:trPr>
          <w:trHeight w:val="179"/>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 - ACL</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16,732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14,406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23,033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66,260</w:t>
            </w:r>
          </w:p>
        </w:tc>
        <w:tc>
          <w:tcPr>
            <w:tcW w:w="0" w:type="dxa"/>
            <w:vAlign w:val="bottom"/>
          </w:tcPr>
          <w:p>
            <w:pPr>
              <w:spacing w:after="0"/>
              <w:rPr>
                <w:sz w:val="1"/>
                <w:szCs w:val="1"/>
                <w:color w:val="auto"/>
              </w:rPr>
            </w:pPr>
          </w:p>
        </w:tc>
      </w:tr>
      <w:tr>
        <w:trPr>
          <w:trHeight w:val="182"/>
        </w:trPr>
        <w:tc>
          <w:tcPr>
            <w:tcW w:w="2760" w:type="dxa"/>
            <w:vAlign w:val="bottom"/>
          </w:tcPr>
          <w:p>
            <w:pPr>
              <w:ind w:left="20"/>
              <w:spacing w:after="0"/>
              <w:rPr>
                <w:sz w:val="20"/>
                <w:szCs w:val="20"/>
                <w:color w:val="auto"/>
              </w:rPr>
            </w:pPr>
            <w:r>
              <w:rPr>
                <w:rFonts w:ascii="Arial" w:cs="Arial" w:eastAsia="Arial" w:hAnsi="Arial"/>
                <w:sz w:val="14"/>
                <w:szCs w:val="14"/>
                <w:color w:val="auto"/>
              </w:rPr>
              <w:t>Provision for (recovery of) credit losses</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6,728</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Charge-offs</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(6,782)</w:t>
            </w:r>
          </w:p>
        </w:tc>
        <w:tc>
          <w:tcPr>
            <w:tcW w:w="0" w:type="dxa"/>
            <w:vAlign w:val="bottom"/>
          </w:tcPr>
          <w:p>
            <w:pPr>
              <w:spacing w:after="0"/>
              <w:rPr>
                <w:sz w:val="1"/>
                <w:szCs w:val="1"/>
                <w:color w:val="auto"/>
              </w:rPr>
            </w:pPr>
          </w:p>
        </w:tc>
      </w:tr>
      <w:tr>
        <w:trPr>
          <w:trHeight w:val="197"/>
        </w:trPr>
        <w:tc>
          <w:tcPr>
            <w:tcW w:w="2760" w:type="dxa"/>
            <w:vAlign w:val="bottom"/>
          </w:tcPr>
          <w:p>
            <w:pPr>
              <w:ind w:left="20"/>
              <w:spacing w:after="0"/>
              <w:rPr>
                <w:sz w:val="20"/>
                <w:szCs w:val="20"/>
                <w:color w:val="auto"/>
              </w:rPr>
            </w:pPr>
            <w:r>
              <w:rPr>
                <w:rFonts w:ascii="Arial" w:cs="Arial" w:eastAsia="Arial" w:hAnsi="Arial"/>
                <w:sz w:val="14"/>
                <w:szCs w:val="14"/>
                <w:color w:val="auto"/>
              </w:rPr>
              <w:t>Recoveries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327</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Balance - ACL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15,274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67,431</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activities in the allowance by portfolio for the six months ended June 30, 2022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w w:val="93"/>
              </w:rPr>
              <w:t>Commercial</w:t>
            </w:r>
          </w:p>
        </w:tc>
        <w:tc>
          <w:tcPr>
            <w:tcW w:w="10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Construction and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33"/>
              <w:spacing w:after="0"/>
              <w:rPr>
                <w:sz w:val="20"/>
                <w:szCs w:val="20"/>
                <w:color w:val="auto"/>
              </w:rPr>
            </w:pPr>
            <w:r>
              <w:rPr>
                <w:rFonts w:ascii="Arial" w:cs="Arial" w:eastAsia="Arial" w:hAnsi="Arial"/>
                <w:sz w:val="16"/>
                <w:szCs w:val="16"/>
                <w:b w:val="1"/>
                <w:bCs w:val="1"/>
                <w:color w:val="auto"/>
                <w:w w:val="91"/>
              </w:rPr>
              <w:t>Residential</w:t>
            </w:r>
          </w:p>
        </w:tc>
        <w:tc>
          <w:tcPr>
            <w:tcW w:w="140" w:type="dxa"/>
            <w:vAlign w:val="bottom"/>
          </w:tcPr>
          <w:p>
            <w:pPr>
              <w:spacing w:after="0"/>
              <w:rPr>
                <w:sz w:val="16"/>
                <w:szCs w:val="16"/>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Consumer and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72"/>
              <w:spacing w:after="0"/>
              <w:rPr>
                <w:sz w:val="20"/>
                <w:szCs w:val="20"/>
                <w:color w:val="auto"/>
              </w:rPr>
            </w:pPr>
            <w:r>
              <w:rPr>
                <w:rFonts w:ascii="Arial" w:cs="Arial" w:eastAsia="Arial" w:hAnsi="Arial"/>
                <w:sz w:val="16"/>
                <w:szCs w:val="16"/>
                <w:b w:val="1"/>
                <w:bCs w:val="1"/>
                <w:color w:val="auto"/>
              </w:rPr>
              <w:t>Multifamily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353"/>
              <w:spacing w:after="0" w:line="162" w:lineRule="exact"/>
              <w:rPr>
                <w:sz w:val="20"/>
                <w:szCs w:val="20"/>
                <w:color w:val="auto"/>
              </w:rPr>
            </w:pPr>
            <w:r>
              <w:rPr>
                <w:rFonts w:ascii="Arial" w:cs="Arial" w:eastAsia="Arial" w:hAnsi="Arial"/>
                <w:sz w:val="16"/>
                <w:szCs w:val="16"/>
                <w:b w:val="1"/>
                <w:bCs w:val="1"/>
                <w:color w:val="auto"/>
              </w:rPr>
              <w:t>Land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0"/>
              </w:rPr>
              <w:t>Real Estate</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and Industrial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5"/>
              </w:rPr>
              <w:t>Real Estate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93"/>
              </w:rPr>
              <w:t>Development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3"/>
              </w:rPr>
              <w:t>Lending</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3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35,866</w:t>
            </w: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line="176" w:lineRule="exact"/>
              <w:rPr>
                <w:sz w:val="20"/>
                <w:szCs w:val="20"/>
                <w:color w:val="auto"/>
              </w:rPr>
            </w:pPr>
            <w:r>
              <w:rPr>
                <w:rFonts w:ascii="Arial" w:cs="Arial" w:eastAsia="Arial" w:hAnsi="Arial"/>
                <w:sz w:val="18"/>
                <w:szCs w:val="18"/>
                <w:color w:val="auto"/>
                <w:w w:val="99"/>
              </w:rPr>
              <w:t>Provision for (recovery of) loan</w:t>
            </w: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3,953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792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29"/>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48"/>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39,477</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basis of loans on nonaccrual status and the specific allowance as of June 30, 2023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17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Nonaccrual with No</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Nonaccrual with</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Reserve</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Allowance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Allowance</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and land development</w:t>
            </w: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commercial portfolio</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Residential real estate lending</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solar</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 and other</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retail portfolio</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19,723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13,961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The below table summarizes collateral dependent loans which were individually evaluated to determine expected credit losses as of June 30,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Real Estate Collateral</w:t>
            </w:r>
          </w:p>
        </w:tc>
        <w:tc>
          <w:tcPr>
            <w:tcW w:w="80" w:type="dxa"/>
            <w:vAlign w:val="bottom"/>
          </w:tcPr>
          <w:p>
            <w:pPr>
              <w:spacing w:after="0"/>
              <w:rPr>
                <w:sz w:val="17"/>
                <w:szCs w:val="17"/>
                <w:color w:val="auto"/>
              </w:rPr>
            </w:pPr>
          </w:p>
        </w:tc>
        <w:tc>
          <w:tcPr>
            <w:tcW w:w="2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Associated Allowance for</w:t>
            </w:r>
          </w:p>
        </w:tc>
      </w:tr>
      <w:tr>
        <w:trPr>
          <w:trHeight w:val="237"/>
        </w:trPr>
        <w:tc>
          <w:tcPr>
            <w:tcW w:w="6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Dependent</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Credit Losses</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4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Multifamily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4,673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and land development</w:t>
            </w:r>
          </w:p>
        </w:tc>
        <w:tc>
          <w:tcPr>
            <w:tcW w:w="1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23"/>
        </w:trPr>
        <w:tc>
          <w:tcPr>
            <w:tcW w:w="6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mortgage loans with an unpaid principal balance of $2.16 billion and $819.4 million, respectively, were pledged to the FHLBNY to secure outstanding advances, letters of credit and to provide additional borrowing potential.</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There were $1.6 million in related party loans outstanding as of June 30, 2023 compared to $1.6 million related party loans as of December 31, 2022.</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 (prior to the adoption of ASU 2016-13)</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provides information regarding the methods used to evaluate the Company’s loans for impairment by portfolio prior to the adoption of ASU 2016-13, and the Company’s allowance by portfolio based upon the method of evaluating loan impairment as of as of December 31,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72"/>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Construction and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Residential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6"/>
                <w:szCs w:val="16"/>
                <w:b w:val="1"/>
                <w:bCs w:val="1"/>
                <w:color w:val="auto"/>
                <w:w w:val="90"/>
              </w:rPr>
              <w:t>Consumer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51"/>
              <w:spacing w:after="0"/>
              <w:rPr>
                <w:sz w:val="20"/>
                <w:szCs w:val="20"/>
                <w:color w:val="auto"/>
              </w:rPr>
            </w:pPr>
            <w:r>
              <w:rPr>
                <w:rFonts w:ascii="Arial" w:cs="Arial" w:eastAsia="Arial" w:hAnsi="Arial"/>
                <w:sz w:val="16"/>
                <w:szCs w:val="16"/>
                <w:b w:val="1"/>
                <w:bCs w:val="1"/>
                <w:color w:val="auto"/>
                <w:w w:val="98"/>
              </w:rPr>
              <w:t>Multifamily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372"/>
              <w:spacing w:after="0" w:line="162" w:lineRule="exact"/>
              <w:rPr>
                <w:sz w:val="20"/>
                <w:szCs w:val="20"/>
                <w:color w:val="auto"/>
              </w:rPr>
            </w:pPr>
            <w:r>
              <w:rPr>
                <w:rFonts w:ascii="Arial" w:cs="Arial" w:eastAsia="Arial" w:hAnsi="Arial"/>
                <w:sz w:val="16"/>
                <w:szCs w:val="16"/>
                <w:b w:val="1"/>
                <w:bCs w:val="1"/>
                <w:color w:val="auto"/>
              </w:rPr>
              <w:t>Land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0"/>
              </w:rPr>
              <w:t>Real Estate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and Industrial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7"/>
              </w:rPr>
              <w:t>Real Estate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1"/>
              </w:rPr>
              <w:t>Development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3"/>
              </w:rPr>
              <w:t>Lending</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5"/>
              </w:rPr>
              <w:t>and Other</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20" w:type="dxa"/>
            <w:vAlign w:val="bottom"/>
          </w:tcPr>
          <w:p>
            <w:pPr>
              <w:ind w:left="20"/>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62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Individually evaluated for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14,716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27,801</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w:t>
            </w:r>
          </w:p>
        </w:tc>
        <w:tc>
          <w:tcPr>
            <w:tcW w:w="1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140"/>
              <w:spacing w:after="0" w:line="189" w:lineRule="exact"/>
              <w:rPr>
                <w:sz w:val="20"/>
                <w:szCs w:val="20"/>
                <w:color w:val="auto"/>
              </w:rPr>
            </w:pPr>
            <w:r>
              <w:rPr>
                <w:rFonts w:ascii="Arial" w:cs="Arial" w:eastAsia="Arial" w:hAnsi="Arial"/>
                <w:sz w:val="18"/>
                <w:szCs w:val="18"/>
                <w:color w:val="auto"/>
              </w:rPr>
              <w:t>Collectively evaluated for</w:t>
            </w: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910,925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963,693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330,282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35,272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1,369,797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463,999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9"/>
              </w:rPr>
              <w:t>4,073,968</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impairment</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4,101,769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loan losses: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140"/>
              <w:spacing w:after="0" w:line="189" w:lineRule="exact"/>
              <w:rPr>
                <w:sz w:val="20"/>
                <w:szCs w:val="20"/>
                <w:color w:val="auto"/>
              </w:rPr>
            </w:pPr>
            <w:r>
              <w:rPr>
                <w:rFonts w:ascii="Arial" w:cs="Arial" w:eastAsia="Arial" w:hAnsi="Arial"/>
                <w:sz w:val="18"/>
                <w:szCs w:val="18"/>
                <w:color w:val="auto"/>
              </w:rPr>
              <w:t>Individually evaluated for</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Collectively evaluated for</w:t>
            </w: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39,363</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impairment</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Total allowance for loan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3,627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9,221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45,031</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The following is additional information regarding the Company's impaired loans and the allowance related to such loans prior to the adoption of ASU 2016-13, as of and for the year ended December 31, 2022.</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Unpaid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Recorded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Principal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Related</w:t>
            </w: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Investment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Allowance</w:t>
            </w:r>
          </w:p>
        </w:tc>
        <w:tc>
          <w:tcPr>
            <w:tcW w:w="0" w:type="dxa"/>
            <w:vAlign w:val="bottom"/>
          </w:tcPr>
          <w:p>
            <w:pPr>
              <w:spacing w:after="0"/>
              <w:rPr>
                <w:sz w:val="1"/>
                <w:szCs w:val="1"/>
                <w:color w:val="auto"/>
              </w:rPr>
            </w:pPr>
          </w:p>
        </w:tc>
      </w:tr>
      <w:tr>
        <w:trPr>
          <w:trHeight w:val="27"/>
        </w:trPr>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Loans without a related allowance:</w:t>
            </w:r>
          </w:p>
        </w:tc>
        <w:tc>
          <w:tcPr>
            <w:tcW w:w="1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lending</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0"/>
              <w:spacing w:after="0"/>
              <w:rPr>
                <w:sz w:val="20"/>
                <w:szCs w:val="20"/>
                <w:color w:val="auto"/>
              </w:rPr>
            </w:pPr>
            <w:r>
              <w:rPr>
                <w:rFonts w:ascii="Arial" w:cs="Arial" w:eastAsia="Arial" w:hAnsi="Arial"/>
                <w:sz w:val="18"/>
                <w:szCs w:val="18"/>
                <w:color w:val="auto"/>
              </w:rPr>
              <w:t>Multifamily</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and land development</w:t>
            </w: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Commercial and industrial</w:t>
            </w:r>
          </w:p>
        </w:tc>
        <w:tc>
          <w:tcPr>
            <w:tcW w:w="1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with a related allowance:</w:t>
            </w: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200"/>
              <w:spacing w:after="0"/>
              <w:rPr>
                <w:sz w:val="20"/>
                <w:szCs w:val="20"/>
                <w:color w:val="auto"/>
              </w:rPr>
            </w:pPr>
            <w:r>
              <w:rPr>
                <w:rFonts w:ascii="Arial" w:cs="Arial" w:eastAsia="Arial" w:hAnsi="Arial"/>
                <w:sz w:val="18"/>
                <w:szCs w:val="18"/>
                <w:color w:val="auto"/>
              </w:rPr>
              <w:t>Residential real estate lending</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Multifamily</w:t>
            </w:r>
          </w:p>
        </w:tc>
        <w:tc>
          <w:tcPr>
            <w:tcW w:w="1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16,747</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color w:val="auto"/>
              </w:rPr>
              <w:t>Total individually impaired loans: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lending</w:t>
            </w:r>
          </w:p>
        </w:tc>
        <w:tc>
          <w:tcPr>
            <w:tcW w:w="1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0"/>
              <w:spacing w:after="0"/>
              <w:rPr>
                <w:sz w:val="20"/>
                <w:szCs w:val="20"/>
                <w:color w:val="auto"/>
              </w:rPr>
            </w:pPr>
            <w:r>
              <w:rPr>
                <w:rFonts w:ascii="Arial" w:cs="Arial" w:eastAsia="Arial" w:hAnsi="Arial"/>
                <w:sz w:val="18"/>
                <w:szCs w:val="18"/>
                <w:color w:val="auto"/>
              </w:rPr>
              <w:t>Multifamily</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and land development</w:t>
            </w: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Commercial and industrial</w:t>
            </w:r>
          </w:p>
        </w:tc>
        <w:tc>
          <w:tcPr>
            <w:tcW w:w="15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5"/>
        </w:trPr>
        <w:tc>
          <w:tcPr>
            <w:tcW w:w="4160" w:type="dxa"/>
            <w:vAlign w:val="bottom"/>
          </w:tcPr>
          <w:p>
            <w:pPr>
              <w:spacing w:after="0"/>
              <w:rPr>
                <w:sz w:val="24"/>
                <w:szCs w:val="24"/>
                <w:color w:val="auto"/>
              </w:rPr>
            </w:pP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9"/>
          <w:szCs w:val="19"/>
          <w:b w:val="1"/>
          <w:bCs w:val="1"/>
          <w:color w:val="auto"/>
        </w:rPr>
        <w:t>DEPOSITS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Deposits are summarized as follows: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76"/>
        </w:trPr>
        <w:tc>
          <w:tcPr>
            <w:tcW w:w="4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5"/>
                <w:szCs w:val="15"/>
                <w:color w:val="auto"/>
              </w:rPr>
            </w:pPr>
          </w:p>
        </w:tc>
        <w:tc>
          <w:tcPr>
            <w:tcW w:w="1580" w:type="dxa"/>
            <w:vAlign w:val="bottom"/>
          </w:tcPr>
          <w:p>
            <w:pPr>
              <w:jc w:val="right"/>
              <w:ind w:right="10"/>
              <w:spacing w:after="0" w:line="176" w:lineRule="exact"/>
              <w:rPr>
                <w:sz w:val="20"/>
                <w:szCs w:val="20"/>
                <w:color w:val="auto"/>
              </w:rPr>
            </w:pPr>
            <w:r>
              <w:rPr>
                <w:rFonts w:ascii="Arial" w:cs="Arial" w:eastAsia="Arial" w:hAnsi="Arial"/>
                <w:sz w:val="18"/>
                <w:szCs w:val="18"/>
                <w:b w:val="1"/>
                <w:bCs w:val="1"/>
                <w:color w:val="auto"/>
                <w:w w:val="92"/>
              </w:rPr>
              <w:t>Weighted Average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5"/>
                <w:szCs w:val="15"/>
                <w:color w:val="auto"/>
              </w:rPr>
            </w:pPr>
          </w:p>
        </w:tc>
        <w:tc>
          <w:tcPr>
            <w:tcW w:w="1580" w:type="dxa"/>
            <w:vAlign w:val="bottom"/>
          </w:tcPr>
          <w:p>
            <w:pPr>
              <w:jc w:val="right"/>
              <w:ind w:right="10"/>
              <w:spacing w:after="0" w:line="176" w:lineRule="exact"/>
              <w:rPr>
                <w:sz w:val="20"/>
                <w:szCs w:val="20"/>
                <w:color w:val="auto"/>
              </w:rPr>
            </w:pPr>
            <w:r>
              <w:rPr>
                <w:rFonts w:ascii="Arial" w:cs="Arial" w:eastAsia="Arial" w:hAnsi="Arial"/>
                <w:sz w:val="18"/>
                <w:szCs w:val="18"/>
                <w:b w:val="1"/>
                <w:bCs w:val="1"/>
                <w:color w:val="auto"/>
                <w:w w:val="92"/>
              </w:rPr>
              <w:t>Weighted Average</w:t>
            </w: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177"/>
        </w:trPr>
        <w:tc>
          <w:tcPr>
            <w:tcW w:w="48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Non-interest-bearing demand deposit accounts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2,958,104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0.00 %</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3,331,067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NOW accounts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199,262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0.95 %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206,434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0.73 %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deposit accounts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2,744,411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2,445,396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0.94 %</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Savings accounts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363,058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386,190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0.75 %</w:t>
            </w:r>
          </w:p>
        </w:tc>
        <w:tc>
          <w:tcPr>
            <w:tcW w:w="0" w:type="dxa"/>
            <w:vAlign w:val="bottom"/>
          </w:tcPr>
          <w:p>
            <w:pPr>
              <w:spacing w:after="0"/>
              <w:rPr>
                <w:sz w:val="1"/>
                <w:szCs w:val="1"/>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161,335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151,699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Brokered CDs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468,481</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5.02 %</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74,251</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6,894,651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6,595,037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scheduled maturities of time deposits and brokered CDs as of June 30, 2023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Balance</w:t>
            </w:r>
          </w:p>
        </w:tc>
      </w:tr>
      <w:tr>
        <w:trPr>
          <w:trHeight w:val="229"/>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450,989</w:t>
            </w:r>
          </w:p>
        </w:tc>
      </w:tr>
      <w:tr>
        <w:trPr>
          <w:trHeight w:val="230"/>
        </w:trPr>
        <w:tc>
          <w:tcPr>
            <w:tcW w:w="160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53,986</w:t>
            </w:r>
          </w:p>
        </w:tc>
      </w:tr>
      <w:tr>
        <w:trPr>
          <w:trHeight w:val="243"/>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35,654</w:t>
            </w:r>
          </w:p>
        </w:tc>
      </w:tr>
      <w:tr>
        <w:trPr>
          <w:trHeight w:val="230"/>
        </w:trPr>
        <w:tc>
          <w:tcPr>
            <w:tcW w:w="160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34,682</w:t>
            </w:r>
          </w:p>
        </w:tc>
      </w:tr>
      <w:tr>
        <w:trPr>
          <w:trHeight w:val="230"/>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28,746</w:t>
            </w:r>
          </w:p>
        </w:tc>
      </w:tr>
      <w:tr>
        <w:trPr>
          <w:trHeight w:val="243"/>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25,759</w:t>
            </w:r>
          </w:p>
        </w:tc>
      </w:tr>
      <w:tr>
        <w:trPr>
          <w:trHeight w:val="248"/>
        </w:trPr>
        <w:tc>
          <w:tcPr>
            <w:tcW w:w="1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629,816</w:t>
            </w: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Time deposits of greater than $250,000 totaled $30.8 million as of June 30, 2023 and $36.2 million as of December 31,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offers time deposits through the Certificate of Deposit Account Registry Service (“CDARS”) for the purpose of providing FDIC insurance to bank customers with balances in excess of FDIC insurance limits. CDARS deposits totaled approximately $48.0 million and $28.3 million as of June 30, 2023 and December 31, 2022, respectively, and are included in Time deposits above.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total deposits included deposits from Workers United and its related entities, a related party, in the amounts of $92.3 million as of June 30, 2023 and $52.2 million as of December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total deposits are state and municipal deposits totaling $35.7 million and $88.3 million as of June 30, 2023 and December 31, 2022, respectively. Such deposits are secured by letters of credit issued by the FHLBNY or by securities pledged with the FHLBNY.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b w:val="1"/>
          <w:bCs w:val="1"/>
          <w:color w:val="auto"/>
        </w:rPr>
        <w:t>BORROWED FUNDS</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FHLBNY advances are collateralized by the FHLBNY stock owned by the Bank plus a pledge of other eligible assets comprised of securities and mortgage loans. Assets are pledged to collateral capacity. As of June 30, 2023, the value of the other eligible assets had an estimated market value net of haircut totaling $2.00 billion (comprised of securities of $394.3 million and mortgage loans of $1.60 billion). The fair value of assets pledged to the FHLBNY is required to exceed outstanding advances. There were no outstanding FHLB advances as of June 30, 2023 and $580.0 million in outstanding FHLBNY advances as of December 31, 2022. For the three months ended June 30, 2023, and 2022, interest expense on FHLBNY advances was $1.4 million and zero, respectively. For the six months ended June 30, 2023, and 2022, interest expense on FHLBNY advances was $4.4 million and zero, respectively.</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FHLBNY advances, the Company uses other borrowings for short-term borrowing needs. Federal funds lines of credit are extended to the Company by non-affiliated banks with which a correspondent banking relationship exists. At June 30, 2023, and December 31, 2022 there was no outstanding balance related to federal funds purchased. In addition, following the recent bank failures, the Federal Reserve created a new Bank Term Funding Program ("BTFP") as an additional source of liquidity against high-quality securities, offering loans of up to one year to eligible institutions pledging qualifying assets as collateral. At June 30, 2023, there was an outstanding balance of $230.0 million related to the BTFP, and no outstanding balance at December 31, 2022. For the three months ended June 30, 2023, and 2022, interest expense on other borrowings was $2.1 million and zero, respectively. For the six months ended June 30, 2023, and 2022, interest expense on other borrowings was $2.3 million and zero, respectively.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9"/>
          <w:szCs w:val="19"/>
          <w:b w:val="1"/>
          <w:bCs w:val="1"/>
          <w:color w:val="auto"/>
        </w:rPr>
        <w:t>SUBORDINATED DEBT</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8, 2021, the Company completed a public offering of $85.0 million of aggregated principal amount of 3.250% Fixed-to-Floating Rate subordinated notes due 2031 (the "Notes"). The fixed rate period is defined from and including November 8, 2021 to, but excluding, November 15, 2026, or the date of earlier redemption. The floating rate period is defined from and including November 15, 2026 to, but excluding, November 15, 2031, or the date of earlier redemption. The floating rate per annum is equal to three-month term SOFR (the "benchmark rate") plus a spread of 230 basis points for each quarterly interest period during the floating rate period, provided however, that if the benchmark rate is less than zero, the benchmark rate shall be deemed to be zero. The subordinated notes will mature on November 15, 2031.</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may, at its option, beginning with the interest payment date of November 15, 2026, and on any interest payment date thereafter, redeem the Notes, in whole or in part, from time to time, subject to obtaining prior approval of the Board of Governors of the Federal Reserve System (the "Federal Reserve Board") to the extent such approval is then required under the capital adequacy rules of the Federal Reserve Board, at a redemption price equal to 100% of the principal amount of the Notes being redeemed, plus accrued and unpaid interest to, but excluding, the date of redemption.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subordinated debt for the three months ended June 30, 2023 and 2022 was $0.6 million and $0.7 million, respectively. Interest expense on subordinated debt for the six months ended June 30, 2023 and 2022 was $1.2 million and $1.4 million,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26, 2022, September 29, 2022, and March 17, 2023 the Company repurchased $3.25 million, $3.0 million, $4.0 million, respectively, of the subordinated notes due on November 15, 2031.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gains on repurchases of subordinated debt for the three months ended June 30, 2023 or 2022. Gains on repurchases of subordinated debt for the six months ended June 30, 2023 and 2022 were $0.8 million and zero, respectively, and are recorded in Non-interest income - other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9"/>
          <w:szCs w:val="19"/>
          <w:b w:val="1"/>
          <w:bCs w:val="1"/>
          <w:color w:val="auto"/>
        </w:rPr>
        <w:t>EARNINGS PER SHARE</w:t>
      </w:r>
    </w:p>
    <w:p>
      <w:pPr>
        <w:spacing w:after="0" w:line="2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two-class method, earnings available to common stockholders for the period are allocated between common stockholders and participating securities according to participation rights in undistributed earnings. Our time-based and performance-based restricted stock units are not considered participating securities as they do not receive dividend distributions until satisfaction of the related vesting requirements. For the three months ended June 30, 2023 and June 30, 2022, we had 74 thousand and 5 thousand anti-dilutive shares, respectively. For the six months ended June 30, 2023 and June 30, 2022, we had 84 thousand and 32 thousand anti-dilutive shares,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table setting forth the factors used in the earnings per share computation follow: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Three Months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Ended June 30,</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63"/>
        </w:trPr>
        <w:tc>
          <w:tcPr>
            <w:tcW w:w="51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common stock</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33,778</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30,818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30,962</w:t>
            </w: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common stock</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33,778</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30,818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30,962</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Incremental shares from assumed conversion of options and RSUs</w:t>
            </w:r>
          </w:p>
        </w:tc>
        <w:tc>
          <w:tcPr>
            <w:tcW w:w="6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31,189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31,333</w:t>
            </w:r>
          </w:p>
        </w:tc>
        <w:tc>
          <w:tcPr>
            <w:tcW w:w="0" w:type="dxa"/>
            <w:vAlign w:val="bottom"/>
          </w:tcPr>
          <w:p>
            <w:pPr>
              <w:spacing w:after="0"/>
              <w:rPr>
                <w:sz w:val="1"/>
                <w:szCs w:val="1"/>
                <w:color w:val="auto"/>
              </w:rPr>
            </w:pPr>
          </w:p>
        </w:tc>
      </w:tr>
      <w:tr>
        <w:trPr>
          <w:trHeight w:val="24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34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518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9"/>
          <w:szCs w:val="19"/>
          <w:b w:val="1"/>
          <w:bCs w:val="1"/>
          <w:color w:val="auto"/>
        </w:rPr>
        <w:t>EMPLOYEE BENEFIT PLANS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Incentive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does not currently maintain an active stock option plan that is available for issuing new options. As of December 31, 2020, all options are fully vested and the Company will not incur any further expense related to options. A summary of the status of the Company’s options as of June 30, 2023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63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5"/>
                <w:szCs w:val="15"/>
                <w:color w:val="auto"/>
              </w:rPr>
            </w:pPr>
          </w:p>
        </w:tc>
        <w:tc>
          <w:tcPr>
            <w:tcW w:w="2040" w:type="dxa"/>
            <w:vAlign w:val="bottom"/>
            <w:gridSpan w:val="2"/>
          </w:tcPr>
          <w:p>
            <w:pPr>
              <w:jc w:val="center"/>
              <w:ind w:right="630"/>
              <w:spacing w:after="0" w:line="181" w:lineRule="exact"/>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tcPr>
          <w:p>
            <w:pPr>
              <w:jc w:val="center"/>
              <w:ind w:right="630"/>
              <w:spacing w:after="0" w:line="176" w:lineRule="exact"/>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2040" w:type="dxa"/>
            <w:vAlign w:val="bottom"/>
            <w:gridSpan w:val="2"/>
          </w:tcPr>
          <w:p>
            <w:pPr>
              <w:jc w:val="center"/>
              <w:ind w:right="630"/>
              <w:spacing w:after="0"/>
              <w:rPr>
                <w:sz w:val="20"/>
                <w:szCs w:val="20"/>
                <w:color w:val="auto"/>
              </w:rPr>
            </w:pPr>
            <w:r>
              <w:rPr>
                <w:rFonts w:ascii="Arial" w:cs="Arial" w:eastAsia="Arial" w:hAnsi="Arial"/>
                <w:sz w:val="18"/>
                <w:szCs w:val="18"/>
                <w:b w:val="1"/>
                <w:bCs w:val="1"/>
                <w:color w:val="auto"/>
                <w:w w:val="91"/>
              </w:rPr>
              <w:t>Contractual</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Intrinsic Value</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2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17"/>
                <w:szCs w:val="17"/>
                <w:color w:val="auto"/>
              </w:rPr>
            </w:pPr>
          </w:p>
        </w:tc>
        <w:tc>
          <w:tcPr>
            <w:tcW w:w="2040" w:type="dxa"/>
            <w:vAlign w:val="bottom"/>
            <w:gridSpan w:val="2"/>
          </w:tcPr>
          <w:p>
            <w:pPr>
              <w:jc w:val="center"/>
              <w:ind w:right="630"/>
              <w:spacing w:after="0" w:line="202" w:lineRule="exact"/>
              <w:rPr>
                <w:sz w:val="20"/>
                <w:szCs w:val="20"/>
                <w:color w:val="auto"/>
              </w:rPr>
            </w:pPr>
            <w:r>
              <w:rPr>
                <w:rFonts w:ascii="Arial" w:cs="Arial" w:eastAsia="Arial" w:hAnsi="Arial"/>
                <w:sz w:val="18"/>
                <w:szCs w:val="18"/>
                <w:b w:val="1"/>
                <w:bCs w:val="1"/>
                <w:color w:val="auto"/>
                <w:w w:val="90"/>
              </w:rPr>
              <w:t>Term</w:t>
            </w:r>
          </w:p>
        </w:tc>
        <w:tc>
          <w:tcPr>
            <w:tcW w:w="160" w:type="dxa"/>
            <w:vAlign w:val="bottom"/>
          </w:tcPr>
          <w:p>
            <w:pPr>
              <w:spacing w:after="0"/>
              <w:rPr>
                <w:sz w:val="17"/>
                <w:szCs w:val="17"/>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i w:val="1"/>
                <w:iCs w:val="1"/>
                <w:color w:val="auto"/>
                <w:w w:val="99"/>
              </w:rPr>
              <w:t>(in thousands)</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January 1,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72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81"/>
              </w:rPr>
              <w:t>years</w:t>
            </w: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4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Expired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June 30, 2023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2.8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Vested and Exercisable, June 30, 2023</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397,560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1"/>
              </w:rPr>
              <w:t>years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range of exercise prices is $11.00 to $14.65 per share.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there was no compensation cost attributable to the options for the three and six months ended June 30, 2023 or for the three and six months ended June 30, 2022 as all options had been fully expensed as of December 31, 2020. The fair value of all awards outstanding as of June 30, 2023 and December 31, 2022 was $1.2 million and $4.2 million, respectively. No cash was received for options exercised in the three and six months ended June 30, 2023 or for the three and six months ended June 30, 2022.</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Company repurchased 3,999 shares and 4,019 shares for options exercised in the six months ended June 30, 2023 and June 30, 2022,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Amalgamated Financial Corp. 2023 Equity Incentive Plan (the “Equity Plan”) provides for the grant of stock-based incentive awards to employees and directors of the Company. The number of shares of common stock of the Company available for stock-based awards in the Equity Plan is 1,300,000 of which 1,265,610 shares were available for issuance as of June 30, 2023.</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Restricted stock units ("RSUs") represent an obligation to deliver shares to an employee or director at a future date if certain vesting conditions are met. RSUs are subject to a time-based vesting schedule, the satisfaction of performance conditions, or the satisfaction of market conditions, and are settled in shares of the Company’s common stock. RSUs do not provide dividend equivalent rights from the date of grant and do not provide voting rights. RSUs accrue dividends based on dividends paid on common shares, but those dividends are paid in cash upon satisfaction of the specified vesting requirements on the underlying RSU.</w:t>
      </w:r>
    </w:p>
    <w:p>
      <w:pPr>
        <w:sectPr>
          <w:pgSz w:w="11900" w:h="16838" w:orient="portrait"/>
          <w:cols w:equalWidth="0" w:num="1">
            <w:col w:w="11240"/>
          </w:cols>
          <w:pgMar w:left="320" w:top="6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39" w:name="page40"/>
    <w:bookmarkEnd w:id="3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Company’s time-based vesting RSUs for the six months ended June 30, 2023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2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Grant Date Fair</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January 1, 2023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331,023</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Awarded</w:t>
            </w:r>
          </w:p>
        </w:tc>
        <w:tc>
          <w:tcPr>
            <w:tcW w:w="1280" w:type="dxa"/>
            <w:vAlign w:val="bottom"/>
          </w:tcPr>
          <w:p>
            <w:pPr>
              <w:jc w:val="right"/>
              <w:spacing w:after="0"/>
              <w:rPr>
                <w:sz w:val="20"/>
                <w:szCs w:val="20"/>
                <w:color w:val="auto"/>
              </w:rPr>
            </w:pPr>
            <w:r>
              <w:rPr>
                <w:rFonts w:ascii="Arial" w:cs="Arial" w:eastAsia="Arial" w:hAnsi="Arial"/>
                <w:sz w:val="18"/>
                <w:szCs w:val="18"/>
                <w:color w:val="auto"/>
              </w:rPr>
              <w:t>135,837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Forfeited/Expired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(124,970)</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June 30, 2023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333,596</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Company’s performance-based vesting RSUs for the six months ended June 30, 2023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2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Grant Date Fair</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January 1, 2023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Awarded</w:t>
            </w:r>
          </w:p>
        </w:tc>
        <w:tc>
          <w:tcPr>
            <w:tcW w:w="1280" w:type="dxa"/>
            <w:vAlign w:val="bottom"/>
          </w:tcPr>
          <w:p>
            <w:pPr>
              <w:jc w:val="right"/>
              <w:spacing w:after="0"/>
              <w:rPr>
                <w:sz w:val="20"/>
                <w:szCs w:val="20"/>
                <w:color w:val="auto"/>
              </w:rPr>
            </w:pPr>
            <w:r>
              <w:rPr>
                <w:rFonts w:ascii="Arial" w:cs="Arial" w:eastAsia="Arial" w:hAnsi="Arial"/>
                <w:sz w:val="18"/>
                <w:szCs w:val="18"/>
                <w:color w:val="auto"/>
              </w:rPr>
              <w:t>62,945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Forfeited/Expired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(23,948)</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June 30, 2023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129,954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2023, the Company granted 29,923 performance-based RSUs at a fair value of $23.42 per share, respectively which vest subject to the achievement of the Company’s corporate goal for the three-year period from January 1, 2023 to December 31, 2025. The corporate goal is based on the Company achieving a target increase in Tangible Book Value, adjusted for certain factors. The minimum and maximum awards that are achievable are 0 and 44,885 shares, respectively.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2023, the Company granted 29,747 market-based RSUs at a fair value of $23.56 per share which vest subject to the Bank’s relative total shareholder return compared to a group of peer banks over a three-year period from February 15, 2023 to February 14, 2026. The minimum and maximum awards that are achievable are 0 and 44,621 shares, respectively.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the Company granted 619 and 2,656 shares at a fair value of $14.45 and $15.23 per share, respectively, related to the vesting of performance-based RSUs to satisfy the achievement of corporate goals above target.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 Company reserved 194,931 shares for issuance upon vesting of performance-based RSUs assuming the Company’s employees achieve the maximum share payout.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 repurchased 45,130 shares and 42,371 shares for RSUs vested in the six months ended June 30, 2023 and 2022, respectively.</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463,550 unvested RSUs and PSUs on June 30, 2023, the minimum units that will vest, solely due to a service test, are 333,596. The maximum units that will vest, assuming the highest payout on performance and market-based units, are 528,527.</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Compensation expense attributable to RSUs and PSUs was $1.1 million and $2.0 million for the three and six months ended June 30, 2023, and $0.6 million and $1.1 million for the three and six months ended June 30, 2022. Other expenses for directors were $0.1 million and $0.2 million for the three and six months ended June 30, 2023, and $0.1 million and $0.3 million for the three and six months ended June 30, 2022. As of June 30, 2023, there was $7.5 million of total unrecognized compensation cost related to the non-vested RSUs and PSUs granted. This expense may increase or decrease depending on the expected number of performance-based shares to be issued. This expense is expected to be recognized over 2.0 years.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28, 2021, the Company's stockholders approved the Amalgamated Financial Corp. Employee Stock Purchase Plan (the "ESPP") which was implemented on March 2, 2022. The aggregate number of shares of common stock that may be purchased and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issued under the ESPP will not exceed 500,000 of previously authorized shares. Under the terms of the ESPP, employees may authorize the withholding of up to 15% of their eligible compensation to purchase the Company's shares of common stock, not to exceed $25,000 of the fair market value of such common stock for any calendar year. The purchase price per shares acquired under the ESPP will never be less than 85% of the fair market value of the Company's common stock on the last day of the offering period. The Company's Board of Directors in its discretion may terminate the ESPP at any time with respect to any shares for which options have not been granted.</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Compensation Committee of the Board of Directors (the "Committee") has the right to amend the ESPP without the approval of our stockholders; provided, that no such change may impair the rights of a participant with respect to any outstanding offering period without the consent of such participant, other than a change determined by the Committee to be necessary to comply with applicable law. A participant may not dispose of shares acquired under the ESPP until six months following the grant date of such shares, or any earlier date as of which the Committee has determined that the participant would qualify for a hardship distribution from the Company’s 401(k) Plan. Accordingly, the fair value award associated with their discounted purchase price is expensed at the time of purchase. The below following summarizes the shares purchased under the ESPP since the inception of the plan: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2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Number of Shares</w:t>
            </w:r>
          </w:p>
        </w:tc>
      </w:tr>
      <w:tr>
        <w:trPr>
          <w:trHeight w:val="23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purchase at December 31, 2022</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478,081</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Purchases during the three months ended:</w:t>
            </w:r>
          </w:p>
        </w:tc>
        <w:tc>
          <w:tcPr>
            <w:tcW w:w="2240" w:type="dxa"/>
            <w:vAlign w:val="bottom"/>
          </w:tcPr>
          <w:p>
            <w:pPr>
              <w:spacing w:after="0"/>
              <w:rPr>
                <w:sz w:val="19"/>
                <w:szCs w:val="19"/>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March 31, 2023</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(21,919)</w:t>
            </w:r>
          </w:p>
        </w:tc>
      </w:tr>
      <w:tr>
        <w:trPr>
          <w:trHeight w:val="243"/>
        </w:trPr>
        <w:tc>
          <w:tcPr>
            <w:tcW w:w="5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June 30, 2023</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(7,835)</w:t>
            </w:r>
          </w:p>
        </w:tc>
      </w:tr>
      <w:tr>
        <w:trPr>
          <w:trHeight w:val="223"/>
        </w:trPr>
        <w:tc>
          <w:tcPr>
            <w:tcW w:w="5900" w:type="dxa"/>
            <w:vAlign w:val="bottom"/>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(29,754)</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Remaining shares available for purchase at June 30, 2023</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448,327</w:t>
            </w:r>
          </w:p>
        </w:tc>
      </w:tr>
      <w:tr>
        <w:trPr>
          <w:trHeight w:val="20"/>
        </w:trPr>
        <w:tc>
          <w:tcPr>
            <w:tcW w:w="59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expense related to the discount on purchased shares for the three months ended June 30, 2023 and June 30, 2022 was $18.9 thousand and $44.3 thousand, respectively, and is recorded within compensation and employee benefits expense on the Consolidated Statements of Income. The expense for the six months ended June 30, 2023 and June 30, 2022 was $77.0 thousand and $52.1 thousand, respectively.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0" w:hanging="492"/>
        <w:spacing w:after="0"/>
        <w:tabs>
          <w:tab w:leader="none" w:pos="50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OF FINANCIAL INSTRUMENTS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Assumptions are developed based on prioritizing information within a fair value hierarchy that gives the highest priority to quoted prices in active markets and the lowest priority to unobservable data. A description of the disclosure hierarchy and the types of financial instruments recorded at fair value that management believes would generally qualify for each category are as follows:</w:t>
      </w:r>
    </w:p>
    <w:p>
      <w:pPr>
        <w:spacing w:after="0" w:line="6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1 - Valuations are based on quoted prices in active markets for identical assets or liabilities. Accordingly, valuation of these assets and liabilities does not entail a significant degree of judgment. Examples include most U.S. Government securities and exchange-traded equity securities.</w:t>
      </w:r>
    </w:p>
    <w:p>
      <w:pPr>
        <w:spacing w:after="0" w:line="76"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Level 2 - Valuations are based on either quoted prices in markets that are not considered to be active or significant inputs to the methodology that are observable, either directly or indirectly. Financial instruments in this level would generally include mortgage-related securities and other debt issued by GSEs, non-GSE mortgage-related securities, corporate debt, certain redeemable fund investments and certain trust preferred securities.</w:t>
      </w:r>
    </w:p>
    <w:p>
      <w:pPr>
        <w:spacing w:after="0" w:line="41"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Level 3 - Valuations are based on inputs to the methodology that are unobservable and significant to the fair value measurement. These inputs reflect management’s own judgments about the assumptions that market participants would use in pricing the assets and liabilities.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Measured at Fair Value on a Recurring Basis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 for sale securities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available for sale securities are reported at fair value.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management will typically value those instruments using observable market inputs in a discounted cash flow analysis.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those financial instruments measured at fair value on a recurring basis in the Consolidated Statements of Financial Condition as of the dates indicated, categorized by the relevant class of investment and level of the fair value hierarchy: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19"/>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Available for sale securities: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Mortgage-related:</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300" w:type="dxa"/>
            <w:vAlign w:val="bottom"/>
          </w:tcPr>
          <w:p>
            <w:pPr>
              <w:ind w:left="480"/>
              <w:spacing w:after="0"/>
              <w:rPr>
                <w:sz w:val="20"/>
                <w:szCs w:val="20"/>
                <w:color w:val="auto"/>
              </w:rPr>
            </w:pPr>
            <w:r>
              <w:rPr>
                <w:rFonts w:ascii="Arial" w:cs="Arial" w:eastAsia="Arial" w:hAnsi="Arial"/>
                <w:sz w:val="18"/>
                <w:szCs w:val="18"/>
                <w:color w:val="auto"/>
              </w:rPr>
              <w:t>GSE residential CMOs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368,658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368,658</w:t>
            </w:r>
          </w:p>
        </w:tc>
      </w:tr>
      <w:tr>
        <w:trPr>
          <w:trHeight w:val="243"/>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GSE commercial certificates &amp; CMO</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139,492</w:t>
            </w:r>
          </w:p>
        </w:tc>
      </w:tr>
      <w:tr>
        <w:trPr>
          <w:trHeight w:val="229"/>
        </w:trPr>
        <w:tc>
          <w:tcPr>
            <w:tcW w:w="5300" w:type="dxa"/>
            <w:vAlign w:val="bottom"/>
          </w:tcPr>
          <w:p>
            <w:pPr>
              <w:ind w:left="480"/>
              <w:spacing w:after="0"/>
              <w:rPr>
                <w:sz w:val="20"/>
                <w:szCs w:val="20"/>
                <w:color w:val="auto"/>
              </w:rPr>
            </w:pPr>
            <w:r>
              <w:rPr>
                <w:rFonts w:ascii="Arial" w:cs="Arial" w:eastAsia="Arial" w:hAnsi="Arial"/>
                <w:sz w:val="18"/>
                <w:szCs w:val="18"/>
                <w:color w:val="auto"/>
              </w:rPr>
              <w:t>Non-GSE residential certificates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101,373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101,373</w:t>
            </w:r>
          </w:p>
        </w:tc>
      </w:tr>
      <w:tr>
        <w:trPr>
          <w:trHeight w:val="230"/>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Non-GSE commercial certificates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95,683</w:t>
            </w:r>
          </w:p>
        </w:tc>
      </w:tr>
      <w:tr>
        <w:trPr>
          <w:trHeight w:val="237"/>
        </w:trPr>
        <w:tc>
          <w:tcPr>
            <w:tcW w:w="5300" w:type="dxa"/>
            <w:vAlign w:val="bottom"/>
          </w:tcPr>
          <w:p>
            <w:pPr>
              <w:ind w:left="220"/>
              <w:spacing w:after="0"/>
              <w:rPr>
                <w:sz w:val="20"/>
                <w:szCs w:val="20"/>
                <w:color w:val="auto"/>
              </w:rPr>
            </w:pPr>
            <w:r>
              <w:rPr>
                <w:rFonts w:ascii="Arial" w:cs="Arial" w:eastAsia="Arial" w:hAnsi="Arial"/>
                <w:sz w:val="18"/>
                <w:szCs w:val="18"/>
                <w:color w:val="auto"/>
              </w:rPr>
              <w:t>Other debt:</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6"/>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Treasury</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5300" w:type="dxa"/>
            <w:vAlign w:val="bottom"/>
          </w:tcPr>
          <w:p>
            <w:pPr>
              <w:ind w:left="480"/>
              <w:spacing w:after="0"/>
              <w:rPr>
                <w:sz w:val="20"/>
                <w:szCs w:val="20"/>
                <w:color w:val="auto"/>
              </w:rPr>
            </w:pPr>
            <w:r>
              <w:rPr>
                <w:rFonts w:ascii="Arial" w:cs="Arial" w:eastAsia="Arial" w:hAnsi="Arial"/>
                <w:sz w:val="18"/>
                <w:szCs w:val="18"/>
                <w:color w:val="auto"/>
              </w:rPr>
              <w:t>ABS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728,397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728,397</w:t>
            </w:r>
          </w:p>
        </w:tc>
      </w:tr>
      <w:tr>
        <w:trPr>
          <w:trHeight w:val="243"/>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Trust preferred</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w:t>
            </w:r>
          </w:p>
        </w:tc>
      </w:tr>
      <w:tr>
        <w:trPr>
          <w:trHeight w:val="230"/>
        </w:trPr>
        <w:tc>
          <w:tcPr>
            <w:tcW w:w="5300" w:type="dxa"/>
            <w:vAlign w:val="bottom"/>
          </w:tcPr>
          <w:p>
            <w:pPr>
              <w:ind w:left="48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113,861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113,861</w:t>
            </w:r>
          </w:p>
        </w:tc>
      </w:tr>
      <w:tr>
        <w:trPr>
          <w:trHeight w:val="230"/>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Residential PACE</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22,456</w:t>
            </w:r>
          </w:p>
        </w:tc>
      </w:tr>
      <w:tr>
        <w:trPr>
          <w:trHeight w:val="223"/>
        </w:trPr>
        <w:tc>
          <w:tcPr>
            <w:tcW w:w="5300" w:type="dxa"/>
            <w:vAlign w:val="bottom"/>
          </w:tcPr>
          <w:p>
            <w:pPr>
              <w:ind w:left="480"/>
              <w:spacing w:after="0"/>
              <w:rPr>
                <w:sz w:val="20"/>
                <w:szCs w:val="20"/>
                <w:color w:val="auto"/>
              </w:rPr>
            </w:pPr>
            <w:r>
              <w:rPr>
                <w:rFonts w:ascii="Arial" w:cs="Arial" w:eastAsia="Arial" w:hAnsi="Arial"/>
                <w:sz w:val="18"/>
                <w:szCs w:val="18"/>
                <w:b w:val="1"/>
                <w:bCs w:val="1"/>
                <w:color w:val="auto"/>
              </w:rPr>
              <w:t>Total assets carried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1,557,598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1,580,248</w:t>
            </w:r>
          </w:p>
        </w:tc>
      </w:tr>
      <w:tr>
        <w:trPr>
          <w:trHeight w:val="20"/>
        </w:trPr>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55"/>
        </w:trPr>
        <w:tc>
          <w:tcPr>
            <w:tcW w:w="5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89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8"/>
        </w:trPr>
        <w:tc>
          <w:tcPr>
            <w:tcW w:w="5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December 31, 2022</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Available for sale securities: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3"/>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Mortgage-related:</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5300" w:type="dxa"/>
            <w:vAlign w:val="bottom"/>
          </w:tcPr>
          <w:p>
            <w:pPr>
              <w:ind w:left="480"/>
              <w:spacing w:after="0"/>
              <w:rPr>
                <w:sz w:val="20"/>
                <w:szCs w:val="20"/>
                <w:color w:val="auto"/>
              </w:rPr>
            </w:pPr>
            <w:r>
              <w:rPr>
                <w:rFonts w:ascii="Arial" w:cs="Arial" w:eastAsia="Arial" w:hAnsi="Arial"/>
                <w:sz w:val="18"/>
                <w:szCs w:val="18"/>
                <w:color w:val="auto"/>
              </w:rPr>
              <w:t>GSE residential CMOs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389,260</w:t>
            </w:r>
          </w:p>
        </w:tc>
        <w:tc>
          <w:tcPr>
            <w:tcW w:w="11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389,260</w:t>
            </w:r>
          </w:p>
        </w:tc>
      </w:tr>
      <w:tr>
        <w:trPr>
          <w:trHeight w:val="230"/>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GSE commercial certificates &amp; CMO</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213,786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213,786</w:t>
            </w:r>
          </w:p>
        </w:tc>
      </w:tr>
      <w:tr>
        <w:trPr>
          <w:trHeight w:val="237"/>
        </w:trPr>
        <w:tc>
          <w:tcPr>
            <w:tcW w:w="5300" w:type="dxa"/>
            <w:vAlign w:val="bottom"/>
          </w:tcPr>
          <w:p>
            <w:pPr>
              <w:ind w:left="480"/>
              <w:spacing w:after="0"/>
              <w:rPr>
                <w:sz w:val="20"/>
                <w:szCs w:val="20"/>
                <w:color w:val="auto"/>
              </w:rPr>
            </w:pPr>
            <w:r>
              <w:rPr>
                <w:rFonts w:ascii="Arial" w:cs="Arial" w:eastAsia="Arial" w:hAnsi="Arial"/>
                <w:sz w:val="18"/>
                <w:szCs w:val="18"/>
                <w:color w:val="auto"/>
              </w:rPr>
              <w:t>Non-GSE residential certificates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107,080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107,080</w:t>
            </w:r>
          </w:p>
        </w:tc>
      </w:tr>
      <w:tr>
        <w:trPr>
          <w:trHeight w:val="236"/>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Non-GSE commercial certificates</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97,482</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97,482</w:t>
            </w: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Other debt:</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Treasury</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5300" w:type="dxa"/>
            <w:vAlign w:val="bottom"/>
          </w:tcPr>
          <w:p>
            <w:pPr>
              <w:ind w:left="480"/>
              <w:spacing w:after="0"/>
              <w:rPr>
                <w:sz w:val="20"/>
                <w:szCs w:val="20"/>
                <w:color w:val="auto"/>
              </w:rPr>
            </w:pPr>
            <w:r>
              <w:rPr>
                <w:rFonts w:ascii="Arial" w:cs="Arial" w:eastAsia="Arial" w:hAnsi="Arial"/>
                <w:sz w:val="18"/>
                <w:szCs w:val="18"/>
                <w:color w:val="auto"/>
              </w:rPr>
              <w:t>ABS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862,163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862,163</w:t>
            </w:r>
          </w:p>
        </w:tc>
      </w:tr>
      <w:tr>
        <w:trPr>
          <w:trHeight w:val="229"/>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Trust preferred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r>
      <w:tr>
        <w:trPr>
          <w:trHeight w:val="230"/>
        </w:trPr>
        <w:tc>
          <w:tcPr>
            <w:tcW w:w="5300" w:type="dxa"/>
            <w:vAlign w:val="bottom"/>
          </w:tcPr>
          <w:p>
            <w:pPr>
              <w:ind w:left="48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132,370</w:t>
            </w: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132,370</w:t>
            </w:r>
          </w:p>
        </w:tc>
      </w:tr>
      <w:tr>
        <w:trPr>
          <w:trHeight w:val="256"/>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 carried at fair value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1,812,284</w:t>
            </w:r>
          </w:p>
        </w:tc>
        <w:tc>
          <w:tcPr>
            <w:tcW w:w="11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1,812,476</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Measured at Fair Value on a Non-recurring Basis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(or impaired loans prior to the adoption of ASU 2016-13) reported at the fair value of the underlying collateral if repayment is expected solely from the collateral.</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assets measured at fair value on a non-recurring basis in the Consolidated Statements of Financial Condition as of the dates indicated, categorized by the relevant class of investment and level of the fair value hierarchy:</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78"/>
        </w:trPr>
        <w:tc>
          <w:tcPr>
            <w:tcW w:w="4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w w:val="96"/>
              </w:rPr>
              <w:t>Estimated Fair</w:t>
            </w:r>
          </w:p>
        </w:tc>
      </w:tr>
      <w:tr>
        <w:trPr>
          <w:trHeight w:val="234"/>
        </w:trPr>
        <w:tc>
          <w:tcPr>
            <w:tcW w:w="43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Carrying Value</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Value</w:t>
            </w:r>
          </w:p>
        </w:tc>
      </w:tr>
      <w:tr>
        <w:trPr>
          <w:trHeight w:val="219"/>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Fair Value Measurements:</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Individually analyzed loans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r>
      <w:tr>
        <w:trPr>
          <w:trHeight w:val="223"/>
        </w:trPr>
        <w:tc>
          <w:tcPr>
            <w:tcW w:w="43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w:t>
            </w:r>
          </w:p>
        </w:tc>
      </w:tr>
      <w:tr>
        <w:trPr>
          <w:trHeight w:val="21"/>
        </w:trPr>
        <w:tc>
          <w:tcPr>
            <w:tcW w:w="4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2022</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5"/>
              </w:rPr>
              <w:t>Carrying Value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Level 2</w:t>
            </w:r>
          </w:p>
        </w:tc>
        <w:tc>
          <w:tcPr>
            <w:tcW w:w="240" w:type="dxa"/>
            <w:vAlign w:val="bottom"/>
          </w:tcPr>
          <w:p>
            <w:pPr>
              <w:spacing w:after="0"/>
              <w:rPr>
                <w:sz w:val="14"/>
                <w:szCs w:val="14"/>
                <w:color w:val="auto"/>
              </w:rPr>
            </w:pPr>
          </w:p>
        </w:tc>
        <w:tc>
          <w:tcPr>
            <w:tcW w:w="10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4"/>
                <w:szCs w:val="14"/>
                <w:color w:val="auto"/>
              </w:rPr>
            </w:pPr>
          </w:p>
        </w:tc>
        <w:tc>
          <w:tcPr>
            <w:tcW w:w="13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6"/>
              </w:rPr>
              <w:t>Estimated Fair</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Fair Value Measurements:</w:t>
            </w: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Impaired loans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3,315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3,315</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Measured at Fair Value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For those financial instruments that are not recorded at fair value in the consolidated statements of financial condition, but are measured at fair value for disclosure purposes, management follows the same fair value measurement principles and guidance as for instruments recorded at fair value. For a description of the methods, factors and significant assumptions utilized in estimating the fair values for significant categories of financial instruments not measured at fair value, refer to footnote 14,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included in the Annual Report on Form 10-K for the year ended December 31, 2022. An additional category of financial instrument not measured at fair value that was not previously included in the Annual Report on Form 10-K is summarized below:</w:t>
      </w:r>
    </w:p>
    <w:p>
      <w:pPr>
        <w:spacing w:after="0" w:line="84"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borrowings - Other borrowings are valued using a present value technique that incorporates current rates offered on borrowings of comparable remaining maturity. Other borrowings are categorized as Level 2.</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are significant limitations in estimating the fair value of financial instruments for which an active market does not exist. Due to the degree of management judgment that is often required, such estimates tend to be subjective, sensitive to changes in assumptions and imprecise. Such estimates are made as of a point in time and are impacted by then-current observable market conditions; also such estimates do not give consideration to transaction costs or tax effects if estimated unrealized gains or losses were to become realized in the future. Because of inherent uncertainties of valuation, the estimated fair value may differ significantly from the value that would have been used had a ready market for the investment existed and the difference could be material. Lastly, consideration is not given to nonfinancial instruments, including various intangible assets, which could represent substantial value. Fair value estimates are not necessarily representative of the Company’s total enterprise value.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financial statement basis and estimated fair values for significant categories of financial instruments: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6"/>
                <w:szCs w:val="16"/>
                <w:b w:val="1"/>
                <w:bCs w:val="1"/>
                <w:color w:val="auto"/>
                <w:w w:val="90"/>
              </w:rPr>
              <w:t>June 30, 2023</w:t>
            </w: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11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2"/>
              </w:rPr>
              <w:t>Carrying Value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3"/>
            <w:vMerge w:val="restart"/>
          </w:tcPr>
          <w:p>
            <w:pPr>
              <w:jc w:val="center"/>
              <w:ind w:right="540"/>
              <w:spacing w:after="0"/>
              <w:rPr>
                <w:sz w:val="20"/>
                <w:szCs w:val="20"/>
                <w:color w:val="auto"/>
              </w:rPr>
            </w:pPr>
            <w:r>
              <w:rPr>
                <w:rFonts w:ascii="Arial" w:cs="Arial" w:eastAsia="Arial" w:hAnsi="Arial"/>
                <w:sz w:val="16"/>
                <w:szCs w:val="16"/>
                <w:b w:val="1"/>
                <w:bCs w:val="1"/>
                <w:color w:val="auto"/>
                <w:w w:val="92"/>
              </w:rPr>
              <w:t>Level 2</w:t>
            </w:r>
          </w:p>
        </w:tc>
        <w:tc>
          <w:tcPr>
            <w:tcW w:w="126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Level 3</w:t>
            </w:r>
          </w:p>
        </w:tc>
        <w:tc>
          <w:tcPr>
            <w:tcW w:w="118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94"/>
              </w:rPr>
              <w:t>Estimated Fair</w:t>
            </w:r>
          </w:p>
        </w:tc>
        <w:tc>
          <w:tcPr>
            <w:tcW w:w="0" w:type="dxa"/>
            <w:vAlign w:val="bottom"/>
          </w:tcPr>
          <w:p>
            <w:pPr>
              <w:spacing w:after="0"/>
              <w:rPr>
                <w:sz w:val="1"/>
                <w:szCs w:val="1"/>
                <w:color w:val="auto"/>
              </w:rPr>
            </w:pPr>
          </w:p>
        </w:tc>
      </w:tr>
      <w:tr>
        <w:trPr>
          <w:trHeight w:val="203"/>
        </w:trPr>
        <w:tc>
          <w:tcPr>
            <w:tcW w:w="4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65,715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   $</w:t>
            </w:r>
          </w:p>
        </w:tc>
        <w:tc>
          <w:tcPr>
            <w:tcW w:w="126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65,715</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Arial" w:cs="Arial" w:eastAsia="Arial" w:hAnsi="Arial"/>
                <w:sz w:val="16"/>
                <w:szCs w:val="16"/>
                <w:color w:val="auto"/>
              </w:rPr>
              <w:t>Held-to-maturity securities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1,654,531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563,122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913,819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1,476,941</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Loans held for sale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Arial" w:cs="Arial" w:eastAsia="Arial" w:hAnsi="Arial"/>
                <w:sz w:val="16"/>
                <w:szCs w:val="16"/>
                <w:color w:val="auto"/>
              </w:rPr>
              <w:t>Loans receivable, net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4,184,307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3,833,150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3,833,150</w:t>
            </w:r>
          </w:p>
        </w:tc>
        <w:tc>
          <w:tcPr>
            <w:tcW w:w="0" w:type="dxa"/>
            <w:vAlign w:val="bottom"/>
          </w:tcPr>
          <w:p>
            <w:pPr>
              <w:spacing w:after="0"/>
              <w:rPr>
                <w:sz w:val="1"/>
                <w:szCs w:val="1"/>
                <w:color w:val="auto"/>
              </w:rPr>
            </w:pPr>
          </w:p>
        </w:tc>
      </w:tr>
      <w:tr>
        <w:trPr>
          <w:trHeight w:val="24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interest receivable</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44,104</w:t>
            </w:r>
          </w:p>
        </w:tc>
        <w:tc>
          <w:tcPr>
            <w:tcW w:w="0" w:type="dxa"/>
            <w:vAlign w:val="bottom"/>
          </w:tcPr>
          <w:p>
            <w:pPr>
              <w:spacing w:after="0"/>
              <w:rPr>
                <w:sz w:val="1"/>
                <w:szCs w:val="1"/>
                <w:color w:val="auto"/>
              </w:rPr>
            </w:pPr>
          </w:p>
        </w:tc>
      </w:tr>
      <w:tr>
        <w:trPr>
          <w:trHeight w:val="256"/>
        </w:trPr>
        <w:tc>
          <w:tcPr>
            <w:tcW w:w="4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Arial" w:cs="Arial" w:eastAsia="Arial" w:hAnsi="Arial"/>
                <w:sz w:val="16"/>
                <w:szCs w:val="16"/>
                <w:color w:val="auto"/>
              </w:rPr>
              <w:t>Deposits payable on demand</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6,264,835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6,264,835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6,264,835</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Time deposits and brokered CDs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629,816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625,002</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Arial" w:cs="Arial" w:eastAsia="Arial" w:hAnsi="Arial"/>
                <w:sz w:val="16"/>
                <w:szCs w:val="16"/>
                <w:color w:val="auto"/>
              </w:rPr>
              <w:t>Other borrowings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228,258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228,258</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Subordinated debt, net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59,013</w:t>
            </w:r>
          </w:p>
        </w:tc>
        <w:tc>
          <w:tcPr>
            <w:tcW w:w="0" w:type="dxa"/>
            <w:vAlign w:val="bottom"/>
          </w:tcPr>
          <w:p>
            <w:pPr>
              <w:spacing w:after="0"/>
              <w:rPr>
                <w:sz w:val="1"/>
                <w:szCs w:val="1"/>
                <w:color w:val="auto"/>
              </w:rPr>
            </w:pPr>
          </w:p>
        </w:tc>
      </w:tr>
      <w:tr>
        <w:trPr>
          <w:trHeight w:val="210"/>
        </w:trPr>
        <w:tc>
          <w:tcPr>
            <w:tcW w:w="4340" w:type="dxa"/>
            <w:vAlign w:val="bottom"/>
          </w:tcPr>
          <w:p>
            <w:pPr>
              <w:ind w:left="460"/>
              <w:spacing w:after="0"/>
              <w:rPr>
                <w:sz w:val="20"/>
                <w:szCs w:val="20"/>
                <w:color w:val="auto"/>
              </w:rPr>
            </w:pPr>
            <w:r>
              <w:rPr>
                <w:rFonts w:ascii="Arial" w:cs="Arial" w:eastAsia="Arial" w:hAnsi="Arial"/>
                <w:sz w:val="16"/>
                <w:szCs w:val="16"/>
                <w:color w:val="auto"/>
              </w:rPr>
              <w:t>Accrued interest payable</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71"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17145</wp:posOffset>
            </wp:positionV>
            <wp:extent cx="43802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Estimated</w:t>
            </w:r>
          </w:p>
        </w:tc>
      </w:tr>
      <w:tr>
        <w:trPr>
          <w:trHeight w:val="223"/>
        </w:trPr>
        <w:tc>
          <w:tcPr>
            <w:tcW w:w="4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9"/>
                <w:szCs w:val="19"/>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ind w:left="160"/>
              <w:spacing w:after="0"/>
              <w:rPr>
                <w:sz w:val="20"/>
                <w:szCs w:val="20"/>
                <w:color w:val="auto"/>
              </w:rPr>
            </w:pPr>
            <w:r>
              <w:rPr>
                <w:rFonts w:ascii="Arial" w:cs="Arial" w:eastAsia="Arial" w:hAnsi="Arial"/>
                <w:sz w:val="16"/>
                <w:szCs w:val="16"/>
                <w:b w:val="1"/>
                <w:bCs w:val="1"/>
                <w:color w:val="auto"/>
              </w:rPr>
              <w:t>Level 2</w:t>
            </w:r>
          </w:p>
        </w:tc>
        <w:tc>
          <w:tcPr>
            <w:tcW w:w="134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3</w:t>
            </w: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Fair Value</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19"/>
        </w:trPr>
        <w:tc>
          <w:tcPr>
            <w:tcW w:w="4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134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63,540</w:t>
            </w:r>
          </w:p>
        </w:tc>
      </w:tr>
      <w:tr>
        <w:trPr>
          <w:trHeight w:val="213"/>
        </w:trPr>
        <w:tc>
          <w:tcPr>
            <w:tcW w:w="4320" w:type="dxa"/>
            <w:vAlign w:val="bottom"/>
          </w:tcPr>
          <w:p>
            <w:pPr>
              <w:ind w:left="460"/>
              <w:spacing w:after="0"/>
              <w:rPr>
                <w:sz w:val="20"/>
                <w:szCs w:val="20"/>
                <w:color w:val="auto"/>
              </w:rPr>
            </w:pPr>
            <w:r>
              <w:rPr>
                <w:rFonts w:ascii="Arial" w:cs="Arial" w:eastAsia="Arial" w:hAnsi="Arial"/>
                <w:sz w:val="16"/>
                <w:szCs w:val="16"/>
                <w:color w:val="auto"/>
              </w:rPr>
              <w:t>Held-to-maturity securities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1,541,301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574,609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840,262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1,414,871</w:t>
            </w:r>
          </w:p>
        </w:tc>
      </w:tr>
      <w:tr>
        <w:trPr>
          <w:trHeight w:val="219"/>
        </w:trPr>
        <w:tc>
          <w:tcPr>
            <w:tcW w:w="4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Loans held for sale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7,943</w:t>
            </w:r>
          </w:p>
        </w:tc>
      </w:tr>
      <w:tr>
        <w:trPr>
          <w:trHeight w:val="213"/>
        </w:trPr>
        <w:tc>
          <w:tcPr>
            <w:tcW w:w="4320" w:type="dxa"/>
            <w:vAlign w:val="bottom"/>
          </w:tcPr>
          <w:p>
            <w:pPr>
              <w:ind w:left="460"/>
              <w:spacing w:after="0"/>
              <w:rPr>
                <w:sz w:val="20"/>
                <w:szCs w:val="20"/>
                <w:color w:val="auto"/>
              </w:rPr>
            </w:pPr>
            <w:r>
              <w:rPr>
                <w:rFonts w:ascii="Arial" w:cs="Arial" w:eastAsia="Arial" w:hAnsi="Arial"/>
                <w:sz w:val="16"/>
                <w:szCs w:val="16"/>
                <w:color w:val="auto"/>
              </w:rPr>
              <w:t>Loans receivable, net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4,060,971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3,718,308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3,718,308</w:t>
            </w:r>
          </w:p>
        </w:tc>
      </w:tr>
      <w:tr>
        <w:trPr>
          <w:trHeight w:val="219"/>
        </w:trPr>
        <w:tc>
          <w:tcPr>
            <w:tcW w:w="4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Resell agreements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25,754</w:t>
            </w:r>
          </w:p>
        </w:tc>
      </w:tr>
      <w:tr>
        <w:trPr>
          <w:trHeight w:val="213"/>
        </w:trPr>
        <w:tc>
          <w:tcPr>
            <w:tcW w:w="4320" w:type="dxa"/>
            <w:vAlign w:val="bottom"/>
          </w:tcPr>
          <w:p>
            <w:pPr>
              <w:ind w:left="460"/>
              <w:spacing w:after="0"/>
              <w:rPr>
                <w:sz w:val="20"/>
                <w:szCs w:val="20"/>
                <w:color w:val="auto"/>
              </w:rPr>
            </w:pPr>
            <w:r>
              <w:rPr>
                <w:rFonts w:ascii="Arial" w:cs="Arial" w:eastAsia="Arial" w:hAnsi="Arial"/>
                <w:sz w:val="16"/>
                <w:szCs w:val="16"/>
                <w:color w:val="auto"/>
              </w:rPr>
              <w:t>Accrued interest and dividends receivable</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41,441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29,227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41,441</w:t>
            </w:r>
          </w:p>
        </w:tc>
      </w:tr>
      <w:tr>
        <w:trPr>
          <w:trHeight w:val="246"/>
        </w:trPr>
        <w:tc>
          <w:tcPr>
            <w:tcW w:w="4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Deposits payable on demand</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6,369,087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6,369,087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6,369,087</w:t>
            </w:r>
          </w:p>
        </w:tc>
      </w:tr>
      <w:tr>
        <w:trPr>
          <w:trHeight w:val="213"/>
        </w:trPr>
        <w:tc>
          <w:tcPr>
            <w:tcW w:w="4320" w:type="dxa"/>
            <w:vAlign w:val="bottom"/>
          </w:tcPr>
          <w:p>
            <w:pPr>
              <w:ind w:left="460"/>
              <w:spacing w:after="0"/>
              <w:rPr>
                <w:sz w:val="20"/>
                <w:szCs w:val="20"/>
                <w:color w:val="auto"/>
              </w:rPr>
            </w:pPr>
            <w:r>
              <w:rPr>
                <w:rFonts w:ascii="Arial" w:cs="Arial" w:eastAsia="Arial" w:hAnsi="Arial"/>
                <w:sz w:val="16"/>
                <w:szCs w:val="16"/>
                <w:color w:val="auto"/>
              </w:rPr>
              <w:t>Time deposits and brokered CDs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225,950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225,805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225,805</w:t>
            </w:r>
          </w:p>
        </w:tc>
      </w:tr>
      <w:tr>
        <w:trPr>
          <w:trHeight w:val="219"/>
        </w:trPr>
        <w:tc>
          <w:tcPr>
            <w:tcW w:w="4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FHLBNY advances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580,000</w:t>
            </w:r>
          </w:p>
        </w:tc>
      </w:tr>
      <w:tr>
        <w:trPr>
          <w:trHeight w:val="213"/>
        </w:trPr>
        <w:tc>
          <w:tcPr>
            <w:tcW w:w="4320" w:type="dxa"/>
            <w:vAlign w:val="bottom"/>
          </w:tcPr>
          <w:p>
            <w:pPr>
              <w:ind w:left="460"/>
              <w:spacing w:after="0"/>
              <w:rPr>
                <w:sz w:val="20"/>
                <w:szCs w:val="20"/>
                <w:color w:val="auto"/>
              </w:rPr>
            </w:pPr>
            <w:r>
              <w:rPr>
                <w:rFonts w:ascii="Arial" w:cs="Arial" w:eastAsia="Arial" w:hAnsi="Arial"/>
                <w:sz w:val="16"/>
                <w:szCs w:val="16"/>
                <w:color w:val="auto"/>
              </w:rPr>
              <w:t>Subordinated debt, net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77,708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68,966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68,966</w:t>
            </w:r>
          </w:p>
        </w:tc>
      </w:tr>
      <w:tr>
        <w:trPr>
          <w:trHeight w:val="219"/>
        </w:trPr>
        <w:tc>
          <w:tcPr>
            <w:tcW w:w="4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interest payable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4" w:right="359" w:bottom="1440" w:gutter="0" w:footer="0" w:header="0"/>
        </w:sectPr>
      </w:pPr>
    </w:p>
    <w:bookmarkStart w:id="45" w:name="page46"/>
    <w:bookmarkEnd w:id="4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 w:hanging="492"/>
        <w:spacing w:after="0"/>
        <w:tabs>
          <w:tab w:leader="none" w:pos="5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CONTINGENCIES AND OFF BALANCE SHEET RISK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Commitments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party to various credit related financial instruments with off balance sheet risk. The Company, in the normal course of business, issues such financial instruments in order to meet the financing needs of its customers. These financial instruments include commitments to extend credit and standby letters of credit. Such commitments involve, to varying degrees, elements of credit and interest rate risk in excess of the amounts recognized in the consolidated statements of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instruments were outstanding whose contract amounts represent credit risk as of the related periods: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December 31, 2022</w:t>
            </w:r>
          </w:p>
        </w:tc>
      </w:tr>
      <w:tr>
        <w:trPr>
          <w:trHeight w:val="163"/>
        </w:trPr>
        <w:tc>
          <w:tcPr>
            <w:tcW w:w="2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6"/>
        </w:trPr>
        <w:tc>
          <w:tcPr>
            <w:tcW w:w="2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to extend credit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641,697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723,902</w:t>
            </w: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Standby letters of credit</w:t>
            </w: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29,568</w:t>
            </w:r>
          </w:p>
        </w:tc>
      </w:tr>
      <w:tr>
        <w:trPr>
          <w:trHeight w:val="256"/>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664,792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753,470</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Commitments to extend credit are contracts to lend to a customer as long as there is no violation of any condition established in the contract. These commitments have fixed expiration dates and other termination clauses and generally require the payment of nonrefundable fees. Since a portion of the commitments are expected to expire without being drawn upon, the contractual principal amounts do not necessarily represent future cash requirements. The Company’s maximum exposure to credit risk is represented by the contractual amount of these instruments. These instruments represent ultimate exposure to credit risk only to the extent they are subsequently drawn upon by customers.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Standby letters of credit are conditional lending commitments issued by the Company to guarantee the financial performance of a customer to a third party. The credit risk involved in issuing standby letters of credit is essentially the same as that involved in extending loan facilities to customers. The balance sheet carrying value of standby letters of credit approximates any nonrefundable fees received but not yet recorded as income. The Company considers this carrying value, which is not material, to approximate the estimated fair value of these financial instruments.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reserves for the credit risk inherent in off balance sheet credit commitments. This allowance, which is included in other liabilities, amounted to approximately $5.1 million as of June 30, 2023, compared to a reserve of $1.6 million as of December 31, 2022. The provision for credit losses related to off balance sheet credit commitments was $0.8 million and $0.9 million for the three and six months ended June 30, 2023, and the expense related to off balance sheet credit commitments in other non-interest expense was $0.0 million and $0.3 million for the three and six months ended June 30,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Obligations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 party to agreements with Pace Funding Group LLC, which operates Home Run Financing, for the purchase of PACE assessment securities until December 2023. As of June 30, 2023, the Company had purchased $599.3 million of these obligations and had an estimated remaining commitment of $132.4 million. The PACE assessments have equal-lien priority with property taxes and generally rank senior to first lien mortgages. These investments are currently held in the Company's held-to-maturity investment portfolio. The Company evaluates these obligations for credit risk and the recorded reserve is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 and Contingencies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there are various legal proceedings pending against the Company. Based on the opinion of counsel, management believes that the aggregate liabilities, if any, arising from such actions would not have a material adverse effect on the consolidated financial position or results of operations of the Company. As part of the Company's ongoing investments in VIE projects, we also have commitments to provide financing, which are included in Note 14.</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b w:val="1"/>
          <w:bCs w:val="1"/>
          <w:color w:val="auto"/>
        </w:rPr>
        <w:t>LEASES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as a lessee has operating leases primarily consisting of real estate arrangements where the Company operates its headquarters, branches and business production offices. All leases identified as in scope are accounted for as operating leases as of June 30, 2023. These leases are typically long-term leases and generally are not complicated arrangements or structures. Several of the leases contain renewal options at a rate comparable to the fair market value based on comparable analysis to similar properties in the Bank’s geographies.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Real estate operating leases are presented as a right-of-use (“ROU”) asset and a related operating lease liability on the Consolidated Statements of Financial Condition. The ROU asset represents the Company’s right to use the underlying asset for the lease term and the operating lease liabilities represent the obligation to make lease payments arising from the lease. The Company applied its incremental borrowing rate (“IBR”) as the discount rate to the remaining lease payments to derive a present value calculation for initial measurement of the operating lease liability. The IBR reflects the interest rate the Company would have to pay to borrow on a collateralized basis over a similar term for an amount equal to the lease payments. Lease expense is recognized on a straight-line basis over the lease term.</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The following table summarizes our lease cost and other operating lease information:</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92"/>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5"/>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8"/>
              </w:rPr>
              <w:t>Six Months Ended</w:t>
            </w:r>
          </w:p>
        </w:tc>
      </w:tr>
      <w:tr>
        <w:trPr>
          <w:trHeight w:val="234"/>
        </w:trPr>
        <w:tc>
          <w:tcPr>
            <w:tcW w:w="6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2022</w:t>
            </w:r>
          </w:p>
        </w:tc>
      </w:tr>
      <w:tr>
        <w:trPr>
          <w:trHeight w:val="177"/>
        </w:trPr>
        <w:tc>
          <w:tcPr>
            <w:tcW w:w="68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operating leases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2,816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2,632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5,629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5,262</w:t>
            </w:r>
          </w:p>
        </w:tc>
      </w:tr>
      <w:tr>
        <w:trPr>
          <w:trHeight w:val="182"/>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 Sublease income and variable income or expense considered immaterial</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0"/>
        </w:trPr>
        <w:tc>
          <w:tcPr>
            <w:tcW w:w="6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remaining lease term on operating leases at June 30, 2023 and June 30, 2022 was 3.3 years and 4.4 years,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discount rate used for the operating lease liability was 3.23% and 3.25% at June 30, 2023 and June 30, 2022, respectively.</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remaining commitments for operating lease payments for the next five years and thereafter, as well as a reconciliation to the discounted operating leases liability recorded in the Consolidated Statements of Financial Condition as of June 30, 2023:</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As of June 30, 2023</w:t>
            </w:r>
          </w:p>
        </w:tc>
      </w:tr>
      <w:tr>
        <w:trPr>
          <w:trHeight w:val="24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11,324</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w:t>
            </w: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9,200</w:t>
            </w:r>
          </w:p>
        </w:tc>
      </w:tr>
      <w:tr>
        <w:trPr>
          <w:trHeight w:val="23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24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37,741</w:t>
            </w: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adjustment</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leases liability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35,801</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 w:hanging="492"/>
        <w:spacing w:after="0"/>
        <w:tabs>
          <w:tab w:leader="none" w:pos="5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INTANGIBLE ASSETS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GAAP, the Company performs an annual test as of June 30 to identify potential impairment of goodwill, or more frequently if events or</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circumstances indicate a potential impairment may exist. If the carrying amount of the Company, as a sole reporting unit, including goodwill, exceeds its fair value, an impairment loss is recognized in an amount equal to that excess up to the amount of the recorded goodwill.</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performed its annual test based upon market data as of June 30, 2023 and estimates and assumptions that the Company believes most appropriate for the analysis. Based on the qualitative analysis performed in accordance with ASC 350, the Company determined it is more likely than not that goodwill was not impaired as of June 30, 2023. Changes in certain assumptions used in the Company's assessment could result in significant differences in the results of the impairment test. Should market conditions or management’s assumptions change significantly in the future, an impairment to goodwill is possible.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and December 31, 2022, the carrying amount of goodwill was $12.9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estimated amortization expense, comprised entirely by the Company’s core deposit intangible asset, for the next five years and thereafter: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2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4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4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Accumulated amortization of the core deposit intangible was $6.4 million as of June 30, 2023.</w:t>
      </w:r>
    </w:p>
    <w:p>
      <w:pPr>
        <w:spacing w:after="0" w:line="25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Amortization expense recognized on the core deposit intangible was $0.2 million and $0.3 million for the three months ended June 30, 2023 and June 30, 2022, respectively, and $0.4 million and $0.5 million for the six months ended June 30, 2023 and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VARIABLE INTEREST ENTITIES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Credit Investments</w:t>
      </w:r>
    </w:p>
    <w:p>
      <w:pPr>
        <w:spacing w:after="0" w:line="2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makes investments in unconsolidated entities that construct, own and operate solar generation facilities. An unrelated third party is the managing member and has control over the significant activities of the variable interest entities ("VIE"). The Company generates a return through the receipt of tax credits allocated to the projects, as well as operational distributions. The primary risk of loss is generally mitigated by policies requiring that the project qualify for the expected tax credits prior to the Company making its investment. Any loans to the VIE are secured. As of June 30, 2023, the Company's maximum exposure to loss is $66.9 million.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December 31, 2022</w:t>
            </w:r>
          </w:p>
        </w:tc>
      </w:tr>
      <w:tr>
        <w:trPr>
          <w:trHeight w:val="170"/>
        </w:trPr>
        <w:tc>
          <w:tcPr>
            <w:tcW w:w="20" w:type="dxa"/>
            <w:vAlign w:val="bottom"/>
          </w:tcPr>
          <w:p>
            <w:pPr>
              <w:spacing w:after="0"/>
              <w:rPr>
                <w:sz w:val="14"/>
                <w:szCs w:val="14"/>
                <w:color w:val="auto"/>
              </w:rPr>
            </w:pPr>
          </w:p>
        </w:tc>
        <w:tc>
          <w:tcPr>
            <w:tcW w:w="66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66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Unconsolidated Variable Interest Entities</w:t>
            </w:r>
          </w:p>
        </w:tc>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160" w:type="dxa"/>
            <w:vAlign w:val="bottom"/>
            <w:tcBorders>
              <w:top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credit investments included in equity investments</w:t>
            </w:r>
          </w:p>
        </w:tc>
        <w:tc>
          <w:tcPr>
            <w:tcW w:w="16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Loans and letters of credit commitments</w:t>
            </w:r>
          </w:p>
        </w:tc>
        <w:tc>
          <w:tcPr>
            <w:tcW w:w="1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60,276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60,857</w:t>
            </w:r>
          </w:p>
        </w:tc>
      </w:tr>
      <w:tr>
        <w:trPr>
          <w:trHeight w:val="243"/>
        </w:trPr>
        <w:tc>
          <w:tcPr>
            <w:tcW w:w="20" w:type="dxa"/>
            <w:vAlign w:val="bottom"/>
            <w:shd w:val="clear" w:color="auto" w:fill="CCEEFF"/>
          </w:tcPr>
          <w:p>
            <w:pPr>
              <w:spacing w:after="0"/>
              <w:rPr>
                <w:sz w:val="21"/>
                <w:szCs w:val="21"/>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Funded portion of loans and letters of credit commitments</w:t>
            </w:r>
          </w:p>
        </w:tc>
        <w:tc>
          <w:tcPr>
            <w:tcW w:w="16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53,945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47,683</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tax benefits conveyed by the Company’s solar generation VIE investments: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0"/>
              </w:rPr>
              <w:t>Six Months Ended</w:t>
            </w:r>
          </w:p>
        </w:tc>
      </w:tr>
      <w:tr>
        <w:trPr>
          <w:trHeight w:val="238"/>
        </w:trPr>
        <w:tc>
          <w:tcPr>
            <w:tcW w:w="5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Pr>
          <w:p>
            <w:pPr>
              <w:spacing w:after="0"/>
              <w:rPr>
                <w:sz w:val="20"/>
                <w:szCs w:val="20"/>
                <w:color w:val="auto"/>
              </w:rPr>
            </w:pPr>
          </w:p>
        </w:tc>
      </w:tr>
      <w:tr>
        <w:trPr>
          <w:trHeight w:val="234"/>
        </w:trPr>
        <w:tc>
          <w:tcPr>
            <w:tcW w:w="5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177"/>
        </w:trPr>
        <w:tc>
          <w:tcPr>
            <w:tcW w:w="5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 and other tax benefits recognized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9" w:name="page50"/>
    <w:bookmarkEnd w:id="49"/>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21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following is a discussion of our consolidated financial condition as of June 30, 2023, as compared to December 31, 2022, and our results of operations for the three and six month periods ended June 30, 2023 and June 30, 2022.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This discussion and analysis is best read in conjunction with our unaudited consolidated financial statements and related notes as well as the financial and statistical data appearing elsewhere in this report and our Annual Report on Form 10-K for the year ended December 31, 2022 (the “2022 Annual Report”), filed with the Securities and Exchange Commission on March 9, 2023. Historical results of operations and the percentage relationships among any amounts included, and any trends that may appear, may not indicate results of operations for any future periods.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historical information, this discussion includes certain forward-looking statements regarding business matters and events and trends that may affect our future results. For additional information regarding forward-looking statements and our related cautionary disclosures, see the “</w:t>
      </w:r>
      <w:r>
        <w:rPr>
          <w:rFonts w:ascii="Arial" w:cs="Arial" w:eastAsia="Arial" w:hAnsi="Arial"/>
          <w:sz w:val="18"/>
          <w:szCs w:val="18"/>
          <w:i w:val="1"/>
          <w:iCs w:val="1"/>
          <w:color w:val="auto"/>
        </w:rPr>
        <w:t>Cautionary Note</w:t>
      </w:r>
      <w:r>
        <w:rPr>
          <w:rFonts w:ascii="Arial" w:cs="Arial" w:eastAsia="Arial" w:hAnsi="Arial"/>
          <w:sz w:val="18"/>
          <w:szCs w:val="18"/>
          <w:color w:val="auto"/>
        </w:rPr>
        <w:t xml:space="preserve"> </w:t>
      </w:r>
      <w:r>
        <w:rPr>
          <w:rFonts w:ascii="Arial" w:cs="Arial" w:eastAsia="Arial" w:hAnsi="Arial"/>
          <w:sz w:val="18"/>
          <w:szCs w:val="18"/>
          <w:i w:val="1"/>
          <w:iCs w:val="1"/>
          <w:color w:val="auto"/>
        </w:rPr>
        <w:t>Regarding Forward-Looking Statements</w:t>
      </w:r>
      <w:r>
        <w:rPr>
          <w:rFonts w:ascii="Arial" w:cs="Arial" w:eastAsia="Arial" w:hAnsi="Arial"/>
          <w:sz w:val="18"/>
          <w:szCs w:val="18"/>
          <w:color w:val="auto"/>
        </w:rPr>
        <w:t>” beginning on page ii of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was formed on August 25, 2020 to serve as the holding company for the Bank, effective March 1, 2021 when the Company acquired the common stock of the Bank. The Bank was formed in 1923 as Amalgamated Bank of New York by the Amalgamated Clothing Workers of America, one of the country’s oldest labor unions.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41% of our equity as of June 30, 2023. As of June 30, 2023, our total assets were $7.79 billion, our total loans, net of deferred fees and allowance were $4.18 billion, our total deposits were $6.89 billion, and our stockholders' equity was $528.6 million. As of June 30, 2023, our trust business held $40.31 billion in assets under custody and $14.52 billion in assets under management.</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offer a complete suite of commercial and retail banking, investment management and trust and custody services. Our commercial banking and trust businesses are national in scope and we also offer a full range of products and services to both commercial and retail customers through our three branch offices across New York City, one branch office in Washington, D.C., one branch office in San Francisco, one commercial office in Boston and our digital banking platform. Our corporate divisions include Commercial Banking, Trust and Investment Management and Consumer Banking. Our product line includes residential mortgage loans, commercial and industrial ("C&amp;I") loans, commercial real estate ("CRE") loans, multifamily mortgages, consumer loans (predominantly consumer residential solar) and a variety of commercial and consumer deposit products, including non-interest 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balance their profit-making activities with activities that benefit their other stakeholders, as well as the members and stakeholders of these commercial customers. In 2021, we introduced ResponsiFunds which are Environmental, Social and Governance ("ESG") impact products designed to align our clients' investment growth goals with their organizational values.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p>
      <w:pPr>
        <w:jc w:val="both"/>
        <w:spacing w:after="0" w:line="261" w:lineRule="auto"/>
        <w:rPr>
          <w:sz w:val="20"/>
          <w:szCs w:val="20"/>
          <w:color w:val="auto"/>
        </w:rPr>
      </w:pPr>
      <w:r>
        <w:rPr>
          <w:rFonts w:ascii="Arial" w:cs="Arial" w:eastAsia="Arial" w:hAnsi="Arial"/>
          <w:sz w:val="16"/>
          <w:szCs w:val="16"/>
          <w:color w:val="auto"/>
        </w:rPr>
        <w:t>Our goal is to be the go-to financial partner for people and organizations who strive to make a meaningful impact in our society and who care about their communities, the environment, and social justice. The growth of our business is fundamental to our social mission and how we deliver impact and value for our stakeholders. The Company has obtained B Corporation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certification, a distinction earned after being evaluated under rigorous standards of social and environmental performance, accountability, and transparency. The Company is also the largest of twelve commercial financial institutions in the United States that are members of the Global Alliance for Banking on Values ("GABV"), a network of banking leaders from around the world committed to advancing positive change in the banking sector. Earlier this year, the Company hosted the annual GABV conference in New York alongside its centennial celebrations. Along with fellow GABV members, the Company has worked to launch the Partnership for Carbon Accounting Financials (“PCAF”). This is the third year the Company has reported its financed emissions across its portfolio of loans, investments and assets under management through PCAF. The Company was the first U.S. bank to set full portfolio targets under the guidelines of the UN Net Zero Banking Alliance. The Company has targets verified by the Science-Based Targets Initiative, with a goal to achieve net-zero emissions across all of its activities by 2045.</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Developments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2023, the failures of Santa Clara, California-based Silicon Valley Bank (“SIVB”) and New York, New York-based Signature Bank have generated concerns regarding the overall health and liquidity of the banking sector. SIVB was placed into receivership on March 10, 2023, and Signature Bank was placed into receivership on March 12, 2023, with the Federal Deposit Insurance Corporation ("FDIC") being appointed receiver for both failed banks. On March 12, 2023, the Board of Governors of the Federal Reserve System, Department of Treasury and the FDIC issued a joint statement concerning actions they had taken in response to the SIVB and Signature Bank failures. The Federal Reserve Board announced that it would make available additional funding to eligible depository institutions through the creation of a new Bank Term Funding Program. Subsequently, on May 1, 2023, First Republic Bank was also placed into FDIC receivership. These failures represented the second, third, and fourth largest bank failures in U.S. history. As a result, there is increased scrutiny on the banking industry, particularly in the area of liquidity monitoring. In response, we have taken numerous precautionary actions to monitor and limit liquidity risk, including increased deposit monitoring and reporting, proactive customer outreach, increased pledging of loans and securities to the Federal Home Loan Bank of New York ("FHLBNY") and increased pledging of securities at the Federal Reserve Bank discount window to increase our borrowing capacity, pledging of securities to the Bank Term Funding Program, increased issuance of brokered certificates of deposit, and increasing our target cash balances.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and Significant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are prepared based on the application of accounting policies generally accepted in the United States, or GAAP, and conform to general practices within the banking industry. Our significant accounting policies are more fully described in Note 1 of our audited consolidated financial statements included in our 2022 Annual Report. The allowance for credit losses is a critical accounting policy, which has changed due to the adoption of ASU 2016-13 effective January 1, 2023. Our Current Expected Credit Losses ("CECL") policy is described under “Recently Adopted Accounting Standards” in Note 1 to the Consolidated Financial Statements in Item 1 of this Form 10-Q, in addition to our accounting policy related to treasury stock.</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Apart from the aforementioned additions, there have been no other significant changes to our significant accounting policies, or the estimates made pursuant to those policies as described in our 2022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Uncertainties Regarding the Allowance for Credit Loss Estimate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Estimating the timing and amounts of future losses is subject to significant management judgment as these projected cash flows rely upon the estimates discussed within the CECL policy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 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Financial Condition and Results of Operations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charges to earnings and would materially decrease our net income. We may experience significant credit losses if borrowers experience financial difficulties, which could have a material adverse effect on our operating results. In addition, various regulatory agencies, as an integral part of the examination process, periodically review the allowance for credit losses. Such agencies may require the Bank to recognize adjustments to the allowance based on their judgments of the information available to them at the time of their examination.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Effective in 2023 and onward</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7, 2021, the FASB has issued Accounting Standards Update No. 2021-01, Reference Rate Reform (Topic 848): Scope. The new guidance amends the scope of ASU 2020-04, Facilitation of the Effects of Reference Rate Reform on Financial Reporting, which was aimed at easing the potential accounting burden expected when global capital markets move away from the London Interbank Offered Rate ("LIBOR") (the benchmark interest rate banks use to make short-term loans to each other) and provided temporary, optional expedients and exceptions for applying accounting guidance to contract modifications and hedging relationships, subject to meeting certain criteria, that reference LIBOR or another reference rate expected to be discontinued. As the majority of our securities tied to LIBOR are expected to transition to the Secured Overnight Financing Rate ("SOFR") or pay off before the transition date and given that we do not have a substantial amount of commercial loans or any derivative transactions tied to LIBOR, the Adoption of ASU 2021-01 is not expected to have a material impact on our operating results or financial condition.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results of operations depend substantially on net interest income, which is the difference between interest income on interest-earning assets, consisting primarily of interest income on loans, investment securities and other short-term investments and interest expense on interest-bearing liabilities, consisting primarily of interest expense on deposits and borrowings. Our results of operations are also dependent on non-interest income, consisting primarily of income from Trust Department fees, service charges on deposit accounts, net gains on sales of investment securities and income from bank-owned life insurance (“BOLI”). Other factors contributing to our results of operations include our provisions for credit losses, income taxes, and non-interest expenses, such as salaries and employee benefits, occupancy and depreciation expenses, professional fees, data processing fees and other miscellaneous operating costs.</w:t>
      </w:r>
    </w:p>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Net income for the second quarter of 2023 was $21.6 million, or $0.70 per diluted share, compared to $19.6 million, or $0.63 per diluted share, for the second quarter of 2022. The $2.0 million increase was primarily due to a $15.1 million increase in interest income on securities and a $11.6 million increase in interest income on loans, and a $0.7 million increase in non-interest income, offset by an increase in interest expense of $20.7 million primarily related to deposits, a $3.2 million increase in non-interest expense, a $1.0 million increase in the provision for credit losses, and a $0.9 million increase in income tax expense.</w:t>
      </w:r>
    </w:p>
    <w:p>
      <w:pPr>
        <w:spacing w:after="0" w:line="22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Net income for the six months ended June 30, 2023 was $43.0 million, or $1.39 per diluted share, compared to $33.8 million, or $1.08 per diluted share, for the same period in 2022. The $9.2 million increase was primarily due to a $61.8 million increase in interest income, offset by a $25.4 million increase in interest expense, a $7.5 million increase in non-interest expense, a $3.7 million increase in the provision for credit losses, a $3.6 million increase in income tax expense, and a $1.5 million decrease in non-interest income.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interest income, representing interest income less interest expense, is a significant contributor to our revenues and earnings. We generate interest income from interest, dividends and prepayment fees on interest-earning assets, including loans, investment securities and other short-term investments. We incur interest expense from interest paid on interest-bearing liabilities, including interest-bearing deposits, FHLBNY advances, federal funds purchased and other borrowings. To evaluate net interest income, we measure and monitor (i) yields on our loans and other interest-earning assets, (ii) the costs of our deposits and other funding sources, (iii) our net interest spread and (iv) our net interest margin. Net interest spread is equal to the difference between rates earned on interest-earning assets and rates paid on interest-bearing liabilities. Net interest margin is equal to the annualized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2023 and 2022</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related to our average balance sheet, average yields on assets, and average costs of liabilities for the periods indicated: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6"/>
          </w:tcPr>
          <w:p>
            <w:pPr>
              <w:ind w:left="780"/>
              <w:spacing w:after="0"/>
              <w:rPr>
                <w:sz w:val="20"/>
                <w:szCs w:val="20"/>
                <w:color w:val="auto"/>
              </w:rPr>
            </w:pPr>
            <w:r>
              <w:rPr>
                <w:rFonts w:ascii="Arial" w:cs="Arial" w:eastAsia="Arial" w:hAnsi="Arial"/>
                <w:sz w:val="18"/>
                <w:szCs w:val="18"/>
                <w:b w:val="1"/>
                <w:bCs w:val="1"/>
                <w:color w:val="auto"/>
                <w:w w:val="94"/>
              </w:rPr>
              <w:t>Three Months Ended</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88"/>
              </w:rPr>
              <w:t>June 30, 2023</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June 30, 2022</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110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ind w:left="40"/>
              <w:spacing w:after="0" w:line="173" w:lineRule="exact"/>
              <w:rPr>
                <w:sz w:val="20"/>
                <w:szCs w:val="20"/>
                <w:color w:val="auto"/>
              </w:rPr>
            </w:pPr>
            <w:r>
              <w:rPr>
                <w:rFonts w:ascii="Arial" w:cs="Arial" w:eastAsia="Arial" w:hAnsi="Arial"/>
                <w:sz w:val="18"/>
                <w:szCs w:val="18"/>
                <w:b w:val="1"/>
                <w:bCs w:val="1"/>
                <w:color w:val="auto"/>
              </w:rPr>
              <w:t>Income /</w:t>
            </w:r>
          </w:p>
        </w:tc>
        <w:tc>
          <w:tcPr>
            <w:tcW w:w="900" w:type="dxa"/>
            <w:vAlign w:val="bottom"/>
          </w:tcPr>
          <w:p>
            <w:pPr>
              <w:jc w:val="right"/>
              <w:ind w:right="231"/>
              <w:spacing w:after="0" w:line="173" w:lineRule="exact"/>
              <w:rPr>
                <w:sz w:val="20"/>
                <w:szCs w:val="20"/>
                <w:color w:val="auto"/>
              </w:rPr>
            </w:pPr>
            <w:r>
              <w:rPr>
                <w:rFonts w:ascii="Arial" w:cs="Arial" w:eastAsia="Arial" w:hAnsi="Arial"/>
                <w:sz w:val="18"/>
                <w:szCs w:val="18"/>
                <w:b w:val="1"/>
                <w:bCs w:val="1"/>
                <w:color w:val="auto"/>
              </w:rPr>
              <w:t>Yield /</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w w:val="92"/>
              </w:rPr>
              <w:t>Average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ind w:left="20"/>
              <w:spacing w:after="0" w:line="173" w:lineRule="exact"/>
              <w:rPr>
                <w:sz w:val="20"/>
                <w:szCs w:val="20"/>
                <w:color w:val="auto"/>
              </w:rPr>
            </w:pPr>
            <w:r>
              <w:rPr>
                <w:rFonts w:ascii="Arial" w:cs="Arial" w:eastAsia="Arial" w:hAnsi="Arial"/>
                <w:sz w:val="18"/>
                <w:szCs w:val="18"/>
                <w:b w:val="1"/>
                <w:bCs w:val="1"/>
                <w:color w:val="auto"/>
              </w:rPr>
              <w:t>Income /</w:t>
            </w:r>
          </w:p>
        </w:tc>
        <w:tc>
          <w:tcPr>
            <w:tcW w:w="880" w:type="dxa"/>
            <w:vAlign w:val="bottom"/>
          </w:tcPr>
          <w:p>
            <w:pPr>
              <w:jc w:val="right"/>
              <w:ind w:right="231"/>
              <w:spacing w:after="0" w:line="173" w:lineRule="exact"/>
              <w:rPr>
                <w:sz w:val="20"/>
                <w:szCs w:val="20"/>
                <w:color w:val="auto"/>
              </w:rPr>
            </w:pPr>
            <w:r>
              <w:rPr>
                <w:rFonts w:ascii="Arial" w:cs="Arial" w:eastAsia="Arial" w:hAnsi="Arial"/>
                <w:sz w:val="18"/>
                <w:szCs w:val="18"/>
                <w:b w:val="1"/>
                <w:bCs w:val="1"/>
                <w:color w:val="auto"/>
              </w:rPr>
              <w:t>Yield /</w:t>
            </w:r>
          </w:p>
        </w:tc>
        <w:tc>
          <w:tcPr>
            <w:tcW w:w="0" w:type="dxa"/>
            <w:vAlign w:val="bottom"/>
          </w:tcPr>
          <w:p>
            <w:pPr>
              <w:spacing w:after="0"/>
              <w:rPr>
                <w:sz w:val="1"/>
                <w:szCs w:val="1"/>
                <w:color w:val="auto"/>
              </w:rPr>
            </w:pPr>
          </w:p>
        </w:tc>
      </w:tr>
      <w:tr>
        <w:trPr>
          <w:trHeight w:val="109"/>
        </w:trPr>
        <w:tc>
          <w:tcPr>
            <w:tcW w:w="3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Balance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Expense</w:t>
            </w:r>
          </w:p>
        </w:tc>
        <w:tc>
          <w:tcPr>
            <w:tcW w:w="900" w:type="dxa"/>
            <w:vAlign w:val="bottom"/>
            <w:vMerge w:val="restart"/>
          </w:tcPr>
          <w:p>
            <w:pPr>
              <w:jc w:val="right"/>
              <w:ind w:right="291"/>
              <w:spacing w:after="0"/>
              <w:rPr>
                <w:sz w:val="20"/>
                <w:szCs w:val="20"/>
                <w:color w:val="auto"/>
              </w:rPr>
            </w:pPr>
            <w:r>
              <w:rPr>
                <w:rFonts w:ascii="Arial" w:cs="Arial" w:eastAsia="Arial" w:hAnsi="Arial"/>
                <w:sz w:val="18"/>
                <w:szCs w:val="18"/>
                <w:b w:val="1"/>
                <w:bCs w:val="1"/>
                <w:color w:val="auto"/>
              </w:rPr>
              <w:t>Rate</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5"/>
              </w:rPr>
              <w:t>Balance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Expense</w:t>
            </w:r>
          </w:p>
        </w:tc>
        <w:tc>
          <w:tcPr>
            <w:tcW w:w="88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120"/>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160"/>
              <w:spacing w:after="0"/>
              <w:rPr>
                <w:sz w:val="20"/>
                <w:szCs w:val="20"/>
                <w:color w:val="auto"/>
              </w:rPr>
            </w:pPr>
            <w:r>
              <w:rPr>
                <w:rFonts w:ascii="Arial" w:cs="Arial" w:eastAsia="Arial" w:hAnsi="Arial"/>
                <w:sz w:val="18"/>
                <w:szCs w:val="18"/>
                <w:color w:val="auto"/>
              </w:rPr>
              <w:t>Interest-earning assets:</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Interest-bearing deposits in banks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114,010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305,134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0.72 %</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line="243" w:lineRule="exact"/>
              <w:rPr>
                <w:sz w:val="20"/>
                <w:szCs w:val="20"/>
                <w:color w:val="auto"/>
              </w:rPr>
            </w:pPr>
            <w:r>
              <w:rPr>
                <w:rFonts w:ascii="Arial" w:cs="Arial" w:eastAsia="Arial" w:hAnsi="Arial"/>
                <w:sz w:val="18"/>
                <w:szCs w:val="18"/>
                <w:color w:val="auto"/>
              </w:rPr>
              <w:t>Securities</w:t>
            </w:r>
            <w:r>
              <w:rPr>
                <w:rFonts w:ascii="Arial" w:cs="Arial" w:eastAsia="Arial" w:hAnsi="Arial"/>
                <w:sz w:val="23"/>
                <w:szCs w:val="23"/>
                <w:color w:val="auto"/>
                <w:vertAlign w:val="superscript"/>
              </w:rPr>
              <w:t>(1)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3,259,797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39,393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4.85 %</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3,443,987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23,308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Resell agreements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231,468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Total loans, net </w:t>
            </w:r>
            <w:r>
              <w:rPr>
                <w:rFonts w:ascii="Arial" w:cs="Arial" w:eastAsia="Arial" w:hAnsi="Arial"/>
                <w:sz w:val="23"/>
                <w:szCs w:val="23"/>
                <w:color w:val="auto"/>
                <w:vertAlign w:val="superscript"/>
              </w:rPr>
              <w:t>(2)(3)</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4,202,911</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4.33 %</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3,504,223</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33,766</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3.86 %</w:t>
            </w:r>
          </w:p>
        </w:tc>
        <w:tc>
          <w:tcPr>
            <w:tcW w:w="0" w:type="dxa"/>
            <w:vAlign w:val="bottom"/>
          </w:tcPr>
          <w:p>
            <w:pPr>
              <w:spacing w:after="0"/>
              <w:rPr>
                <w:sz w:val="1"/>
                <w:szCs w:val="1"/>
                <w:color w:val="auto"/>
              </w:rPr>
            </w:pPr>
          </w:p>
        </w:tc>
      </w:tr>
      <w:tr>
        <w:trPr>
          <w:trHeight w:val="237"/>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interest-earning assets</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7,582,288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85,922</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4.55 %</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7,484,812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58,669</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3.14 %</w:t>
            </w:r>
          </w:p>
        </w:tc>
        <w:tc>
          <w:tcPr>
            <w:tcW w:w="0" w:type="dxa"/>
            <w:vAlign w:val="bottom"/>
          </w:tcPr>
          <w:p>
            <w:pPr>
              <w:spacing w:after="0"/>
              <w:rPr>
                <w:sz w:val="1"/>
                <w:szCs w:val="1"/>
                <w:color w:val="auto"/>
              </w:rPr>
            </w:pPr>
          </w:p>
        </w:tc>
      </w:tr>
      <w:tr>
        <w:trPr>
          <w:trHeight w:val="230"/>
        </w:trPr>
        <w:tc>
          <w:tcPr>
            <w:tcW w:w="3820" w:type="dxa"/>
            <w:vAlign w:val="bottom"/>
          </w:tcPr>
          <w:p>
            <w:pPr>
              <w:ind w:left="160"/>
              <w:spacing w:after="0"/>
              <w:rPr>
                <w:sz w:val="20"/>
                <w:szCs w:val="20"/>
                <w:color w:val="auto"/>
              </w:rPr>
            </w:pPr>
            <w:r>
              <w:rPr>
                <w:rFonts w:ascii="Arial" w:cs="Arial" w:eastAsia="Arial" w:hAnsi="Arial"/>
                <w:sz w:val="18"/>
                <w:szCs w:val="18"/>
                <w:color w:val="auto"/>
              </w:rPr>
              <w:t>Non-interest-earning assets: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due from banks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208,944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266,186</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7,796,266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7,760,294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liabilities: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Savings, NOW and money market deposits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86"/>
              </w:rPr>
              <w:t>3,203,681,000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13,298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3,030,788</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0.18 %</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158,992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192,181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Brokered CDs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411,510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interest-bearing deposits</w:t>
            </w: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3,774,183</w:t>
            </w:r>
          </w:p>
        </w:tc>
        <w:tc>
          <w:tcPr>
            <w:tcW w:w="14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18,816</w:t>
            </w:r>
          </w:p>
        </w:tc>
        <w:tc>
          <w:tcPr>
            <w:tcW w:w="14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24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3,222,969</w:t>
            </w:r>
          </w:p>
        </w:tc>
        <w:tc>
          <w:tcPr>
            <w:tcW w:w="14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4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0.18 %</w:t>
            </w:r>
          </w:p>
        </w:tc>
        <w:tc>
          <w:tcPr>
            <w:tcW w:w="0" w:type="dxa"/>
            <w:vAlign w:val="bottom"/>
          </w:tcPr>
          <w:p>
            <w:pPr>
              <w:spacing w:after="0"/>
              <w:rPr>
                <w:sz w:val="1"/>
                <w:szCs w:val="1"/>
                <w:color w:val="auto"/>
              </w:rPr>
            </w:pPr>
          </w:p>
        </w:tc>
      </w:tr>
      <w:tr>
        <w:trPr>
          <w:trHeight w:val="237"/>
        </w:trPr>
        <w:tc>
          <w:tcPr>
            <w:tcW w:w="3820" w:type="dxa"/>
            <w:vAlign w:val="bottom"/>
          </w:tcPr>
          <w:p>
            <w:pPr>
              <w:ind w:left="160"/>
              <w:spacing w:after="0"/>
              <w:rPr>
                <w:sz w:val="20"/>
                <w:szCs w:val="20"/>
                <w:color w:val="auto"/>
              </w:rPr>
            </w:pPr>
            <w:r>
              <w:rPr>
                <w:rFonts w:ascii="Arial" w:cs="Arial" w:eastAsia="Arial" w:hAnsi="Arial"/>
                <w:sz w:val="18"/>
                <w:szCs w:val="18"/>
                <w:color w:val="auto"/>
              </w:rPr>
              <w:t>FHLBNY advances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104,834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5.21 %</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3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Borrowings</w:t>
            </w: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266,170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4.16 %</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3.30 %</w:t>
            </w:r>
          </w:p>
        </w:tc>
        <w:tc>
          <w:tcPr>
            <w:tcW w:w="0" w:type="dxa"/>
            <w:vAlign w:val="bottom"/>
          </w:tcPr>
          <w:p>
            <w:pPr>
              <w:spacing w:after="0"/>
              <w:rPr>
                <w:sz w:val="1"/>
                <w:szCs w:val="1"/>
                <w:color w:val="auto"/>
              </w:rPr>
            </w:pPr>
          </w:p>
        </w:tc>
      </w:tr>
      <w:tr>
        <w:trPr>
          <w:trHeight w:val="223"/>
        </w:trPr>
        <w:tc>
          <w:tcPr>
            <w:tcW w:w="3820" w:type="dxa"/>
            <w:vAlign w:val="bottom"/>
          </w:tcPr>
          <w:p>
            <w:pPr>
              <w:ind w:left="160"/>
              <w:spacing w:after="0"/>
              <w:rPr>
                <w:sz w:val="20"/>
                <w:szCs w:val="20"/>
                <w:color w:val="auto"/>
              </w:rPr>
            </w:pPr>
            <w:r>
              <w:rPr>
                <w:rFonts w:ascii="Arial" w:cs="Arial" w:eastAsia="Arial" w:hAnsi="Arial"/>
                <w:sz w:val="18"/>
                <w:szCs w:val="18"/>
                <w:color w:val="auto"/>
              </w:rPr>
              <w:t>Total borrowings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371,004</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4.46 %</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83,886</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3.30 %</w:t>
            </w:r>
          </w:p>
        </w:tc>
        <w:tc>
          <w:tcPr>
            <w:tcW w:w="0" w:type="dxa"/>
            <w:vAlign w:val="bottom"/>
          </w:tcPr>
          <w:p>
            <w:pPr>
              <w:spacing w:after="0"/>
              <w:rPr>
                <w:sz w:val="1"/>
                <w:szCs w:val="1"/>
                <w:color w:val="auto"/>
              </w:rPr>
            </w:pPr>
          </w:p>
        </w:tc>
      </w:tr>
      <w:tr>
        <w:trPr>
          <w:trHeight w:val="237"/>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interest-bearing liabilities</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4,145,187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22,937</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3,306,855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0.26 %</w:t>
            </w:r>
          </w:p>
        </w:tc>
        <w:tc>
          <w:tcPr>
            <w:tcW w:w="0" w:type="dxa"/>
            <w:vAlign w:val="bottom"/>
          </w:tcPr>
          <w:p>
            <w:pPr>
              <w:spacing w:after="0"/>
              <w:rPr>
                <w:sz w:val="1"/>
                <w:szCs w:val="1"/>
                <w:color w:val="auto"/>
              </w:rPr>
            </w:pPr>
          </w:p>
        </w:tc>
      </w:tr>
      <w:tr>
        <w:trPr>
          <w:trHeight w:val="230"/>
        </w:trPr>
        <w:tc>
          <w:tcPr>
            <w:tcW w:w="3820" w:type="dxa"/>
            <w:vAlign w:val="bottom"/>
          </w:tcPr>
          <w:p>
            <w:pPr>
              <w:ind w:left="160"/>
              <w:spacing w:after="0"/>
              <w:rPr>
                <w:sz w:val="20"/>
                <w:szCs w:val="20"/>
                <w:color w:val="auto"/>
              </w:rPr>
            </w:pPr>
            <w:r>
              <w:rPr>
                <w:rFonts w:ascii="Arial" w:cs="Arial" w:eastAsia="Arial" w:hAnsi="Arial"/>
                <w:sz w:val="18"/>
                <w:szCs w:val="18"/>
                <w:color w:val="auto"/>
              </w:rPr>
              <w:t>Non-interest-bearing liabilities: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Demand and transaction deposits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3,055,770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3,855,735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80,274</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7,268,667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7,242,864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60"/>
              <w:spacing w:after="0"/>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527,599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7,796,266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7,760,294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 / interest rate spread</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62,985</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56,498</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23"/>
        </w:trPr>
        <w:tc>
          <w:tcPr>
            <w:tcW w:w="3820" w:type="dxa"/>
            <w:vAlign w:val="bottom"/>
          </w:tcPr>
          <w:p>
            <w:pPr>
              <w:ind w:left="160"/>
              <w:spacing w:after="0"/>
              <w:rPr>
                <w:sz w:val="20"/>
                <w:szCs w:val="20"/>
                <w:color w:val="auto"/>
              </w:rPr>
            </w:pPr>
            <w:r>
              <w:rPr>
                <w:rFonts w:ascii="Arial" w:cs="Arial" w:eastAsia="Arial" w:hAnsi="Arial"/>
                <w:sz w:val="18"/>
                <w:szCs w:val="18"/>
                <w:color w:val="auto"/>
                <w:w w:val="95"/>
              </w:rPr>
              <w:t>Net interest-earning assets / net interest margin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3,437,101</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4,177,957</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36"/>
        </w:trPr>
        <w:tc>
          <w:tcPr>
            <w:tcW w:w="38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6"/>
                <w:szCs w:val="16"/>
                <w:color w:val="auto"/>
              </w:rPr>
              <w:t>Total deposits / total cost of deposits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6,829,953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7,078,704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0.08 %</w:t>
            </w:r>
          </w:p>
        </w:tc>
        <w:tc>
          <w:tcPr>
            <w:tcW w:w="0" w:type="dxa"/>
            <w:vAlign w:val="bottom"/>
          </w:tcPr>
          <w:p>
            <w:pPr>
              <w:spacing w:after="0"/>
              <w:rPr>
                <w:sz w:val="1"/>
                <w:szCs w:val="1"/>
                <w:color w:val="auto"/>
              </w:rPr>
            </w:pPr>
          </w:p>
        </w:tc>
      </w:tr>
      <w:tr>
        <w:trPr>
          <w:trHeight w:val="23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funding / total cost of funds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7,200,957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2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7,162,590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0.12 %</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Includes FHLBNY stock in the average balance, and dividend income on FHLBNY stock in interest income</w:t>
      </w:r>
    </w:p>
    <w:p>
      <w:pPr>
        <w:spacing w:after="0" w:line="21" w:lineRule="exact"/>
        <w:rPr>
          <w:rFonts w:ascii="Arial" w:cs="Arial" w:eastAsia="Arial" w:hAnsi="Arial"/>
          <w:sz w:val="9"/>
          <w:szCs w:val="9"/>
          <w:color w:val="auto"/>
        </w:rPr>
      </w:pPr>
    </w:p>
    <w:p>
      <w:pPr>
        <w:ind w:right="140" w:firstLine="8"/>
        <w:spacing w:after="0" w:line="261" w:lineRule="auto"/>
        <w:tabs>
          <w:tab w:leader="none" w:pos="137" w:val="left"/>
        </w:tabs>
        <w:numPr>
          <w:ilvl w:val="0"/>
          <w:numId w:val="9"/>
        </w:numPr>
        <w:rPr>
          <w:rFonts w:ascii="Arial" w:cs="Arial" w:eastAsia="Arial" w:hAnsi="Arial"/>
          <w:sz w:val="9"/>
          <w:szCs w:val="9"/>
          <w:color w:val="auto"/>
        </w:rPr>
      </w:pPr>
      <w:r>
        <w:rPr>
          <w:rFonts w:ascii="Arial" w:cs="Arial" w:eastAsia="Arial" w:hAnsi="Arial"/>
          <w:sz w:val="14"/>
          <w:szCs w:val="14"/>
          <w:color w:val="auto"/>
        </w:rPr>
        <w:t>Amounts are net of deferred origination costs. With the adoption of the CECL standard on January 1, 2023, the average balance of the allowance for credit losses on loans was reclassified for all presented periods to other assets to allow for comparability.</w:t>
      </w:r>
    </w:p>
    <w:p>
      <w:pPr>
        <w:ind w:left="140" w:hanging="132"/>
        <w:spacing w:after="0" w:line="228"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Includes prepayment penalty income in 2Q2023 and 2Q2022 of $0 and $379 thousand, respectively</w:t>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was $63.0 million for the second quarter of 2023, compared to $56.5 million for the second quarter of 2022. The $6.5 million, or 11.5%, increase from the second quarter of 2022 was primarily attributable to higher yields and average balances on interest-earning assets, partially offset by higher costs and average balances on interest-bearing liabilities.</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net interest spread was 2.33% for the three months ended June 30, 2023, compared to 2.88% for the same period in 2022, a decrease of 55 basis points. Our net interest margin was 3.33% for the second quarter of 2023, an increase of 30 basis points from 3.03% in the second quarter of 2022. No prepayment penalties were earned in loan income in the second quarter of 2023, compared to a two basis point contribution to net interest margin in the second quarter of 2022.</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5" w:name="page56"/>
    <w:bookmarkEnd w:id="55"/>
    <w:p>
      <w:pPr>
        <w:jc w:val="both"/>
        <w:spacing w:after="0" w:line="342" w:lineRule="auto"/>
        <w:rPr>
          <w:sz w:val="20"/>
          <w:szCs w:val="20"/>
          <w:color w:val="auto"/>
        </w:rPr>
      </w:pPr>
      <w:r>
        <w:rPr>
          <w:rFonts w:ascii="Arial" w:cs="Arial" w:eastAsia="Arial" w:hAnsi="Arial"/>
          <w:sz w:val="16"/>
          <w:szCs w:val="16"/>
          <w:color w:val="auto"/>
        </w:rPr>
        <w:t>The yield on average earning assets was 4.55% for the three months ended June 30, 2023, compared to 3.14% for the same period in 2022, an increase of 141 basis points. This increase was driven primarily by the rising rate environment and an increase in average loan and securities balances.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average rate on interest-bearing liabilities was 2.22% for the three months ended June 30, 2023, an increase of 196 basis points from the same period in 2022, which was primarily due to the increase in interest expense on borrowings with the increase in the average balance of FHLBNY advances and other borrowings, and the rising rate environment that led to an increase in interest expense paid for deposits. Non-interest-bearing deposits represented 45% of average deposits for the three months ended June 30,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Six Months Ended June 30, 2023 and 2022</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sets forth information related to our average balance sheet, average yields on assets, and average costs of liabilities for the periods indicated:</w:t>
      </w:r>
    </w:p>
    <w:p>
      <w:pPr>
        <w:sectPr>
          <w:pgSz w:w="11900" w:h="16838" w:orient="portrait"/>
          <w:cols w:equalWidth="0" w:num="1">
            <w:col w:w="11160"/>
          </w:cols>
          <w:pgMar w:left="320" w:top="93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154" w:lineRule="exact"/>
        <w:rPr>
          <w:sz w:val="20"/>
          <w:szCs w:val="20"/>
          <w:color w:val="auto"/>
        </w:rPr>
      </w:pPr>
    </w:p>
    <w:p>
      <w:pPr>
        <w:ind w:left="20" w:right="600" w:firstLine="135"/>
        <w:spacing w:after="0" w:line="253" w:lineRule="auto"/>
        <w:rPr>
          <w:sz w:val="20"/>
          <w:szCs w:val="20"/>
          <w:color w:val="auto"/>
        </w:rPr>
      </w:pPr>
      <w:r>
        <w:rPr>
          <w:rFonts w:ascii="Arial" w:cs="Arial" w:eastAsia="Arial" w:hAnsi="Arial"/>
          <w:sz w:val="18"/>
          <w:szCs w:val="18"/>
          <w:color w:val="auto"/>
        </w:rPr>
        <w:t>Interest-earning assets: Interest-bearing deposits in banks Securities</w:t>
      </w:r>
      <w:r>
        <w:rPr>
          <w:rFonts w:ascii="Arial" w:cs="Arial" w:eastAsia="Arial" w:hAnsi="Arial"/>
          <w:sz w:val="23"/>
          <w:szCs w:val="23"/>
          <w:color w:val="auto"/>
          <w:vertAlign w:val="superscript"/>
        </w:rPr>
        <w:t>(1)</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Resell agreements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Total loans, net </w:t>
      </w:r>
      <w:r>
        <w:rPr>
          <w:rFonts w:ascii="Arial" w:cs="Arial" w:eastAsia="Arial" w:hAnsi="Arial"/>
          <w:sz w:val="23"/>
          <w:szCs w:val="23"/>
          <w:color w:val="auto"/>
          <w:vertAlign w:val="superscript"/>
        </w:rPr>
        <w:t>(2)(3)</w:t>
      </w:r>
    </w:p>
    <w:p>
      <w:pPr>
        <w:ind w:left="160"/>
        <w:spacing w:after="0"/>
        <w:rPr>
          <w:sz w:val="20"/>
          <w:szCs w:val="20"/>
          <w:color w:val="auto"/>
        </w:rPr>
      </w:pPr>
      <w:r>
        <w:rPr>
          <w:rFonts w:ascii="Arial" w:cs="Arial" w:eastAsia="Arial" w:hAnsi="Arial"/>
          <w:sz w:val="18"/>
          <w:szCs w:val="18"/>
          <w:color w:val="auto"/>
        </w:rPr>
        <w:t>Total interest-earning assets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Non-interest-earning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due from banks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Six Months Ended</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Six Months Ended</w:t>
            </w:r>
          </w:p>
        </w:tc>
        <w:tc>
          <w:tcPr>
            <w:tcW w:w="940" w:type="dxa"/>
            <w:vAlign w:val="bottom"/>
          </w:tcPr>
          <w:p>
            <w:pPr>
              <w:spacing w:after="0"/>
              <w:rPr>
                <w:sz w:val="17"/>
                <w:szCs w:val="17"/>
                <w:color w:val="auto"/>
              </w:rPr>
            </w:pPr>
          </w:p>
        </w:tc>
      </w:tr>
      <w:tr>
        <w:trPr>
          <w:trHeight w:val="239"/>
        </w:trPr>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8"/>
                <w:szCs w:val="18"/>
                <w:b w:val="1"/>
                <w:bCs w:val="1"/>
                <w:color w:val="auto"/>
                <w:w w:val="88"/>
              </w:rPr>
              <w:t>June 30, 2023</w:t>
            </w: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8"/>
                <w:szCs w:val="18"/>
                <w:b w:val="1"/>
                <w:bCs w:val="1"/>
                <w:color w:val="auto"/>
                <w:w w:val="88"/>
              </w:rPr>
              <w:t>June 30, 2022</w:t>
            </w:r>
          </w:p>
        </w:tc>
        <w:tc>
          <w:tcPr>
            <w:tcW w:w="940" w:type="dxa"/>
            <w:vAlign w:val="bottom"/>
            <w:tcBorders>
              <w:bottom w:val="single" w:sz="8" w:color="auto"/>
            </w:tcBorders>
          </w:tcPr>
          <w:p>
            <w:pPr>
              <w:spacing w:after="0"/>
              <w:rPr>
                <w:sz w:val="20"/>
                <w:szCs w:val="20"/>
                <w:color w:val="auto"/>
              </w:rPr>
            </w:pPr>
          </w:p>
        </w:tc>
      </w:tr>
      <w:tr>
        <w:trPr>
          <w:trHeight w:val="173"/>
        </w:trPr>
        <w:tc>
          <w:tcPr>
            <w:tcW w:w="160" w:type="dxa"/>
            <w:vAlign w:val="bottom"/>
          </w:tcPr>
          <w:p>
            <w:pPr>
              <w:spacing w:after="0"/>
              <w:rPr>
                <w:sz w:val="15"/>
                <w:szCs w:val="15"/>
                <w:color w:val="auto"/>
              </w:rPr>
            </w:pPr>
          </w:p>
        </w:tc>
        <w:tc>
          <w:tcPr>
            <w:tcW w:w="90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w w:val="95"/>
              </w:rPr>
              <w:t>Average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ind w:left="40"/>
              <w:spacing w:after="0" w:line="173" w:lineRule="exact"/>
              <w:rPr>
                <w:sz w:val="20"/>
                <w:szCs w:val="20"/>
                <w:color w:val="auto"/>
              </w:rPr>
            </w:pPr>
            <w:r>
              <w:rPr>
                <w:rFonts w:ascii="Arial" w:cs="Arial" w:eastAsia="Arial" w:hAnsi="Arial"/>
                <w:sz w:val="18"/>
                <w:szCs w:val="18"/>
                <w:b w:val="1"/>
                <w:bCs w:val="1"/>
                <w:color w:val="auto"/>
              </w:rPr>
              <w:t>Income /</w:t>
            </w:r>
          </w:p>
        </w:tc>
        <w:tc>
          <w:tcPr>
            <w:tcW w:w="96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Yield /</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w w:val="92"/>
              </w:rPr>
              <w:t>Average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3"/>
          </w:tcPr>
          <w:p>
            <w:pPr>
              <w:ind w:left="40"/>
              <w:spacing w:after="0" w:line="173" w:lineRule="exact"/>
              <w:rPr>
                <w:sz w:val="20"/>
                <w:szCs w:val="20"/>
                <w:color w:val="auto"/>
              </w:rPr>
            </w:pPr>
            <w:r>
              <w:rPr>
                <w:rFonts w:ascii="Arial" w:cs="Arial" w:eastAsia="Arial" w:hAnsi="Arial"/>
                <w:sz w:val="18"/>
                <w:szCs w:val="18"/>
                <w:b w:val="1"/>
                <w:bCs w:val="1"/>
                <w:color w:val="auto"/>
              </w:rPr>
              <w:t>Income /</w:t>
            </w:r>
          </w:p>
        </w:tc>
        <w:tc>
          <w:tcPr>
            <w:tcW w:w="94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Yield /</w:t>
            </w:r>
          </w:p>
        </w:tc>
      </w:tr>
      <w:tr>
        <w:trPr>
          <w:trHeight w:val="230"/>
        </w:trPr>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Balance</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Expense</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Rate</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Balance</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Expense</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Rate</w:t>
            </w:r>
          </w:p>
        </w:tc>
      </w:tr>
      <w:tr>
        <w:trPr>
          <w:trHeight w:val="452"/>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102,550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3.29 %   $</w:t>
            </w:r>
          </w:p>
        </w:tc>
        <w:tc>
          <w:tcPr>
            <w:tcW w:w="900" w:type="dxa"/>
            <w:vAlign w:val="bottom"/>
          </w:tcPr>
          <w:p>
            <w:pPr>
              <w:jc w:val="right"/>
              <w:spacing w:after="0"/>
              <w:rPr>
                <w:sz w:val="20"/>
                <w:szCs w:val="20"/>
                <w:color w:val="auto"/>
              </w:rPr>
            </w:pPr>
            <w:r>
              <w:rPr>
                <w:rFonts w:ascii="Arial" w:cs="Arial" w:eastAsia="Arial" w:hAnsi="Arial"/>
                <w:sz w:val="18"/>
                <w:szCs w:val="18"/>
                <w:color w:val="auto"/>
              </w:rPr>
              <w:t>364,178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0.40 %</w:t>
            </w:r>
          </w:p>
        </w:tc>
      </w:tr>
      <w:tr>
        <w:trPr>
          <w:trHeight w:val="230"/>
        </w:trPr>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3,310,492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78,586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4.79 %</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3,319,009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41,743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2.54 %</w:t>
            </w:r>
          </w:p>
        </w:tc>
      </w:tr>
      <w:tr>
        <w:trPr>
          <w:trHeight w:val="242"/>
        </w:trPr>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12,071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7.22 %</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225,378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1.58 %</w:t>
            </w:r>
          </w:p>
        </w:tc>
      </w:tr>
      <w:tr>
        <w:trPr>
          <w:trHeight w:val="230"/>
        </w:trPr>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4,166,389</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90,166</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4.36 %</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3,392,788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64,893</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3.86 %</w:t>
            </w:r>
          </w:p>
        </w:tc>
      </w:tr>
      <w:tr>
        <w:trPr>
          <w:trHeight w:val="224"/>
        </w:trPr>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7,591,502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170,857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4.54 %</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7,301,353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109,130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3.01 %</w:t>
            </w:r>
          </w:p>
        </w:tc>
      </w:tr>
      <w:tr>
        <w:trPr>
          <w:trHeight w:val="471"/>
        </w:trPr>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4,527</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7"/>
        </w:trPr>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212,960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7,808,989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7,577,546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-1388110</wp:posOffset>
            </wp:positionV>
            <wp:extent cx="702945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29450" cy="1460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-1088390</wp:posOffset>
            </wp:positionV>
            <wp:extent cx="702945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9450" cy="1460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-788035</wp:posOffset>
            </wp:positionV>
            <wp:extent cx="702945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29450" cy="15430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-488315</wp:posOffset>
            </wp:positionV>
            <wp:extent cx="702945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29450" cy="1460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-187960</wp:posOffset>
            </wp:positionV>
            <wp:extent cx="702945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00"/>
          </w:cols>
          <w:pgMar w:left="320" w:top="935" w:right="41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Savings, NOW and money market deposits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3,147,765</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1.46 %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2,963,809</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2,579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0.18 %</w:t>
            </w:r>
          </w:p>
        </w:tc>
      </w:tr>
      <w:tr>
        <w:trPr>
          <w:trHeight w:val="23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154,429</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195,741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0.31 %</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Brokered CDs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389,718</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8,891</w:t>
            </w: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4.60 %</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0.00 %</w:t>
            </w:r>
          </w:p>
        </w:tc>
      </w:tr>
      <w:tr>
        <w:trPr>
          <w:trHeight w:val="23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interest-bearing deposits</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3,691,912</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3,159,550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0.18 %</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FHLBNY advances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179,116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4.92 %</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r>
        <w:trPr>
          <w:trHeight w:val="23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Borrowings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180,389</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3.99 %</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3.31 %</w:t>
            </w:r>
          </w:p>
        </w:tc>
      </w:tr>
      <w:tr>
        <w:trPr>
          <w:trHeight w:val="237"/>
        </w:trPr>
        <w:tc>
          <w:tcPr>
            <w:tcW w:w="3760" w:type="dxa"/>
            <w:vAlign w:val="bottom"/>
          </w:tcPr>
          <w:p>
            <w:pPr>
              <w:ind w:left="160"/>
              <w:spacing w:after="0"/>
              <w:rPr>
                <w:sz w:val="20"/>
                <w:szCs w:val="20"/>
                <w:color w:val="auto"/>
              </w:rPr>
            </w:pPr>
            <w:r>
              <w:rPr>
                <w:rFonts w:ascii="Arial" w:cs="Arial" w:eastAsia="Arial" w:hAnsi="Arial"/>
                <w:sz w:val="18"/>
                <w:szCs w:val="18"/>
                <w:color w:val="auto"/>
              </w:rPr>
              <w:t>Total borrowings</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359,505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7,942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4.45 %</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84,239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3.31 %</w:t>
            </w:r>
          </w:p>
        </w:tc>
      </w:tr>
      <w:tr>
        <w:trPr>
          <w:trHeight w:val="223"/>
        </w:trPr>
        <w:tc>
          <w:tcPr>
            <w:tcW w:w="37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interest-bearing liabilities</w:t>
            </w: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4,051,417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40,593</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3,243,789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0.27 %</w:t>
            </w:r>
          </w:p>
        </w:tc>
      </w:tr>
      <w:tr>
        <w:trPr>
          <w:trHeight w:val="230"/>
        </w:trPr>
        <w:tc>
          <w:tcPr>
            <w:tcW w:w="3760" w:type="dxa"/>
            <w:vAlign w:val="bottom"/>
          </w:tcPr>
          <w:p>
            <w:pPr>
              <w:ind w:left="160"/>
              <w:spacing w:after="0"/>
              <w:rPr>
                <w:sz w:val="20"/>
                <w:szCs w:val="20"/>
                <w:color w:val="auto"/>
              </w:rPr>
            </w:pPr>
            <w:r>
              <w:rPr>
                <w:rFonts w:ascii="Arial" w:cs="Arial" w:eastAsia="Arial" w:hAnsi="Arial"/>
                <w:sz w:val="18"/>
                <w:szCs w:val="18"/>
                <w:color w:val="auto"/>
              </w:rPr>
              <w:t>Non-interest-bearing liabilities: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Demand and transaction deposits</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3,170,729</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3,703,455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7,293,878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7,038,754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3"/>
        </w:trPr>
        <w:tc>
          <w:tcPr>
            <w:tcW w:w="3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515,111</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538,792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r>
      <w:tr>
        <w:trPr>
          <w:trHeight w:val="248"/>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7,808,989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7,577,546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217"/>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interest income / interest rate spread</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130,264</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104,866</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2.74 %</w:t>
            </w:r>
          </w:p>
        </w:tc>
      </w:tr>
      <w:tr>
        <w:trPr>
          <w:trHeight w:val="236"/>
        </w:trPr>
        <w:tc>
          <w:tcPr>
            <w:tcW w:w="3760" w:type="dxa"/>
            <w:vAlign w:val="bottom"/>
          </w:tcPr>
          <w:p>
            <w:pPr>
              <w:ind w:left="160"/>
              <w:spacing w:after="0"/>
              <w:rPr>
                <w:sz w:val="20"/>
                <w:szCs w:val="20"/>
                <w:color w:val="auto"/>
              </w:rPr>
            </w:pPr>
            <w:r>
              <w:rPr>
                <w:rFonts w:ascii="Arial" w:cs="Arial" w:eastAsia="Arial" w:hAnsi="Arial"/>
                <w:sz w:val="18"/>
                <w:szCs w:val="18"/>
                <w:color w:val="auto"/>
                <w:w w:val="94"/>
              </w:rPr>
              <w:t>Net interest-earning assets / net interest margin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3,540,085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3.46 %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4,057,564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2.90 %</w:t>
            </w:r>
          </w:p>
        </w:tc>
      </w:tr>
      <w:tr>
        <w:trPr>
          <w:trHeight w:val="250"/>
        </w:trPr>
        <w:tc>
          <w:tcPr>
            <w:tcW w:w="37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Total deposits / total cost of deposits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6,862,641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0.96 %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6,863,005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0.08 %</w:t>
            </w:r>
          </w:p>
        </w:tc>
      </w:tr>
      <w:tr>
        <w:trPr>
          <w:trHeight w:val="23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funding / total cost of funds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7,222,146</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2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6,947,244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0.12 %</w:t>
            </w:r>
          </w:p>
        </w:tc>
      </w:tr>
    </w:tbl>
    <w:p>
      <w:pPr>
        <w:spacing w:after="0" w:line="62"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FHLBNY stock in the average balance, and dividend income on FHLBNY stock in interest income.</w:t>
      </w:r>
    </w:p>
    <w:p>
      <w:pPr>
        <w:spacing w:after="0" w:line="21" w:lineRule="exact"/>
        <w:rPr>
          <w:rFonts w:ascii="Arial" w:cs="Arial" w:eastAsia="Arial" w:hAnsi="Arial"/>
          <w:sz w:val="14"/>
          <w:szCs w:val="14"/>
          <w:color w:val="auto"/>
        </w:rPr>
      </w:pPr>
    </w:p>
    <w:p>
      <w:pPr>
        <w:ind w:firstLine="8"/>
        <w:spacing w:after="0" w:line="261" w:lineRule="auto"/>
        <w:tabs>
          <w:tab w:leader="none" w:pos="1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are net of deferred origination costs. With the adoption of the CECL standard on January 1, 2023, the average balance of the allowance for credit losses on loans was reclassified for all presented periods to other assets to allow for comparability.</w:t>
      </w: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prepayment penalty interest income in June YTD 2023 and June YTD 2022 of $0 million and $0.8 million, respectively</w:t>
      </w: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35" w:right="419" w:bottom="1440" w:gutter="0" w:footer="0" w:header="0"/>
          <w:type w:val="continuous"/>
        </w:sectPr>
      </w:pPr>
    </w:p>
    <w:bookmarkStart w:id="57" w:name="page58"/>
    <w:bookmarkEnd w:id="57"/>
    <w:p>
      <w:pPr>
        <w:jc w:val="both"/>
        <w:ind w:right="160"/>
        <w:spacing w:after="0" w:line="263" w:lineRule="auto"/>
        <w:rPr>
          <w:sz w:val="20"/>
          <w:szCs w:val="20"/>
          <w:color w:val="auto"/>
        </w:rPr>
      </w:pPr>
      <w:r>
        <w:rPr>
          <w:rFonts w:ascii="Arial" w:cs="Arial" w:eastAsia="Arial" w:hAnsi="Arial"/>
          <w:sz w:val="18"/>
          <w:szCs w:val="18"/>
          <w:color w:val="auto"/>
        </w:rPr>
        <w:t>Net interest income was $130.3 million for the six months ended June 30, 2023, compared to $104.9 million for the same period in 2022. The year-over-year increase of $25.4 million, or 24.2%, was primarily attributable to higher yields and average balances on interest-earning assets, partially offset by higher costs and average balances on interest-bearing liabilities.</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net interest spread was 2.52% for the six months ended June 30, 2023, compared to 2.74% for the same period in 2022, a decrease of 22 basis points. Our net interest margin was 3.46% for the six months ended June 30, 2023, an increase of 56 basis points from 2.90% in the same period of 2022. No prepayment penalties were earned in loan income in the six months ended June 30, 2023, compared to a 3 basis point contribution to net interest margin in the same period of 2022.</w:t>
      </w:r>
    </w:p>
    <w:p>
      <w:pPr>
        <w:spacing w:after="0" w:line="21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yield on average earning assets was 4.54% for the six months ended June 30, 2023, compared to 3.01% for the same period in 2022, an increase of 153 basis points. This increase was driven primarily by the rising rate environment and an increase in average loan and securities balances.</w:t>
      </w:r>
    </w:p>
    <w:p>
      <w:pPr>
        <w:spacing w:after="0" w:line="15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average rate on interest-bearing liabilities was 2.02% for the six months ended June 30, 2023, an increase of 175 basis points from the same period in 2022, which was primarily due to the increase in interest expense on borrowings with the increase in the average balance of FHLBNY advances and other borrowings, and the rising rate environment that led to an increase in interest expense paid for deposits. Non-interest-bearing deposits represented 46% of average deposits for the six months ended June 30, 2023.</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Rate-Volume Analysis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Increases and decreases in interest income and interest expense result from changes in average balances (volume) of interest-earning assets and interest-bearing liabilities, as well as changes in weighted average interest rates. The table below presents the effect of volume and rate changes on interest income and expense. Changes in volume are changes in the average balance multiplied by the previous period’s average rate. Changes in rate are changes in the average rate multiplied by the average balance from the previous period. The net changes attributable to the combined impact of both rate and volume have been allocated proportionately to the changes due to volume and the changes due to rate: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6"/>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0"/>
              </w:rPr>
              <w:t>Six Months Ended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8"/>
                <w:szCs w:val="18"/>
                <w:b w:val="1"/>
                <w:bCs w:val="1"/>
                <w:color w:val="auto"/>
                <w:w w:val="89"/>
              </w:rPr>
              <w:t>June 30, 2023 over June 30, 2022</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8"/>
                <w:szCs w:val="18"/>
                <w:b w:val="1"/>
                <w:bCs w:val="1"/>
                <w:color w:val="auto"/>
                <w:w w:val="88"/>
              </w:rPr>
              <w:t>June 30, 2023 over June 30, 2022</w:t>
            </w:r>
          </w:p>
        </w:tc>
        <w:tc>
          <w:tcPr>
            <w:tcW w:w="0" w:type="dxa"/>
            <w:vAlign w:val="bottom"/>
          </w:tcPr>
          <w:p>
            <w:pPr>
              <w:spacing w:after="0"/>
              <w:rPr>
                <w:sz w:val="1"/>
                <w:szCs w:val="1"/>
                <w:color w:val="auto"/>
              </w:rPr>
            </w:pPr>
          </w:p>
        </w:tc>
      </w:tr>
      <w:tr>
        <w:trPr>
          <w:trHeight w:val="178"/>
        </w:trPr>
        <w:tc>
          <w:tcPr>
            <w:tcW w:w="3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86"/>
              </w:rPr>
              <w:t>Changes Due</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88"/>
              </w:rPr>
              <w:t>Changes Due</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5"/>
              </w:rPr>
              <w:t>Volume</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90"/>
              </w:rPr>
              <w:t>To</w:t>
            </w:r>
          </w:p>
        </w:tc>
        <w:tc>
          <w:tcPr>
            <w:tcW w:w="140" w:type="dxa"/>
            <w:vAlign w:val="bottom"/>
          </w:tcPr>
          <w:p>
            <w:pPr>
              <w:spacing w:after="0"/>
              <w:rPr>
                <w:sz w:val="15"/>
                <w:szCs w:val="15"/>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7"/>
              </w:rPr>
              <w:t>Net Change</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Volume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81"/>
              </w:rPr>
              <w:t>To</w:t>
            </w:r>
          </w:p>
        </w:tc>
        <w:tc>
          <w:tcPr>
            <w:tcW w:w="100" w:type="dxa"/>
            <w:vAlign w:val="bottom"/>
          </w:tcPr>
          <w:p>
            <w:pPr>
              <w:spacing w:after="0"/>
              <w:rPr>
                <w:sz w:val="15"/>
                <w:szCs w:val="15"/>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7"/>
              </w:rPr>
              <w:t>Net Change</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19"/>
                <w:szCs w:val="19"/>
                <w:color w:val="auto"/>
              </w:rPr>
            </w:pPr>
          </w:p>
        </w:tc>
        <w:tc>
          <w:tcPr>
            <w:tcW w:w="1080" w:type="dxa"/>
            <w:vAlign w:val="bottom"/>
            <w:tcBorders>
              <w:bottom w:val="single" w:sz="8" w:color="auto"/>
            </w:tcBorders>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2"/>
              </w:rPr>
              <w:t>Rate</w:t>
            </w:r>
          </w:p>
        </w:tc>
        <w:tc>
          <w:tcPr>
            <w:tcW w:w="100" w:type="dxa"/>
            <w:vAlign w:val="bottom"/>
          </w:tcPr>
          <w:p>
            <w:pPr>
              <w:spacing w:after="0"/>
              <w:rPr>
                <w:sz w:val="19"/>
                <w:szCs w:val="19"/>
                <w:color w:val="auto"/>
              </w:rPr>
            </w:pPr>
          </w:p>
        </w:tc>
        <w:tc>
          <w:tcPr>
            <w:tcW w:w="10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20" w:type="dxa"/>
            <w:vAlign w:val="bottom"/>
          </w:tcPr>
          <w:p>
            <w:pPr>
              <w:ind w:left="160"/>
              <w:spacing w:after="0"/>
              <w:rPr>
                <w:sz w:val="20"/>
                <w:szCs w:val="20"/>
                <w:color w:val="auto"/>
              </w:rPr>
            </w:pPr>
            <w:r>
              <w:rPr>
                <w:rFonts w:ascii="Arial" w:cs="Arial" w:eastAsia="Arial" w:hAnsi="Arial"/>
                <w:sz w:val="18"/>
                <w:szCs w:val="18"/>
                <w:color w:val="auto"/>
              </w:rPr>
              <w:t>Interest-earning assets: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Interest-bearing deposits in banks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Securities and FHLBNY stock</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18,165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16,085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36,843</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Resell Agreements</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loans, net</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7,014</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11,594</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25,273</w:t>
            </w:r>
          </w:p>
        </w:tc>
        <w:tc>
          <w:tcPr>
            <w:tcW w:w="0" w:type="dxa"/>
            <w:vAlign w:val="bottom"/>
          </w:tcPr>
          <w:p>
            <w:pPr>
              <w:spacing w:after="0"/>
              <w:rPr>
                <w:sz w:val="1"/>
                <w:szCs w:val="1"/>
                <w:color w:val="auto"/>
              </w:rPr>
            </w:pPr>
          </w:p>
        </w:tc>
      </w:tr>
      <w:tr>
        <w:trPr>
          <w:trHeight w:val="221"/>
        </w:trPr>
        <w:tc>
          <w:tcPr>
            <w:tcW w:w="392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Total interest income</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3,053</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24,200</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27,253</w:t>
            </w: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12,015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49,712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61,727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liabilities:</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Savings, NOW and money market deposits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11,283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11,966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20,274</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Brokered CDs</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w:t>
            </w: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8,891</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deposits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17,335</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29,768</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FHLBNY advances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borrowings</w:t>
            </w: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3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borrowings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14,781</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20,766</w:t>
            </w: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36,329</w:t>
            </w: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Arial" w:cs="Arial" w:eastAsia="Arial" w:hAnsi="Arial"/>
                <w:sz w:val="18"/>
                <w:szCs w:val="18"/>
                <w:color w:val="auto"/>
              </w:rPr>
              <w:t>Change in net 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(2,932)</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9,419</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6,487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(3,980)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29,378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25,398</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establish an allowance for credit losses through a provision for credit losses charged as an expense in our Consolidated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8" w:name="page59"/>
    <w:bookmarkEnd w:id="58"/>
    <w:p>
      <w:pPr>
        <w:jc w:val="both"/>
        <w:spacing w:after="0" w:line="263" w:lineRule="auto"/>
        <w:rPr>
          <w:sz w:val="20"/>
          <w:szCs w:val="20"/>
          <w:color w:val="auto"/>
        </w:rPr>
      </w:pPr>
      <w:r>
        <w:rPr>
          <w:rFonts w:ascii="Arial" w:cs="Arial" w:eastAsia="Arial" w:hAnsi="Arial"/>
          <w:sz w:val="18"/>
          <w:szCs w:val="18"/>
          <w:color w:val="auto"/>
        </w:rPr>
        <w:t>Statements of Income. On January 1, 2023, we adopted the CECL standard for calculating the allowance for credit losses and the provision for credit losses. For further discussion of the adoption of and methodology under the CECL standard, refer to Note 1 to the Consolidated Financial Statements in Item 1 of this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2023 and 2022</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provision for credit losses totaled an expense of $3.9 million for the second quarter of 2023 compared to an expense of $2.9 million for the same period in 2022. The provision for credit losses on loans totaled $3.1 million, the provision for credit losses on securities totaled $20 thousand, and the provision for credit losses on off-balance sheet credit exposures was $0.8 million. Overall, the expense increase in the second quarter of 2023 was primarily driven by $1.4 million in consumer loan charge-offs and a $1 million increase in specific reserves for individually analyzed loans.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2023 and 2022</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provision for credit losses totaled an expense of $8.9 million for the six months ended June 30, 2023 compared to an expense of $5.2 million for the same period in 2022. The provision for credit losses on loans totaled $6.7 million, the provision for credit losses on securities totaled $1.2 million, and the provision for credit losses on off-balance sheet credit exposures was $0.9 million. Overall, the expense increase in the six months ended June 30, 2023 was primarily driven by a $1.2 million impairment charge on a SIVB Corporate bond and an additional $1.1 million of provision expense related to the charge-off of a multifamily loan. The remaining provision expense of $1.4 million in the current quarter was primarily driven by solar charge-offs, portfolio growth, and changes in the economic forecasts used to calculate the allowance, in addition to a $1 million increase in specific reserves for individually analyzed loans.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a further discussion of the allowance, see “</w:t>
      </w:r>
      <w:r>
        <w:rPr>
          <w:rFonts w:ascii="Arial" w:cs="Arial" w:eastAsia="Arial" w:hAnsi="Arial"/>
          <w:sz w:val="18"/>
          <w:szCs w:val="18"/>
          <w:i w:val="1"/>
          <w:iCs w:val="1"/>
          <w:color w:val="auto"/>
        </w:rPr>
        <w:t>Allowance for Credit Losses</w:t>
      </w:r>
      <w:r>
        <w:rPr>
          <w:rFonts w:ascii="Arial" w:cs="Arial" w:eastAsia="Arial" w:hAnsi="Arial"/>
          <w:sz w:val="18"/>
          <w:szCs w:val="18"/>
          <w:color w:val="auto"/>
        </w:rPr>
        <w:t>”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non-interest income includes Trust Department fees, which consist of fees received in connection with investment advisory and custodial management services of investment accounts, service fees charged on deposit accounts, income on BOLI, gain or loss on sales of securities, sales of loans, and other real estate owned, income from equity method investments, and other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non-interest income for the periods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5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Trust Department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3,479</w:t>
            </w:r>
          </w:p>
        </w:tc>
        <w:tc>
          <w:tcPr>
            <w:tcW w:w="3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7,935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6,970</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charges on deposit accounts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color w:val="auto"/>
              </w:rPr>
              <w:t>Bank-owned life insurance income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1,283</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2,097</w:t>
            </w:r>
          </w:p>
        </w:tc>
      </w:tr>
      <w:tr>
        <w:trPr>
          <w:trHeight w:val="23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sale of securities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Gains on sale of loans,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income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r>
      <w:tr>
        <w:trPr>
          <w:trHeight w:val="248"/>
        </w:trPr>
        <w:tc>
          <w:tcPr>
            <w:tcW w:w="5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non-interest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2023 and 2022</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was $7.9 million for the second quarter of 2023, compared to $7.2 million for the second quarter in 2022. The increase of $0.7 million in the second quarter of 2023 compared to the corresponding quarter in 2022 was primarily due to a $1.2 million increase in income from equity method investments and an increase in Trust Department fees of $0.5 million, offset by a $0.8 million decrease in income from bank-owned life insurance, and a $0.5 million decrease in gains on the sale of loans.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Trust Department fees consist of fees we receive in connection with our investment advisory and custodial management services of investment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Trust Department fees were $4.0 million in the second quarter of 2023, an increase of $0.5 million, or 15.1%, from same period in 2022.</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Six Months Ended June 30, 2023 and 2022</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Non-interest income was $13.2 million for the six months ended June 30, 2023, compared to $14.7 million for the six months ended June 30, 2022. The decrease of $1.5 million was primarily due to $3.0 million in increased losses on the sale of securities, $0.6 million of which relates to the loss on the sale of a portion of a SIVB Corporate bond, and the remainder as part of strategic sales in order to reinvest in higher yielding securities. This was partially offset by a $0.9 million increase in Trust Department fees, a $0.9 million increase in income from equity investments, and an increase in other income of $0.8 million primarily attributed to a gain on the repurchase of subordinated debt.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Trust Department fees consist of fees we receive in connection with our investment advisory and custodial management services of investment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Trust Department fees were $7.9 million in the second quarter of 2023, an increase of $0.9 million, or 13.8%, from same period in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Non-interest expense includes compensation and employee benefits, occupancy and depreciation expense, professional fees (including legal, accounting and other professional services), data processing, office maintenance and depreciation, amortization of intangible assets, advertising and promotion, federal deposit insurance premiums, and other expenses. The following table presents non-interest expense for the periods indicated: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5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14"/>
        </w:trPr>
        <w:tc>
          <w:tcPr>
            <w:tcW w:w="5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3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employee benefits,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18,046</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35,715</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Occupancy and depreciation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3,457</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6,897</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Data processing</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4,327</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9,511</w:t>
            </w:r>
          </w:p>
        </w:tc>
      </w:tr>
      <w:tr>
        <w:trPr>
          <w:trHeight w:val="23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maintenance and depreciation</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and promotion</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4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Federal deposit insurance premiums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3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4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5,986</w:t>
            </w:r>
          </w:p>
        </w:tc>
      </w:tr>
      <w:tr>
        <w:trPr>
          <w:trHeight w:val="236"/>
        </w:trPr>
        <w:tc>
          <w:tcPr>
            <w:tcW w:w="5400" w:type="dxa"/>
            <w:vAlign w:val="bottom"/>
          </w:tcPr>
          <w:p>
            <w:pPr>
              <w:ind w:left="300"/>
              <w:spacing w:after="0"/>
              <w:rPr>
                <w:sz w:val="20"/>
                <w:szCs w:val="20"/>
                <w:color w:val="auto"/>
              </w:rPr>
            </w:pPr>
            <w:r>
              <w:rPr>
                <w:rFonts w:ascii="Arial" w:cs="Arial" w:eastAsia="Arial" w:hAnsi="Arial"/>
                <w:sz w:val="18"/>
                <w:szCs w:val="18"/>
                <w:color w:val="auto"/>
              </w:rPr>
              <w:t>Total non-interest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37,529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34,346</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76,156</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68,743</w:t>
            </w:r>
          </w:p>
        </w:tc>
      </w:tr>
      <w:tr>
        <w:trPr>
          <w:trHeight w:val="21"/>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2023 and 2022</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Non-interest expense for the second quarter of 2023 was $37.5 million, an increase of $3.2 million from the second quarter of 2022. The increase of $3.2 million from the second quarter of 2022 was driven by a $3.2 million increase in compensation and benefits expense related to an expected increase in compensation due to increased headcount and corporate incentive payments.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2023 and 2022</w:t>
      </w:r>
    </w:p>
    <w:p>
      <w:pPr>
        <w:spacing w:after="0" w:line="22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Non-interest expense for the six months ended June 30, 2023 was $76.2 million, an increase of $7.5 million from $68.7 million for six months ended June 30, 2022. The increase was driven by a $7.5 million increase in compensation and benefits expense related to an expected increase in compensation due to increased headcount, corporate incentive payments, and temporary personnel costs.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2023 and 2022</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a provision for income tax expense of $7.8 million for the second quarter of 2023, compared to $6.9 million for the second quarter of 2022. Our effective tax rate for the second quarter of 2023 was 26.5%, compared to 25.9% for the second quarter of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2023 and 2022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We had a provision for income tax expense of $15.4 million for the six months ended June 30, 2023, compared to $11.8 million for same period in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for the six months ended June 30, 2023 was 26.4%, compared to 25.9% for the same period in 2022.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total assets were $7.79 billion at June 30, 2023, compared to $7.84 billion at December 31, 2022. Notable changes within individual balance sheet line items include a $123.3 million increase in loans receivable, net, a $119.0 million decrease in investment securities, a $25.8 million decrease in resell agreements, and a decrease in FHLBNY stock of $25.4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primary goal of our securities portfolio is to maintain an available source of liquidity and an efficient investment return on excess capital, while maintaining a low-risk profile. We also use our securities portfolio to manage interest rate risk, meet Community Reinvestment Act (“CRA”) goals, support the Company's mission, and to provide collateral for certain types of deposits or borrowings. An Investment Committee chaired by our Chief Financial Officer manages our investment securities portfolio according to written investment policies approved by our Board of Directors. Investments in our securities portfolio may change over time based on management’s objectives and market conditions.</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seek to minimize credit risk in our securities portfolio through diversification, concentration limits, restrictions on high risk investments (such as subordinated positions), comprehensive pre-purchase analysis and stress testing, ongoing monitoring and by investing a significant portion of our securities portfolio in U.S. Government sponsored entity (“GSE”) obligations. GSEs include the Federal Home Loan Mortgage Corporation (“FHLMC”), the Federal National Mortgage Association (“FNMA”), the Government National Mortgage Association (“GNMA”) and the Small Business Administration (“SBA”). GNMA is a wholly-owned U.S. Government corporation whereas FHLMC and FNMA are private. Mortgage-related securities may include mortgage pass-through certificates, participation certificates and collateralized mortgage obligations (“CMOs”). We invest in non-GSE securities, including property assessed clean energy, or Property Assessed Clean Energy ("PACE") assessments, bonds, in order to generate higher returns, improve portfolio diversification and reduce interest rate and prepayment risk. With the exception of small legacy CRA investments, Trust Preferred securities, and certain corporate bonds, all of our non-GSE securities are senior positions that are the top of the capital structure.</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investment securities portfolio consists of securities classified as available for sale and held-to-maturity. There were no trading securities in our investment portfolio at June 30, 2023 or at December 31, 2022. All available for sale securities are carried at fair value and may be used for liquidity purposes should management consider it to be in our best interest.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and December 31, 2022, we had available for sale securities of $1.58 billion and $1.81 billion, respectively.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our held-to-maturity securities portfolio primarily consisted of PACE assessments, tax-exempt municipal securities, GSE commercial and residential certificates and other debt. We carry these securities at amortized cost. We had held-to-maturity securities of $1.65 billion at June 30, 2023, and $1.54 billion at December 31, 2022.</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the adoption of the CECL standard as of January 1, 2023, management measures expected credit losses on held-to-maturity debt securities on a collective basis by major security type. Accrued interest receivable on held-to-maturity debt securities totaled $16.9 million at June 30, 2023 and is excluded from the estimate of credit losses, as accrued interest receivable is reversed for securities placed on nonaccrual status. The allowance for credit losses for held-to-maturity securities at January 1, 2023 was $0.7 million. The provision for credit losses for held-to-maturity securities for the three months ended June 30, 2023 was $20 thousand, and $65 thousand for the six months ended June 30, 2023.</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available-for-sale debt securities in an unrealized loss position, the Company first assesses whether it intends to sell, or it is more likely than not that it will be required to sell the security before the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61" w:name="page62"/>
    <w:bookmarkEnd w:id="61"/>
    <w:p>
      <w:pPr>
        <w:jc w:val="both"/>
        <w:spacing w:after="0" w:line="275" w:lineRule="auto"/>
        <w:rPr>
          <w:sz w:val="20"/>
          <w:szCs w:val="20"/>
          <w:color w:val="auto"/>
        </w:rPr>
      </w:pPr>
      <w:r>
        <w:rPr>
          <w:rFonts w:ascii="Arial" w:cs="Arial" w:eastAsia="Arial" w:hAnsi="Arial"/>
          <w:sz w:val="17"/>
          <w:szCs w:val="17"/>
          <w:color w:val="auto"/>
        </w:rPr>
        <w:t>specifically related to the security, among other factors. If this assessment indicates that an expected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There was no allowance for credit losses for available for sale securities at January 1, 2023.</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Changes in the allowance for credit losses are recorded as credit loss expense (or reversal). Losses are charged against the allowance when management believes the uncollectibility of an available-for-sale security is confirmed or when either of the criteria regarding intent or requirement to sell is met.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Accrued interest receivable on available-for-sale debt securities totaled $9.1 million at June 30, 2023 and is excluded from the estimate of credit losses, as accrued interest receivable is reversed for securities placed on nonaccrual status.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2" w:name="page63"/>
    <w:bookmarkEnd w:id="62"/>
    <w:p>
      <w:pPr>
        <w:spacing w:after="0" w:line="277" w:lineRule="auto"/>
        <w:rPr>
          <w:sz w:val="20"/>
          <w:szCs w:val="20"/>
          <w:color w:val="auto"/>
        </w:rPr>
      </w:pPr>
      <w:r>
        <w:rPr>
          <w:rFonts w:ascii="Arial" w:cs="Arial" w:eastAsia="Arial" w:hAnsi="Arial"/>
          <w:sz w:val="18"/>
          <w:szCs w:val="18"/>
          <w:color w:val="auto"/>
        </w:rPr>
        <w:t>The following table is a summary of our investment portfolio, using market value for available for sale securities and amortized cost excluding the allowance for credit losses for held-to-maturity securities, as of the dates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gridSpan w:val="3"/>
          </w:tcPr>
          <w:p>
            <w:pPr>
              <w:ind w:left="940"/>
              <w:spacing w:after="0"/>
              <w:rPr>
                <w:sz w:val="20"/>
                <w:szCs w:val="20"/>
                <w:color w:val="auto"/>
              </w:rPr>
            </w:pPr>
            <w:r>
              <w:rPr>
                <w:rFonts w:ascii="Arial" w:cs="Arial" w:eastAsia="Arial" w:hAnsi="Arial"/>
                <w:sz w:val="18"/>
                <w:szCs w:val="18"/>
                <w:b w:val="1"/>
                <w:bCs w:val="1"/>
                <w:color w:val="auto"/>
                <w:w w:val="88"/>
              </w:rPr>
              <w:t>June 30, 2023</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60" w:type="dxa"/>
            <w:vAlign w:val="bottom"/>
            <w:gridSpan w:val="4"/>
          </w:tcPr>
          <w:p>
            <w:pPr>
              <w:ind w:left="72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69"/>
        </w:trPr>
        <w:tc>
          <w:tcPr>
            <w:tcW w:w="4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3"/>
            <w:vMerge w:val="restart"/>
          </w:tcPr>
          <w:p>
            <w:pPr>
              <w:ind w:left="200"/>
              <w:spacing w:after="0"/>
              <w:rPr>
                <w:sz w:val="20"/>
                <w:szCs w:val="20"/>
                <w:color w:val="auto"/>
              </w:rPr>
            </w:pPr>
            <w:r>
              <w:rPr>
                <w:rFonts w:ascii="Arial" w:cs="Arial" w:eastAsia="Arial" w:hAnsi="Arial"/>
                <w:sz w:val="18"/>
                <w:szCs w:val="18"/>
                <w:b w:val="1"/>
                <w:bCs w:val="1"/>
                <w:color w:val="auto"/>
              </w:rPr>
              <w:t>Amount</w:t>
            </w:r>
          </w:p>
        </w:tc>
        <w:tc>
          <w:tcPr>
            <w:tcW w:w="1240" w:type="dxa"/>
            <w:vAlign w:val="bottom"/>
            <w:tcBorders>
              <w:top w:val="single" w:sz="8" w:color="auto"/>
            </w:tcBorders>
          </w:tcPr>
          <w:p>
            <w:pPr>
              <w:jc w:val="right"/>
              <w:ind w:right="610"/>
              <w:spacing w:after="0" w:line="169"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4"/>
              </w:rPr>
              <w:t>%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2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w w:val="89"/>
              </w:rPr>
              <w:t>Portfolio</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1"/>
              </w:rPr>
              <w:t>Portfolio</w:t>
            </w:r>
          </w:p>
        </w:tc>
        <w:tc>
          <w:tcPr>
            <w:tcW w:w="0" w:type="dxa"/>
            <w:vAlign w:val="bottom"/>
          </w:tcPr>
          <w:p>
            <w:pPr>
              <w:spacing w:after="0"/>
              <w:rPr>
                <w:sz w:val="1"/>
                <w:szCs w:val="1"/>
                <w:color w:val="auto"/>
              </w:rPr>
            </w:pPr>
          </w:p>
        </w:tc>
      </w:tr>
      <w:tr>
        <w:trPr>
          <w:trHeight w:val="88"/>
        </w:trPr>
        <w:tc>
          <w:tcPr>
            <w:tcW w:w="4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Available for sale:</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i w:val="1"/>
                <w:iCs w:val="1"/>
                <w:color w:val="auto"/>
              </w:rPr>
              <w:t>Mortgage-related:</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GSE residential CMOs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368,658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389,260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GSE commercial certificates &amp; CMO</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139,492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213,786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Non-GSE residential certificates</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101,373</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Non-GSE commercial certificates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95,683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97,482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i w:val="1"/>
                <w:iCs w:val="1"/>
                <w:color w:val="auto"/>
              </w:rPr>
              <w:t>Other debt:</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ABS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728,397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862,163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25.7 %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 preferred</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113,861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132,370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PACE</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540"/>
              <w:spacing w:after="0"/>
              <w:rPr>
                <w:sz w:val="20"/>
                <w:szCs w:val="20"/>
                <w:color w:val="auto"/>
              </w:rPr>
            </w:pPr>
            <w:r>
              <w:rPr>
                <w:rFonts w:ascii="Arial" w:cs="Arial" w:eastAsia="Arial" w:hAnsi="Arial"/>
                <w:sz w:val="18"/>
                <w:szCs w:val="18"/>
                <w:color w:val="auto"/>
              </w:rPr>
              <w:t>Total available for sale</w:t>
            </w:r>
          </w:p>
        </w:tc>
        <w:tc>
          <w:tcPr>
            <w:tcW w:w="3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1,580,248</w:t>
            </w: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48.8 %</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1,812,476</w:t>
            </w:r>
          </w:p>
        </w:tc>
        <w:tc>
          <w:tcPr>
            <w:tcW w:w="12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Held-to-maturity:</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Traditional securities:</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GSE residential CMOs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66,982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2.1 %</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69,391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GSE commercial certificates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GSE residential certificates</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 GSE commercial certificates</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32,651</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Non GSE residential certificates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48,599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50,468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284,377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Municipal</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94,549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95,485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PACE assessments:</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Commercial PACE</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262,093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255,424</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PACE</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775,708</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656,453</w:t>
            </w:r>
          </w:p>
        </w:tc>
        <w:tc>
          <w:tcPr>
            <w:tcW w:w="12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60"/>
              <w:spacing w:after="0"/>
              <w:rPr>
                <w:sz w:val="20"/>
                <w:szCs w:val="20"/>
                <w:color w:val="auto"/>
              </w:rPr>
            </w:pPr>
            <w:r>
              <w:rPr>
                <w:rFonts w:ascii="Arial" w:cs="Arial" w:eastAsia="Arial" w:hAnsi="Arial"/>
                <w:sz w:val="18"/>
                <w:szCs w:val="18"/>
                <w:color w:val="auto"/>
              </w:rPr>
              <w:t>Total held-to-maturity</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1,655,238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1,541,301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46.0 %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Total securities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3,235,486</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3,353,777</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The following table shows contractual maturities and yields for the available-for sale and held-to-maturity securities portfolios: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20" w:type="dxa"/>
            <w:vAlign w:val="bottom"/>
            <w:gridSpan w:val="10"/>
          </w:tcPr>
          <w:p>
            <w:pPr>
              <w:jc w:val="right"/>
              <w:ind w:right="570"/>
              <w:spacing w:after="0"/>
              <w:rPr>
                <w:sz w:val="20"/>
                <w:szCs w:val="20"/>
                <w:color w:val="auto"/>
              </w:rPr>
            </w:pPr>
            <w:r>
              <w:rPr>
                <w:rFonts w:ascii="Arial" w:cs="Arial" w:eastAsia="Arial" w:hAnsi="Arial"/>
                <w:sz w:val="18"/>
                <w:szCs w:val="18"/>
                <w:b w:val="1"/>
                <w:bCs w:val="1"/>
                <w:color w:val="auto"/>
                <w:w w:val="91"/>
              </w:rPr>
              <w:t>Contractual Maturity as of June 30, 2023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3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One Year or Less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One to Five Years</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1"/>
              </w:rPr>
              <w:t>Five to Ten Years</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Due after Ten Years</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5"/>
                <w:szCs w:val="15"/>
                <w:color w:val="auto"/>
              </w:rPr>
            </w:pPr>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w w:val="91"/>
              </w:rPr>
              <w:t>Amortized</w:t>
            </w:r>
          </w:p>
        </w:tc>
        <w:tc>
          <w:tcPr>
            <w:tcW w:w="100" w:type="dxa"/>
            <w:vAlign w:val="bottom"/>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w w:val="93"/>
              </w:rPr>
              <w:t>Amortized</w:t>
            </w:r>
          </w:p>
        </w:tc>
        <w:tc>
          <w:tcPr>
            <w:tcW w:w="10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spacing w:after="0" w:line="176"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6"/>
              </w:rPr>
              <w:t>Average</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82"/>
        </w:trPr>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restart"/>
          </w:tcPr>
          <w:p>
            <w:pPr>
              <w:jc w:val="right"/>
              <w:ind w:right="25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restart"/>
          </w:tcPr>
          <w:p>
            <w:pPr>
              <w:jc w:val="right"/>
              <w:ind w:right="25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restart"/>
          </w:tcPr>
          <w:p>
            <w:pPr>
              <w:jc w:val="right"/>
              <w:ind w:right="25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gridSpan w:val="2"/>
          </w:tcPr>
          <w:p>
            <w:pPr>
              <w:jc w:val="center"/>
              <w:spacing w:after="0" w:line="230" w:lineRule="exact"/>
              <w:rPr>
                <w:sz w:val="20"/>
                <w:szCs w:val="20"/>
                <w:color w:val="auto"/>
              </w:rPr>
            </w:pPr>
            <w:r>
              <w:rPr>
                <w:rFonts w:ascii="Arial" w:cs="Arial" w:eastAsia="Arial" w:hAnsi="Arial"/>
                <w:sz w:val="18"/>
                <w:szCs w:val="18"/>
                <w:color w:val="auto"/>
                <w:w w:val="87"/>
              </w:rPr>
              <w:t xml:space="preserve">Yield </w:t>
            </w:r>
            <w:r>
              <w:rPr>
                <w:rFonts w:ascii="Arial" w:cs="Arial" w:eastAsia="Arial" w:hAnsi="Arial"/>
                <w:sz w:val="23"/>
                <w:szCs w:val="23"/>
                <w:color w:val="auto"/>
                <w:w w:val="87"/>
                <w:vertAlign w:val="superscript"/>
              </w:rPr>
              <w:t>(1)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color w:val="auto"/>
                <w:w w:val="87"/>
              </w:rPr>
              <w:t xml:space="preserve">Yield </w:t>
            </w:r>
            <w:r>
              <w:rPr>
                <w:rFonts w:ascii="Arial" w:cs="Arial" w:eastAsia="Arial" w:hAnsi="Arial"/>
                <w:sz w:val="23"/>
                <w:szCs w:val="23"/>
                <w:color w:val="auto"/>
                <w:w w:val="87"/>
                <w:vertAlign w:val="superscript"/>
              </w:rPr>
              <w:t>(1)</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color w:val="auto"/>
                <w:w w:val="90"/>
              </w:rPr>
              <w:t xml:space="preserve">Yield </w:t>
            </w:r>
            <w:r>
              <w:rPr>
                <w:rFonts w:ascii="Arial" w:cs="Arial" w:eastAsia="Arial" w:hAnsi="Arial"/>
                <w:sz w:val="23"/>
                <w:szCs w:val="23"/>
                <w:color w:val="auto"/>
                <w:w w:val="90"/>
                <w:vertAlign w:val="superscript"/>
              </w:rPr>
              <w:t>(1)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color w:val="auto"/>
                <w:w w:val="90"/>
              </w:rPr>
              <w:t xml:space="preserve">Yield </w:t>
            </w:r>
            <w:r>
              <w:rPr>
                <w:rFonts w:ascii="Arial" w:cs="Arial" w:eastAsia="Arial" w:hAnsi="Arial"/>
                <w:sz w:val="23"/>
                <w:szCs w:val="23"/>
                <w:color w:val="auto"/>
                <w:w w:val="90"/>
                <w:vertAlign w:val="superscript"/>
              </w:rPr>
              <w:t>(1)</w:t>
            </w:r>
          </w:p>
        </w:tc>
        <w:tc>
          <w:tcPr>
            <w:tcW w:w="0" w:type="dxa"/>
            <w:vAlign w:val="bottom"/>
          </w:tcPr>
          <w:p>
            <w:pPr>
              <w:spacing w:after="0"/>
              <w:rPr>
                <w:sz w:val="1"/>
                <w:szCs w:val="1"/>
                <w:color w:val="auto"/>
              </w:rPr>
            </w:pPr>
          </w:p>
        </w:tc>
      </w:tr>
      <w:tr>
        <w:trPr>
          <w:trHeight w:val="222"/>
        </w:trPr>
        <w:tc>
          <w:tcPr>
            <w:tcW w:w="2360" w:type="dxa"/>
            <w:vAlign w:val="bottom"/>
          </w:tcPr>
          <w:p>
            <w:pPr>
              <w:ind w:left="20"/>
              <w:spacing w:after="0"/>
              <w:rPr>
                <w:sz w:val="20"/>
                <w:szCs w:val="20"/>
                <w:color w:val="auto"/>
              </w:rPr>
            </w:pPr>
            <w:r>
              <w:rPr>
                <w:rFonts w:ascii="Arial" w:cs="Arial" w:eastAsia="Arial" w:hAnsi="Arial"/>
                <w:sz w:val="18"/>
                <w:szCs w:val="18"/>
                <w:b w:val="1"/>
                <w:bCs w:val="1"/>
                <w:color w:val="auto"/>
              </w:rPr>
              <w:t>Available for sale: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Arial" w:cs="Arial" w:eastAsia="Arial" w:hAnsi="Arial"/>
                <w:sz w:val="18"/>
                <w:szCs w:val="18"/>
                <w:i w:val="1"/>
                <w:iCs w:val="1"/>
                <w:color w:val="auto"/>
              </w:rPr>
              <w:t>Mortgage-related:</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GSE residential CMOs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47,577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359,224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176"/>
        </w:trPr>
        <w:tc>
          <w:tcPr>
            <w:tcW w:w="2360" w:type="dxa"/>
            <w:vAlign w:val="bottom"/>
          </w:tcPr>
          <w:p>
            <w:pPr>
              <w:ind w:left="20"/>
              <w:spacing w:after="0" w:line="176" w:lineRule="exact"/>
              <w:rPr>
                <w:sz w:val="20"/>
                <w:szCs w:val="20"/>
                <w:color w:val="auto"/>
              </w:rPr>
            </w:pPr>
            <w:r>
              <w:rPr>
                <w:rFonts w:ascii="Arial" w:cs="Arial" w:eastAsia="Arial" w:hAnsi="Arial"/>
                <w:sz w:val="18"/>
                <w:szCs w:val="18"/>
                <w:color w:val="auto"/>
                <w:w w:val="95"/>
              </w:rPr>
              <w:t>GSE commercial certificates &amp;</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vMerge w:val="restart"/>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22,361</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86,471</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39,182</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135"/>
        </w:trPr>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CMO</w:t>
            </w: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Non-GSE residential</w:t>
            </w: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116,941</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36"/>
        </w:trPr>
        <w:tc>
          <w:tcPr>
            <w:tcW w:w="2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certificates</w:t>
            </w:r>
          </w:p>
        </w:tc>
        <w:tc>
          <w:tcPr>
            <w:tcW w:w="12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140" w:type="dxa"/>
            <w:vAlign w:val="bottom"/>
            <w:gridSpan w:val="3"/>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3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360" w:type="dxa"/>
            <w:vAlign w:val="bottom"/>
          </w:tcPr>
          <w:p>
            <w:pPr>
              <w:ind w:left="20"/>
              <w:spacing w:after="0" w:line="176" w:lineRule="exact"/>
              <w:rPr>
                <w:sz w:val="20"/>
                <w:szCs w:val="20"/>
                <w:color w:val="auto"/>
              </w:rPr>
            </w:pPr>
            <w:r>
              <w:rPr>
                <w:rFonts w:ascii="Arial" w:cs="Arial" w:eastAsia="Arial" w:hAnsi="Arial"/>
                <w:sz w:val="18"/>
                <w:szCs w:val="18"/>
                <w:color w:val="auto"/>
              </w:rPr>
              <w:t>Non-GSE commercial</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vMerge w:val="restart"/>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106,510</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148"/>
        </w:trPr>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certificates</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60" w:type="dxa"/>
            <w:vAlign w:val="bottom"/>
          </w:tcPr>
          <w:p>
            <w:pPr>
              <w:ind w:left="20"/>
              <w:spacing w:after="0"/>
              <w:rPr>
                <w:sz w:val="20"/>
                <w:szCs w:val="20"/>
                <w:color w:val="auto"/>
              </w:rPr>
            </w:pPr>
            <w:r>
              <w:rPr>
                <w:rFonts w:ascii="Arial" w:cs="Arial" w:eastAsia="Arial" w:hAnsi="Arial"/>
                <w:sz w:val="18"/>
                <w:szCs w:val="18"/>
                <w:i w:val="1"/>
                <w:iCs w:val="1"/>
                <w:color w:val="auto"/>
              </w:rPr>
              <w:t>Other debt: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U.S. Treasury</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Arial" w:cs="Arial" w:eastAsia="Arial" w:hAnsi="Arial"/>
                <w:sz w:val="18"/>
                <w:szCs w:val="18"/>
                <w:color w:val="auto"/>
              </w:rPr>
              <w:t>ABS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276,914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480,789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 preferred</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55,070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81,007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PACE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57"/>
        </w:trPr>
        <w:tc>
          <w:tcPr>
            <w:tcW w:w="2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Held-to-maturity:</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60" w:type="dxa"/>
            <w:vAlign w:val="bottom"/>
          </w:tcPr>
          <w:p>
            <w:pPr>
              <w:ind w:left="20"/>
              <w:spacing w:after="0"/>
              <w:rPr>
                <w:sz w:val="20"/>
                <w:szCs w:val="20"/>
                <w:color w:val="auto"/>
              </w:rPr>
            </w:pPr>
            <w:r>
              <w:rPr>
                <w:rFonts w:ascii="Arial" w:cs="Arial" w:eastAsia="Arial" w:hAnsi="Arial"/>
                <w:sz w:val="18"/>
                <w:szCs w:val="18"/>
                <w:i w:val="1"/>
                <w:iCs w:val="1"/>
                <w:color w:val="auto"/>
              </w:rPr>
              <w:t>Mortgage-related:</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GSE CMOs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Arial" w:cs="Arial" w:eastAsia="Arial" w:hAnsi="Arial"/>
                <w:sz w:val="18"/>
                <w:szCs w:val="18"/>
                <w:color w:val="auto"/>
              </w:rPr>
              <w:t>GSE commercial certificates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13,953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GSE residential certificates</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175"/>
        </w:trPr>
        <w:tc>
          <w:tcPr>
            <w:tcW w:w="2360" w:type="dxa"/>
            <w:vAlign w:val="bottom"/>
          </w:tcPr>
          <w:p>
            <w:pPr>
              <w:ind w:left="20"/>
              <w:spacing w:after="0" w:line="176" w:lineRule="exact"/>
              <w:rPr>
                <w:sz w:val="20"/>
                <w:szCs w:val="20"/>
                <w:color w:val="auto"/>
              </w:rPr>
            </w:pPr>
            <w:r>
              <w:rPr>
                <w:rFonts w:ascii="Arial" w:cs="Arial" w:eastAsia="Arial" w:hAnsi="Arial"/>
                <w:sz w:val="18"/>
                <w:szCs w:val="18"/>
                <w:color w:val="auto"/>
              </w:rPr>
              <w:t>Non GSE commercial</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vMerge w:val="restart"/>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32,651</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certificates</w:t>
            </w: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94"/>
        </w:trPr>
        <w:tc>
          <w:tcPr>
            <w:tcW w:w="2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Non GSE residential</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48,599</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certificates</w:t>
            </w:r>
          </w:p>
        </w:tc>
        <w:tc>
          <w:tcPr>
            <w:tcW w:w="12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14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95"/>
        </w:trPr>
        <w:tc>
          <w:tcPr>
            <w:tcW w:w="23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Arial" w:cs="Arial" w:eastAsia="Arial" w:hAnsi="Arial"/>
                <w:sz w:val="18"/>
                <w:szCs w:val="18"/>
                <w:color w:val="auto"/>
              </w:rPr>
              <w:t>ABS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6,997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277,380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PACE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7"/>
        </w:trPr>
        <w:tc>
          <w:tcPr>
            <w:tcW w:w="2360" w:type="dxa"/>
            <w:vAlign w:val="bottom"/>
          </w:tcPr>
          <w:p>
            <w:pPr>
              <w:ind w:left="20"/>
              <w:spacing w:after="0"/>
              <w:rPr>
                <w:sz w:val="20"/>
                <w:szCs w:val="20"/>
                <w:color w:val="auto"/>
              </w:rPr>
            </w:pPr>
            <w:r>
              <w:rPr>
                <w:rFonts w:ascii="Arial" w:cs="Arial" w:eastAsia="Arial" w:hAnsi="Arial"/>
                <w:sz w:val="18"/>
                <w:szCs w:val="18"/>
                <w:color w:val="auto"/>
              </w:rPr>
              <w:t>Residential PACE</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775,708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104,970</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516,475</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2,741,940</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9"/>
          <w:szCs w:val="9"/>
          <w:color w:val="auto"/>
        </w:rPr>
      </w:pPr>
      <w:r>
        <w:rPr>
          <w:rFonts w:ascii="Arial" w:cs="Arial" w:eastAsia="Arial" w:hAnsi="Arial"/>
          <w:sz w:val="14"/>
          <w:szCs w:val="14"/>
          <w:color w:val="auto"/>
        </w:rPr>
        <w:t>Estimated yield based on book price (amortized cost divided by par) using estimated prepayments and no change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following table shows a breakdown of our asset-backed securities by sector and ratings as of June 30,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89"/>
              </w:rPr>
              <w:t>Expected</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Credit Ratings</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160" w:type="dxa"/>
            <w:vAlign w:val="bottom"/>
            <w:gridSpan w:val="3"/>
            <w:vMerge w:val="restart"/>
          </w:tcPr>
          <w:p>
            <w:pPr>
              <w:jc w:val="right"/>
              <w:ind w:right="199"/>
              <w:spacing w:after="0"/>
              <w:rPr>
                <w:sz w:val="20"/>
                <w:szCs w:val="20"/>
                <w:color w:val="auto"/>
              </w:rPr>
            </w:pPr>
            <w:r>
              <w:rPr>
                <w:rFonts w:ascii="Arial" w:cs="Arial" w:eastAsia="Arial" w:hAnsi="Arial"/>
                <w:sz w:val="16"/>
                <w:szCs w:val="16"/>
                <w:i w:val="1"/>
                <w:iCs w:val="1"/>
                <w:color w:val="auto"/>
                <w:w w:val="97"/>
              </w:rPr>
              <w:t>Highest Rating if split rated</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w w:val="99"/>
              </w:rPr>
              <w:t>Avg.</w:t>
            </w: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restart"/>
          </w:tcPr>
          <w:p>
            <w:pPr>
              <w:jc w:val="right"/>
              <w:ind w:right="79"/>
              <w:spacing w:after="0"/>
              <w:rPr>
                <w:sz w:val="20"/>
                <w:szCs w:val="20"/>
                <w:color w:val="auto"/>
              </w:rPr>
            </w:pPr>
            <w:r>
              <w:rPr>
                <w:rFonts w:ascii="Arial" w:cs="Arial" w:eastAsia="Arial" w:hAnsi="Arial"/>
                <w:sz w:val="16"/>
                <w:szCs w:val="16"/>
                <w:color w:val="auto"/>
              </w:rPr>
              <w:t>%Not</w:t>
            </w: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219"/>
              <w:spacing w:after="0"/>
              <w:rPr>
                <w:sz w:val="20"/>
                <w:szCs w:val="20"/>
                <w:color w:val="auto"/>
              </w:rPr>
            </w:pPr>
            <w:r>
              <w:rPr>
                <w:rFonts w:ascii="Arial" w:cs="Arial" w:eastAsia="Arial" w:hAnsi="Arial"/>
                <w:sz w:val="16"/>
                <w:szCs w:val="16"/>
                <w:color w:val="auto"/>
              </w:rPr>
              <w:t>Amount</w:t>
            </w:r>
          </w:p>
        </w:tc>
        <w:tc>
          <w:tcPr>
            <w:tcW w:w="70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rPr>
              <w:t>Life in</w:t>
            </w:r>
          </w:p>
        </w:tc>
        <w:tc>
          <w:tcPr>
            <w:tcW w:w="800" w:type="dxa"/>
            <w:vAlign w:val="bottom"/>
            <w:vMerge w:val="continue"/>
          </w:tcPr>
          <w:p>
            <w:pPr>
              <w:spacing w:after="0"/>
              <w:rPr>
                <w:sz w:val="14"/>
                <w:szCs w:val="14"/>
                <w:color w:val="auto"/>
              </w:rPr>
            </w:pP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 AAA</w:t>
            </w:r>
          </w:p>
        </w:tc>
        <w:tc>
          <w:tcPr>
            <w:tcW w:w="760" w:type="dxa"/>
            <w:vAlign w:val="bottom"/>
            <w:vMerge w:val="restart"/>
          </w:tcPr>
          <w:p>
            <w:pPr>
              <w:jc w:val="right"/>
              <w:ind w:right="179"/>
              <w:spacing w:after="0"/>
              <w:rPr>
                <w:sz w:val="20"/>
                <w:szCs w:val="20"/>
                <w:color w:val="auto"/>
              </w:rPr>
            </w:pPr>
            <w:r>
              <w:rPr>
                <w:rFonts w:ascii="Arial" w:cs="Arial" w:eastAsia="Arial" w:hAnsi="Arial"/>
                <w:sz w:val="16"/>
                <w:szCs w:val="16"/>
                <w:color w:val="auto"/>
              </w:rPr>
              <w:t>% AA</w:t>
            </w:r>
          </w:p>
        </w:tc>
        <w:tc>
          <w:tcPr>
            <w:tcW w:w="720" w:type="dxa"/>
            <w:vAlign w:val="bottom"/>
            <w:vMerge w:val="restart"/>
          </w:tcPr>
          <w:p>
            <w:pPr>
              <w:jc w:val="right"/>
              <w:ind w:right="239"/>
              <w:spacing w:after="0"/>
              <w:rPr>
                <w:sz w:val="20"/>
                <w:szCs w:val="20"/>
                <w:color w:val="auto"/>
              </w:rPr>
            </w:pPr>
            <w:r>
              <w:rPr>
                <w:rFonts w:ascii="Arial" w:cs="Arial" w:eastAsia="Arial" w:hAnsi="Arial"/>
                <w:sz w:val="16"/>
                <w:szCs w:val="16"/>
                <w:color w:val="auto"/>
              </w:rPr>
              <w:t>% A</w:t>
            </w:r>
          </w:p>
        </w:tc>
        <w:tc>
          <w:tcPr>
            <w:tcW w:w="680" w:type="dxa"/>
            <w:vAlign w:val="bottom"/>
            <w:vMerge w:val="restart"/>
          </w:tcPr>
          <w:p>
            <w:pPr>
              <w:jc w:val="right"/>
              <w:ind w:right="79"/>
              <w:spacing w:after="0"/>
              <w:rPr>
                <w:sz w:val="20"/>
                <w:szCs w:val="20"/>
                <w:color w:val="auto"/>
              </w:rPr>
            </w:pPr>
            <w:r>
              <w:rPr>
                <w:rFonts w:ascii="Arial" w:cs="Arial" w:eastAsia="Arial" w:hAnsi="Arial"/>
                <w:sz w:val="16"/>
                <w:szCs w:val="16"/>
                <w:color w:val="auto"/>
                <w:w w:val="98"/>
              </w:rPr>
              <w:t>% BBB</w:t>
            </w:r>
          </w:p>
        </w:tc>
        <w:tc>
          <w:tcPr>
            <w:tcW w:w="640" w:type="dxa"/>
            <w:vAlign w:val="bottom"/>
            <w:vMerge w:val="continue"/>
          </w:tcPr>
          <w:p>
            <w:pPr>
              <w:spacing w:after="0"/>
              <w:rPr>
                <w:sz w:val="14"/>
                <w:szCs w:val="14"/>
                <w:color w:val="auto"/>
              </w:rPr>
            </w:pPr>
          </w:p>
        </w:tc>
        <w:tc>
          <w:tcPr>
            <w:tcW w:w="700" w:type="dxa"/>
            <w:vAlign w:val="bottom"/>
            <w:vMerge w:val="restart"/>
          </w:tcPr>
          <w:p>
            <w:pPr>
              <w:jc w:val="right"/>
              <w:ind w:right="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6"/>
              </w:rPr>
              <w:t>Years</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Floating</w:t>
            </w:r>
          </w:p>
        </w:tc>
        <w:tc>
          <w:tcPr>
            <w:tcW w:w="8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Rated</w:t>
            </w: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CLO Commercial &amp;</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575,205</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2.8</w:t>
            </w: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7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2 %</w:t>
            </w: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0 %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6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2"/>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Industrial</w:t>
            </w:r>
          </w:p>
        </w:tc>
        <w:tc>
          <w:tcPr>
            <w:tcW w:w="1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0" w:type="dxa"/>
            <w:vAlign w:val="bottom"/>
            <w:tcBorders>
              <w:right w:val="single" w:sz="8" w:color="auto"/>
            </w:tcBorders>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640" w:type="dxa"/>
            <w:vAlign w:val="bottom"/>
            <w:tcBorders>
              <w:right w:val="single" w:sz="8" w:color="auto"/>
            </w:tcBorders>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780" w:type="dxa"/>
            <w:vAlign w:val="bottom"/>
          </w:tcPr>
          <w:p>
            <w:pPr>
              <w:ind w:left="20"/>
              <w:spacing w:after="0"/>
              <w:rPr>
                <w:sz w:val="20"/>
                <w:szCs w:val="20"/>
                <w:color w:val="auto"/>
              </w:rPr>
            </w:pPr>
            <w:r>
              <w:rPr>
                <w:rFonts w:ascii="Arial" w:cs="Arial" w:eastAsia="Arial" w:hAnsi="Arial"/>
                <w:sz w:val="16"/>
                <w:szCs w:val="16"/>
                <w:color w:val="auto"/>
              </w:rPr>
              <w:t>Consumer</w:t>
            </w:r>
          </w:p>
        </w:tc>
        <w:tc>
          <w:tcPr>
            <w:tcW w:w="1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178,057</w:t>
            </w:r>
          </w:p>
        </w:tc>
        <w:tc>
          <w:tcPr>
            <w:tcW w:w="700" w:type="dxa"/>
            <w:vAlign w:val="bottom"/>
          </w:tcPr>
          <w:p>
            <w:pPr>
              <w:jc w:val="right"/>
              <w:spacing w:after="0"/>
              <w:rPr>
                <w:sz w:val="20"/>
                <w:szCs w:val="20"/>
                <w:color w:val="auto"/>
              </w:rPr>
            </w:pPr>
            <w:r>
              <w:rPr>
                <w:rFonts w:ascii="Arial" w:cs="Arial" w:eastAsia="Arial" w:hAnsi="Arial"/>
                <w:sz w:val="16"/>
                <w:szCs w:val="16"/>
                <w:color w:val="auto"/>
              </w:rPr>
              <w:t>17 %</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840" w:type="dxa"/>
            <w:vAlign w:val="bottom"/>
          </w:tcPr>
          <w:p>
            <w:pPr>
              <w:jc w:val="right"/>
              <w:spacing w:after="0"/>
              <w:rPr>
                <w:sz w:val="20"/>
                <w:szCs w:val="20"/>
                <w:color w:val="auto"/>
              </w:rPr>
            </w:pPr>
            <w:r>
              <w:rPr>
                <w:rFonts w:ascii="Arial" w:cs="Arial" w:eastAsia="Arial" w:hAnsi="Arial"/>
                <w:sz w:val="16"/>
                <w:szCs w:val="16"/>
                <w:color w:val="auto"/>
              </w:rPr>
              <w:t>13 %</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25 %</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61 %</w:t>
            </w:r>
          </w:p>
        </w:tc>
        <w:tc>
          <w:tcPr>
            <w:tcW w:w="680" w:type="dxa"/>
            <w:vAlign w:val="bottom"/>
          </w:tcPr>
          <w:p>
            <w:pPr>
              <w:jc w:val="right"/>
              <w:spacing w:after="0"/>
              <w:rPr>
                <w:sz w:val="20"/>
                <w:szCs w:val="20"/>
                <w:color w:val="auto"/>
              </w:rPr>
            </w:pPr>
            <w:r>
              <w:rPr>
                <w:rFonts w:ascii="Arial" w:cs="Arial" w:eastAsia="Arial" w:hAnsi="Arial"/>
                <w:sz w:val="16"/>
                <w:szCs w:val="16"/>
                <w:color w:val="auto"/>
              </w:rPr>
              <w:t>1 %</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70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179,345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0 %</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0 %</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6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43"/>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Student</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80,167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4.5</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0 %</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0 %</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4"/>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92"/>
              </w:rPr>
              <w:t>1,012,774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3.2</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5 %</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securities portfolio primarily consists of high quality investments in mortgage-backed securities to government sponsored entities and other asset-backed securities and PACE investments. All non-agency securities, composed of non-agency commercial mortgage-backed securities, collateralized loan obligations, non-agency mortgage-backed securities, and asset-backed securities, are senior tranche and approximately 84% carry AAA credit ratings and 16% carry A credit ratings or higher. Approximately 72% of this portfolio is classified as “available for sale.”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Lending-related income is the most important component of our net interest income and is the main driver of our results of operations. Total loans, net of deferred origination fees and allowance for credit losses, were $4.18 billion as of June 30, 2023 compared to $4.06 billion as of December 31, 2022. Within our commercial loan portfolio, our primary focus has been on C&amp;I, multifamily and CRE lending. Within our retail loan portfolio, our primary focus has been on residential 1-4 family (1st lien) mortgages. We intend to focus any organic growth in our loan portfolio on these lending areas as part of our strategic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2023, we purchased $13.9 million of consumer solar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composition of our loan portfolio, as of June 30, 2023 and December 31,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1130"/>
              <w:spacing w:after="0"/>
              <w:rPr>
                <w:sz w:val="20"/>
                <w:szCs w:val="20"/>
                <w:color w:val="auto"/>
              </w:rPr>
            </w:pPr>
            <w:r>
              <w:rPr>
                <w:rFonts w:ascii="Arial" w:cs="Arial" w:eastAsia="Arial" w:hAnsi="Arial"/>
                <w:sz w:val="18"/>
                <w:szCs w:val="18"/>
                <w:b w:val="1"/>
                <w:bCs w:val="1"/>
                <w:color w:val="auto"/>
              </w:rPr>
              <w:t>June 30, 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December 31, 2022</w:t>
            </w:r>
          </w:p>
        </w:tc>
      </w:tr>
      <w:tr>
        <w:trPr>
          <w:trHeight w:val="264"/>
        </w:trPr>
        <w:tc>
          <w:tcPr>
            <w:tcW w:w="40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2"/>
                <w:szCs w:val="22"/>
                <w:color w:val="auto"/>
              </w:rPr>
            </w:pPr>
          </w:p>
        </w:tc>
        <w:tc>
          <w:tcPr>
            <w:tcW w:w="1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of total loans</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2"/>
                <w:szCs w:val="22"/>
                <w:color w:val="auto"/>
              </w:rPr>
            </w:pPr>
          </w:p>
        </w:tc>
        <w:tc>
          <w:tcPr>
            <w:tcW w:w="1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of total loans</w:t>
            </w: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i w:val="1"/>
                <w:iCs w:val="1"/>
                <w:color w:val="auto"/>
              </w:rPr>
              <w:t>Commercial portfolio:</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949,403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925,641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22.5 %</w:t>
            </w: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Multifamily mortgages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1,095,752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25.8 %</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967,521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23.6 %</w:t>
            </w: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 mortgages</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333,340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335,133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Construction and land development mortgages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28,664</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37,696</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0.9 %</w:t>
            </w:r>
          </w:p>
        </w:tc>
      </w:tr>
      <w:tr>
        <w:trPr>
          <w:trHeight w:val="237"/>
        </w:trPr>
        <w:tc>
          <w:tcPr>
            <w:tcW w:w="4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commercial portfolio</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2,407,159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56.6 %</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2,265,991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55.2 %</w:t>
            </w:r>
          </w:p>
        </w:tc>
      </w:tr>
      <w:tr>
        <w:trPr>
          <w:trHeight w:val="270"/>
        </w:trPr>
        <w:tc>
          <w:tcPr>
            <w:tcW w:w="4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Retail portfolio:</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Residential real estate lending</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1,388,571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32.7 %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1,371,779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33.5 %</w:t>
            </w:r>
          </w:p>
        </w:tc>
      </w:tr>
      <w:tr>
        <w:trPr>
          <w:trHeight w:val="243"/>
        </w:trPr>
        <w:tc>
          <w:tcPr>
            <w:tcW w:w="40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Consumer solar</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411,873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416,849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29"/>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Consumer and other</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44,135</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47,150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40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retail portfolio</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1,844,579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43.4 %</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1,835,778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44.8 %</w:t>
            </w:r>
          </w:p>
        </w:tc>
      </w:tr>
      <w:tr>
        <w:trPr>
          <w:trHeight w:val="230"/>
        </w:trPr>
        <w:tc>
          <w:tcPr>
            <w:tcW w:w="4040" w:type="dxa"/>
            <w:vAlign w:val="bottom"/>
          </w:tcPr>
          <w:p>
            <w:pPr>
              <w:ind w:left="280"/>
              <w:spacing w:after="0"/>
              <w:rPr>
                <w:sz w:val="20"/>
                <w:szCs w:val="20"/>
                <w:color w:val="auto"/>
              </w:rPr>
            </w:pPr>
            <w:r>
              <w:rPr>
                <w:rFonts w:ascii="Arial" w:cs="Arial" w:eastAsia="Arial" w:hAnsi="Arial"/>
                <w:sz w:val="18"/>
                <w:szCs w:val="18"/>
                <w:color w:val="auto"/>
              </w:rPr>
              <w:t>Total loans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4,251,738</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4,101,769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76"/>
        </w:trPr>
        <w:tc>
          <w:tcPr>
            <w:tcW w:w="4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30"/>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Net deferred loan origination costs</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4,233</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404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Allowance for credit losses</w:t>
            </w:r>
            <w:r>
              <w:rPr>
                <w:rFonts w:ascii="Arial" w:cs="Arial" w:eastAsia="Arial" w:hAnsi="Arial"/>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(67,431)</w:t>
            </w: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(45,031)</w:t>
            </w: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r>
      <w:tr>
        <w:trPr>
          <w:trHeight w:val="237"/>
        </w:trPr>
        <w:tc>
          <w:tcPr>
            <w:tcW w:w="4040" w:type="dxa"/>
            <w:vAlign w:val="bottom"/>
          </w:tcPr>
          <w:p>
            <w:pPr>
              <w:ind w:left="320"/>
              <w:spacing w:after="0"/>
              <w:rPr>
                <w:sz w:val="20"/>
                <w:szCs w:val="20"/>
                <w:color w:val="auto"/>
              </w:rPr>
            </w:pPr>
            <w:r>
              <w:rPr>
                <w:rFonts w:ascii="Arial" w:cs="Arial" w:eastAsia="Arial" w:hAnsi="Arial"/>
                <w:sz w:val="18"/>
                <w:szCs w:val="18"/>
                <w:color w:val="auto"/>
              </w:rPr>
              <w:t>Total loans,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4,184,307</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4,060,971</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314" w:lineRule="exact"/>
        <w:rPr>
          <w:sz w:val="20"/>
          <w:szCs w:val="20"/>
          <w:color w:val="auto"/>
        </w:rPr>
      </w:pPr>
    </w:p>
    <w:p>
      <w:pPr>
        <w:ind w:right="220" w:firstLine="8"/>
        <w:spacing w:after="0" w:line="255" w:lineRule="auto"/>
        <w:tabs>
          <w:tab w:leader="none" w:pos="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adopted the CECL standard on January 1, 2023. As a result, the classification of loan segments was updated, and all loan balances for presented periods have been reclassified.</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 the adoption of the CECL standard, loans balances as of June 30, 2023 are presented at amortized cost, net of deferred loan origination costs.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5" w:name="page66"/>
    <w:bookmarkEnd w:id="65"/>
    <w:p>
      <w:pPr>
        <w:ind w:right="120" w:firstLine="8"/>
        <w:spacing w:after="0" w:line="261" w:lineRule="auto"/>
        <w:tabs>
          <w:tab w:leader="none" w:pos="22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 the adoption of the CECL standard, the allowance for credit losses on both loans and securities as of June 30, 2023 is calculated under the current expected credit losses model. For December 31, 2022, no allowance was calculated on securities, and the allowance on loans presented is the allowance for loan losses calculated using the incurred loss model.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loan portfolio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commercial loan portfolio comprised 56.6% of our total loan portfolio at June 30, 2023 and 55.2% of our total loan portfolio at December 31,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major categories of our commercial loan portfolio are discussed below:</w:t>
      </w:r>
    </w:p>
    <w:p>
      <w:pPr>
        <w:spacing w:after="0" w:line="21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i w:val="1"/>
          <w:iCs w:val="1"/>
          <w:color w:val="auto"/>
        </w:rPr>
        <w:t xml:space="preserve">C&amp;I. </w:t>
      </w:r>
      <w:r>
        <w:rPr>
          <w:rFonts w:ascii="Arial" w:cs="Arial" w:eastAsia="Arial" w:hAnsi="Arial"/>
          <w:sz w:val="16"/>
          <w:szCs w:val="16"/>
          <w:color w:val="auto"/>
        </w:rPr>
        <w:t>Our C&amp;I loans are generally made to small and medium-sized manufacturers and wholesale, retail and service-based businesses to provide either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working capital or to finance major capital expenditures. In addition, our C&amp;I portfolio includes commercial solar financings; for many of these we are the sole lender, while for some others we are a participant in a syndicated credit facility led by another institution. The primary source of repayment for C&amp;I loans is generally operating cash flows of the business or project. We also seek to minimize risks related to these loans by requiring such loans to be collateralized by various business assets (including inventory, equipment, accounts receivable, and the assignment of contracts that generate cash flow). The average size of our C&amp;I loans at June 30, 2023 by exposure was $4.2 million with a median size of $0.9 million. We have shifted our lending strategy to focus on developing full customer relationships including deposits, cash management, and lending. The businesses that we focus on are generally mission-aligned with our core values, including organic and natural products, sustainable companies, clean energy, nonprofits, and B Corporations </w:t>
      </w:r>
      <w:r>
        <w:rPr>
          <w:rFonts w:ascii="Arial" w:cs="Arial" w:eastAsia="Arial" w:hAnsi="Arial"/>
          <w:sz w:val="20"/>
          <w:szCs w:val="20"/>
          <w:color w:val="auto"/>
          <w:vertAlign w:val="superscript"/>
        </w:rPr>
        <w:t>TM</w:t>
      </w:r>
      <w:r>
        <w:rPr>
          <w:rFonts w:ascii="Arial" w:cs="Arial" w:eastAsia="Arial" w:hAnsi="Arial"/>
          <w:sz w:val="16"/>
          <w:szCs w:val="16"/>
          <w:color w:val="auto"/>
        </w:rPr>
        <w:t>.</w:t>
      </w:r>
    </w:p>
    <w:p>
      <w:pPr>
        <w:spacing w:after="0" w:line="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C&amp;I loans totaled $949.4 million at June 30, 2023, which comprised 22.3% of our total loan portfolio. During the six months ended June 30, 2023, the C&amp;I loan portfolio increased by 2.6% from $925.6 million at December 31, 2022.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Multifamily</w:t>
      </w:r>
      <w:r>
        <w:rPr>
          <w:rFonts w:ascii="Arial" w:cs="Arial" w:eastAsia="Arial" w:hAnsi="Arial"/>
          <w:sz w:val="18"/>
          <w:szCs w:val="18"/>
          <w:color w:val="auto"/>
        </w:rPr>
        <w:t>. Our multifamily loans are generally used to purchase or refinance apartment buildings of five units or more, which collateralize the loan, in</w:t>
      </w:r>
      <w:r>
        <w:rPr>
          <w:rFonts w:ascii="Arial" w:cs="Arial" w:eastAsia="Arial" w:hAnsi="Arial"/>
          <w:sz w:val="18"/>
          <w:szCs w:val="18"/>
          <w:i w:val="1"/>
          <w:iCs w:val="1"/>
          <w:color w:val="auto"/>
        </w:rPr>
        <w:t xml:space="preserve"> </w:t>
      </w:r>
      <w:r>
        <w:rPr>
          <w:rFonts w:ascii="Arial" w:cs="Arial" w:eastAsia="Arial" w:hAnsi="Arial"/>
          <w:sz w:val="18"/>
          <w:szCs w:val="18"/>
          <w:color w:val="auto"/>
        </w:rPr>
        <w:t>major metropolitan areas within our markets. Multifamily loans have 70% of their exposure in New York City - our largest geographic concentration. Our multifamily loans have been underwritten under stringent guidelines on loan-to-value and debt service coverage ratios that are designed to mitigate credit and concentration risk in this loan category.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multifamily loans totaled $1.10 billion at June 30, 2023, which comprised 25.8% of our total loan portfolio. During the six months ended June 30, 2023, the multifamily loan portfolio increased by 13.3% from $967.5 million at December 31,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CRE. </w:t>
      </w:r>
      <w:r>
        <w:rPr>
          <w:rFonts w:ascii="Arial" w:cs="Arial" w:eastAsia="Arial" w:hAnsi="Arial"/>
          <w:sz w:val="18"/>
          <w:szCs w:val="18"/>
          <w:color w:val="auto"/>
        </w:rPr>
        <w:t>Our CRE loans are used to purchase or refinance office buildings, retail centers, industrial facilities, medical facilities and mixed-used buildings. Our</w:t>
      </w:r>
      <w:r>
        <w:rPr>
          <w:rFonts w:ascii="Arial" w:cs="Arial" w:eastAsia="Arial" w:hAnsi="Arial"/>
          <w:sz w:val="18"/>
          <w:szCs w:val="18"/>
          <w:i w:val="1"/>
          <w:iCs w:val="1"/>
          <w:color w:val="auto"/>
        </w:rPr>
        <w:t xml:space="preserve"> </w:t>
      </w:r>
      <w:r>
        <w:rPr>
          <w:rFonts w:ascii="Arial" w:cs="Arial" w:eastAsia="Arial" w:hAnsi="Arial"/>
          <w:sz w:val="18"/>
          <w:szCs w:val="18"/>
          <w:color w:val="auto"/>
        </w:rPr>
        <w:t>CRE loans totaled $333.3 million at June 30, 2023, which comprised 7.8% of our total loan portfolio. During the six months ended June 30, 2023, the CRE loan portfolio decreased by 0.5% from $335.1 million at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loan portfolio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retail loan portfolio comprised 43.4% of our total loan portfolio at June 30, 2023 and 44.8% of our loan portfolio at December 31, 2022. The major categories of our retail loan portfolio are discussed below.</w:t>
      </w:r>
    </w:p>
    <w:p>
      <w:pPr>
        <w:spacing w:after="0" w:line="19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i w:val="1"/>
          <w:iCs w:val="1"/>
          <w:color w:val="auto"/>
        </w:rPr>
        <w:t>Residential real estate lending</w:t>
      </w:r>
      <w:r>
        <w:rPr>
          <w:rFonts w:ascii="Arial" w:cs="Arial" w:eastAsia="Arial" w:hAnsi="Arial"/>
          <w:sz w:val="17"/>
          <w:szCs w:val="17"/>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residential 1-4 family mortgage loans are residential mortgages that are primarily secured by single-family homes,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can be owner occupied or investor owned. These loans are either originated by our loan officers or purchased from other originators with the servicing generally retained by such originators. Our residential real estate lending portfolio is 99% first mortgage loans and 1% second mortgage loans. As of June 30, 2023, 82% of our residential 1-4 family mortgage loans were either originated by our loan officers since 2012 or were acquired in our acquisition of New Resource Bank, 16% were purchased from two third parties on or after July 2014, and 2% were purchased by us from other originators before 2010. Our residential real estate lending loans totaled $1.39 billion at June 30, 2023, which comprised 75.3% of our retail loan portfolio and 32.7% of our total loan portfolio. As of June 30, 2023, our residential real estate lending loans increased by 1.2% from $1.37 billion at December 31, 2022.</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Consumer solar. </w:t>
      </w:r>
      <w:r>
        <w:rPr>
          <w:rFonts w:ascii="Arial" w:cs="Arial" w:eastAsia="Arial" w:hAnsi="Arial"/>
          <w:sz w:val="18"/>
          <w:szCs w:val="18"/>
          <w:color w:val="auto"/>
        </w:rPr>
        <w:t>Our consumer solar portfolio is comprised of purchased residential solar loans, secured by Uniform Commercial Code (UCC)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Our consumer solar loans totaled $411.9 million at June 30, 2023, which comprised 9.7% of our total loan portfolio, compared to $416.8 million, or 10.2%, of our total loan portfolio at December 31, 2022.</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Consumer and other. </w:t>
      </w:r>
      <w:r>
        <w:rPr>
          <w:rFonts w:ascii="Arial" w:cs="Arial" w:eastAsia="Arial" w:hAnsi="Arial"/>
          <w:sz w:val="18"/>
          <w:szCs w:val="18"/>
          <w:color w:val="auto"/>
        </w:rPr>
        <w:t>Our consumer and other portfolio is comprised of purchased student loans, unsecured consumer loans and overdraft lines.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and other loans totaled $44.1 million at June 30, 2023, which comprised 1.0% of our total loan portfolio, compared to $47.2 million, or 1.1% of our total loan portfolio, at December 31, 2022.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Maturities of Loans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the following table is based on the contractual maturities of individual loans, including loans that may be subject to renewal at their contractual maturity. Renewal of these loans is subject to review and credit approval, as well as modification of terms upon maturity. Actual repayments of loans may differ from the maturities reflected below because borrowers have the right to prepay obligations with or without prepayment penalties. The following tables summarize the loan maturity distribution by type and related interest rate characteristics at June 30,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w w:val="93"/>
              </w:rPr>
              <w:t>One year or less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After one but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w w:val="99"/>
              </w:rPr>
              <w:t>After five years but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vMerge w:val="restart"/>
          </w:tcPr>
          <w:p>
            <w:pPr>
              <w:jc w:val="right"/>
              <w:ind w:right="191"/>
              <w:spacing w:after="0"/>
              <w:rPr>
                <w:sz w:val="20"/>
                <w:szCs w:val="20"/>
                <w:color w:val="auto"/>
              </w:rPr>
            </w:pPr>
            <w:r>
              <w:rPr>
                <w:rFonts w:ascii="Arial" w:cs="Arial" w:eastAsia="Arial" w:hAnsi="Arial"/>
                <w:sz w:val="16"/>
                <w:szCs w:val="16"/>
                <w:b w:val="1"/>
                <w:bCs w:val="1"/>
                <w:color w:val="auto"/>
                <w:w w:val="98"/>
              </w:rPr>
              <w:t>After 15 years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3"/>
              </w:rPr>
              <w:t>within five years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within 15 years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June 30, 2023:</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i w:val="1"/>
                <w:iCs w:val="1"/>
                <w:color w:val="auto"/>
              </w:rPr>
              <w:t>Commercial Portfolio:</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289,871</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245,931</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308,643</w:t>
            </w:r>
          </w:p>
        </w:tc>
        <w:tc>
          <w:tcPr>
            <w:tcW w:w="6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104,958</w:t>
            </w:r>
          </w:p>
        </w:tc>
        <w:tc>
          <w:tcPr>
            <w:tcW w:w="4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949,403</w:t>
            </w:r>
          </w:p>
        </w:tc>
        <w:tc>
          <w:tcPr>
            <w:tcW w:w="0" w:type="dxa"/>
            <w:vAlign w:val="bottom"/>
          </w:tcPr>
          <w:p>
            <w:pPr>
              <w:spacing w:after="0"/>
              <w:rPr>
                <w:sz w:val="1"/>
                <w:szCs w:val="1"/>
                <w:color w:val="auto"/>
              </w:rPr>
            </w:pPr>
          </w:p>
        </w:tc>
      </w:tr>
      <w:tr>
        <w:trPr>
          <w:trHeight w:val="237"/>
        </w:trPr>
        <w:tc>
          <w:tcPr>
            <w:tcW w:w="2960" w:type="dxa"/>
            <w:vAlign w:val="bottom"/>
          </w:tcPr>
          <w:p>
            <w:pPr>
              <w:ind w:left="140"/>
              <w:spacing w:after="0"/>
              <w:rPr>
                <w:sz w:val="20"/>
                <w:szCs w:val="20"/>
                <w:color w:val="auto"/>
              </w:rPr>
            </w:pPr>
            <w:r>
              <w:rPr>
                <w:rFonts w:ascii="Arial" w:cs="Arial" w:eastAsia="Arial" w:hAnsi="Arial"/>
                <w:sz w:val="18"/>
                <w:szCs w:val="18"/>
                <w:color w:val="auto"/>
              </w:rPr>
              <w:t>Multifamily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201,239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550,751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337,578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6,184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1,095,752</w:t>
            </w:r>
          </w:p>
        </w:tc>
        <w:tc>
          <w:tcPr>
            <w:tcW w:w="0" w:type="dxa"/>
            <w:vAlign w:val="bottom"/>
          </w:tcPr>
          <w:p>
            <w:pPr>
              <w:spacing w:after="0"/>
              <w:rPr>
                <w:sz w:val="1"/>
                <w:szCs w:val="1"/>
                <w:color w:val="auto"/>
              </w:rPr>
            </w:pPr>
          </w:p>
        </w:tc>
      </w:tr>
      <w:tr>
        <w:trPr>
          <w:trHeight w:val="23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117,473</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133,418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68,037</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333,340</w:t>
            </w:r>
          </w:p>
        </w:tc>
        <w:tc>
          <w:tcPr>
            <w:tcW w:w="0" w:type="dxa"/>
            <w:vAlign w:val="bottom"/>
          </w:tcPr>
          <w:p>
            <w:pPr>
              <w:spacing w:after="0"/>
              <w:rPr>
                <w:sz w:val="1"/>
                <w:szCs w:val="1"/>
                <w:color w:val="auto"/>
              </w:rPr>
            </w:pPr>
          </w:p>
        </w:tc>
      </w:tr>
      <w:tr>
        <w:trPr>
          <w:trHeight w:val="229"/>
        </w:trPr>
        <w:tc>
          <w:tcPr>
            <w:tcW w:w="2960" w:type="dxa"/>
            <w:vAlign w:val="bottom"/>
          </w:tcPr>
          <w:p>
            <w:pPr>
              <w:ind w:left="140"/>
              <w:spacing w:after="0"/>
              <w:rPr>
                <w:sz w:val="20"/>
                <w:szCs w:val="20"/>
                <w:color w:val="auto"/>
              </w:rPr>
            </w:pPr>
            <w:r>
              <w:rPr>
                <w:rFonts w:ascii="Arial" w:cs="Arial" w:eastAsia="Arial" w:hAnsi="Arial"/>
                <w:sz w:val="18"/>
                <w:szCs w:val="18"/>
                <w:color w:val="auto"/>
                <w:w w:val="98"/>
              </w:rPr>
              <w:t>Construction and land development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27,054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28,664</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i w:val="1"/>
                <w:iCs w:val="1"/>
                <w:color w:val="auto"/>
              </w:rPr>
              <w:t>Retail Portfolio:</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real estate lending</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14,209</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152,015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1,219,920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1,388,571</w:t>
            </w: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Arial" w:cs="Arial" w:eastAsia="Arial" w:hAnsi="Arial"/>
                <w:sz w:val="18"/>
                <w:szCs w:val="18"/>
                <w:color w:val="auto"/>
              </w:rPr>
              <w:t>Consumer solar</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46,017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358,587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411,873</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Consumer and other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28,343</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44,135</w:t>
            </w:r>
          </w:p>
        </w:tc>
        <w:tc>
          <w:tcPr>
            <w:tcW w:w="0" w:type="dxa"/>
            <w:vAlign w:val="bottom"/>
          </w:tcPr>
          <w:p>
            <w:pPr>
              <w:spacing w:after="0"/>
              <w:rPr>
                <w:sz w:val="1"/>
                <w:szCs w:val="1"/>
                <w:color w:val="auto"/>
              </w:rPr>
            </w:pPr>
          </w:p>
        </w:tc>
      </w:tr>
      <w:tr>
        <w:trPr>
          <w:trHeight w:val="237"/>
        </w:trPr>
        <w:tc>
          <w:tcPr>
            <w:tcW w:w="2960" w:type="dxa"/>
            <w:vAlign w:val="bottom"/>
          </w:tcPr>
          <w:p>
            <w:pPr>
              <w:ind w:left="260"/>
              <w:spacing w:after="0"/>
              <w:rPr>
                <w:sz w:val="20"/>
                <w:szCs w:val="20"/>
                <w:color w:val="auto"/>
              </w:rPr>
            </w:pPr>
            <w:r>
              <w:rPr>
                <w:rFonts w:ascii="Arial" w:cs="Arial" w:eastAsia="Arial" w:hAnsi="Arial"/>
                <w:sz w:val="18"/>
                <w:szCs w:val="18"/>
                <w:b w:val="1"/>
                <w:bCs w:val="1"/>
                <w:color w:val="auto"/>
              </w:rPr>
              <w:t>Total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651,076</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944,177</w:t>
            </w:r>
          </w:p>
        </w:tc>
        <w:tc>
          <w:tcPr>
            <w:tcW w:w="60" w:type="dxa"/>
            <w:vAlign w:val="bottom"/>
          </w:tcPr>
          <w:p>
            <w:pPr>
              <w:spacing w:after="0"/>
              <w:rPr>
                <w:sz w:val="20"/>
                <w:szCs w:val="20"/>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940,633</w:t>
            </w:r>
          </w:p>
        </w:tc>
        <w:tc>
          <w:tcPr>
            <w:tcW w:w="6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1,715,852</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4,251,738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After one but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3"/>
              </w:rPr>
              <w:t>After 5 years but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2"/>
            <w:vMerge w:val="restart"/>
          </w:tcPr>
          <w:p>
            <w:pPr>
              <w:jc w:val="right"/>
              <w:ind w:right="31"/>
              <w:spacing w:after="0"/>
              <w:rPr>
                <w:sz w:val="20"/>
                <w:szCs w:val="20"/>
                <w:color w:val="auto"/>
              </w:rPr>
            </w:pPr>
            <w:r>
              <w:rPr>
                <w:rFonts w:ascii="Arial" w:cs="Arial" w:eastAsia="Arial" w:hAnsi="Arial"/>
                <w:sz w:val="16"/>
                <w:szCs w:val="16"/>
                <w:b w:val="1"/>
                <w:bCs w:val="1"/>
                <w:color w:val="auto"/>
                <w:w w:val="96"/>
              </w:rPr>
              <w:t>More than 15 years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within five years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within 15 years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w w:val="91"/>
              </w:rPr>
              <w:t>Gross loan maturing after one year with:</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interest rates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763,264</w:t>
            </w:r>
          </w:p>
        </w:tc>
        <w:tc>
          <w:tcPr>
            <w:tcW w:w="6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837,894</w:t>
            </w:r>
          </w:p>
        </w:tc>
        <w:tc>
          <w:tcPr>
            <w:tcW w:w="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1,110,711</w:t>
            </w:r>
          </w:p>
        </w:tc>
        <w:tc>
          <w:tcPr>
            <w:tcW w:w="4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2,711,869</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9"/>
              </w:rPr>
              <w:t>Floating or adjustable interest rates</w:t>
            </w:r>
          </w:p>
        </w:tc>
        <w:tc>
          <w:tcPr>
            <w:tcW w:w="1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180,913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102,739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605,141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888,793</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Loans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944,177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940,633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1,715,852</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3,600,662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maintain the allowance at a level we believe is sufficient to absorb current expected credit losses in our loan portfolio. For further discussion of the adoption of and methodology under the CECL standard, refer to Note 1 to the Consolidated Financial Statements in Item 1 of this Form 10-Q.</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presents, by loan type, the changes in the allowance for credit losses at June 30, 2023 under the CECL standard, and the allowance for loans losses at June 30, 2022 under the incurred loss methodology: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4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19"/>
                <w:szCs w:val="19"/>
                <w:color w:val="auto"/>
              </w:rPr>
            </w:pPr>
          </w:p>
        </w:tc>
      </w:tr>
      <w:tr>
        <w:trPr>
          <w:trHeight w:val="232"/>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450"/>
        </w:trPr>
        <w:tc>
          <w:tcPr>
            <w:tcW w:w="444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67,323</w:t>
            </w: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37,542</w:t>
            </w:r>
          </w:p>
        </w:tc>
        <w:tc>
          <w:tcPr>
            <w:tcW w:w="6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45,031</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35,866</w:t>
            </w:r>
          </w:p>
        </w:tc>
      </w:tr>
      <w:tr>
        <w:trPr>
          <w:trHeight w:val="23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Adoption of ASU 2016-13</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21,229</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Loan charge-offs: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Commercial portfolio:</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color w:val="auto"/>
              </w:rPr>
              <w:t>Commercial and industrial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Multifamily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7"/>
        </w:trPr>
        <w:tc>
          <w:tcPr>
            <w:tcW w:w="4440" w:type="dxa"/>
            <w:vAlign w:val="bottom"/>
          </w:tcPr>
          <w:p>
            <w:pPr>
              <w:ind w:left="120"/>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Construction and land development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i w:val="1"/>
                <w:iCs w:val="1"/>
                <w:color w:val="auto"/>
              </w:rPr>
              <w:t>Retail portfolio: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real estate lending</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Consumer solar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1,797</w:t>
            </w:r>
          </w:p>
        </w:tc>
      </w:tr>
      <w:tr>
        <w:trPr>
          <w:trHeight w:val="229"/>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Consumer and 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44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loan charge-offs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1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3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 of loans previously charged-off:</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i w:val="1"/>
                <w:iCs w:val="1"/>
                <w:color w:val="auto"/>
              </w:rPr>
              <w:t>Commercial portfolio: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and industrial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4440" w:type="dxa"/>
            <w:vAlign w:val="bottom"/>
          </w:tcPr>
          <w:p>
            <w:pPr>
              <w:ind w:left="120"/>
              <w:spacing w:after="0"/>
              <w:rPr>
                <w:sz w:val="20"/>
                <w:szCs w:val="20"/>
                <w:color w:val="auto"/>
              </w:rPr>
            </w:pPr>
            <w:r>
              <w:rPr>
                <w:rFonts w:ascii="Arial" w:cs="Arial" w:eastAsia="Arial" w:hAnsi="Arial"/>
                <w:sz w:val="18"/>
                <w:szCs w:val="18"/>
                <w:color w:val="auto"/>
              </w:rPr>
              <w:t>Multifamily</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real estate</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color w:val="auto"/>
              </w:rPr>
              <w:t>Construction and land development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Retail portfolio:</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color w:val="auto"/>
              </w:rPr>
              <w:t>Residential real estate lending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1,325</w:t>
            </w: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solar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7"/>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Consumer and other</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4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loan recoveries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Net charge-offs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5,557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1,594</w:t>
            </w: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3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1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67,431</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39,477</w:t>
            </w:r>
          </w:p>
        </w:tc>
        <w:tc>
          <w:tcPr>
            <w:tcW w:w="3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67,431</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39,477</w:t>
            </w:r>
          </w:p>
        </w:tc>
      </w:tr>
      <w:tr>
        <w:trPr>
          <w:trHeight w:val="20"/>
        </w:trPr>
        <w:tc>
          <w:tcPr>
            <w:tcW w:w="4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the allowance for credit losses on loans increased $0.1 million to $67.4 million at June 30, 2023 from $67.3 million at March 31,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ratio of allowance to total loans was 1.59%, a decrease of 2 basis points from 1.61% in the first quarter of 2023.</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credit losses on loans increased $22.4 million to $67.4 million at June 30, 2023 from $45.0 million at December 31, 2022. On January 1, 2023, the adoption of the CECL standard increased the allowance for credit losses on loans by $21.2 million to recognize the Day 1 cumulative effect, primarily attributed to our consumer solar portfolio. The ratio of allowance to total loans was 1.59% at June 30, 2023 and 1.10% at December 31, 2022. Considering the Day 1 cumulative effect, the ratio of allowance to total loans at January 1, 2023 was 1.61%.</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2023, the allowance for credit losses on held-to-maturity securities was $0.7 million, compared to $0.7 million at March 31, 2023. On January 1, 2023, an allowance of $0.7 million was recorded to recognize the Day 1 cumulative effect, primarily attributed to commercial and residential PACE assessments. Additionally, the allowance for expected credit losses on off-balance sheet loan exposures was increased by $2.7 million to recognize the Day 1 cumulative impact of adopting the CECL standard.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Allocation of Allowance for Credit Losses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allocation of the allowance and the percentage of the total amount of loans in each loan category listed as of the dates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At June 30, 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At December 31, 2022</w:t>
            </w:r>
          </w:p>
        </w:tc>
      </w:tr>
      <w:tr>
        <w:trPr>
          <w:trHeight w:val="223"/>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 loans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 loans</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Commercial Portfolio:</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22.5 %</w:t>
            </w: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23.6 %</w:t>
            </w:r>
          </w:p>
        </w:tc>
      </w:tr>
      <w:tr>
        <w:trPr>
          <w:trHeight w:val="23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0.9 %</w:t>
            </w:r>
          </w:p>
        </w:tc>
      </w:tr>
      <w:tr>
        <w:trPr>
          <w:trHeight w:val="236"/>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commercial portfolio</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56.6 %</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55.2 %</w:t>
            </w:r>
          </w:p>
        </w:tc>
      </w:tr>
      <w:tr>
        <w:trPr>
          <w:trHeight w:val="243"/>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Retail Portfolio:</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Residential real estate lending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15,274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32.7 %</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11,338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33.5 %</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solar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Consumer and other</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51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retail portfolio</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41,632</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20,559</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44.8 %</w:t>
            </w:r>
          </w:p>
        </w:tc>
      </w:tr>
      <w:tr>
        <w:trPr>
          <w:trHeight w:val="256"/>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allowance for credit losses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67,431</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45,031</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Nonperforming assets include all loans categorized as nonaccrual, other real estate owned and other repossessed assets. The accrual of interest on loans is discontinued, or the loan is placed on nonaccrual, when the full collection of principal and interest is in doubt. 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The following table sets forth our nonperforming assets as of June 30, 2023 and December 31,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December 31, 2022</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90 days past due and accruing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7120" w:type="dxa"/>
            <w:vAlign w:val="bottom"/>
          </w:tcPr>
          <w:p>
            <w:pPr>
              <w:ind w:left="20"/>
              <w:spacing w:after="0"/>
              <w:rPr>
                <w:sz w:val="20"/>
                <w:szCs w:val="20"/>
                <w:color w:val="auto"/>
              </w:rPr>
            </w:pPr>
            <w:r>
              <w:rPr>
                <w:rFonts w:ascii="Arial" w:cs="Arial" w:eastAsia="Arial" w:hAnsi="Arial"/>
                <w:sz w:val="18"/>
                <w:szCs w:val="18"/>
                <w:color w:val="auto"/>
              </w:rPr>
              <w:t>Nonaccrual loans held for sale</w:t>
            </w:r>
          </w:p>
        </w:tc>
        <w:tc>
          <w:tcPr>
            <w:tcW w:w="30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6,914</w:t>
            </w:r>
          </w:p>
        </w:tc>
      </w:tr>
      <w:tr>
        <w:trPr>
          <w:trHeight w:val="23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Nonaccrual loans - Commercial</w:t>
            </w: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28,078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18,308</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Nonaccrual loans - Retail</w:t>
            </w:r>
          </w:p>
        </w:tc>
        <w:tc>
          <w:tcPr>
            <w:tcW w:w="300" w:type="dxa"/>
            <w:vAlign w:val="bottom"/>
          </w:tcPr>
          <w:p>
            <w:pPr>
              <w:spacing w:after="0"/>
              <w:rPr>
                <w:sz w:val="19"/>
                <w:szCs w:val="19"/>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3,391</w:t>
            </w:r>
          </w:p>
        </w:tc>
      </w:tr>
      <w:tr>
        <w:trPr>
          <w:trHeight w:val="24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Nonaccrual securities</w:t>
            </w:r>
          </w:p>
        </w:tc>
        <w:tc>
          <w:tcPr>
            <w:tcW w:w="3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color w:val="auto"/>
              </w:rPr>
              <w:t>Total nonperforming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35,265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28,649</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7"/>
        </w:trPr>
        <w:tc>
          <w:tcPr>
            <w:tcW w:w="7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Nonaccrual loans:</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43"/>
        </w:trPr>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9,629</w:t>
            </w:r>
          </w:p>
        </w:tc>
      </w:tr>
      <w:tr>
        <w:trPr>
          <w:trHeight w:val="229"/>
        </w:trPr>
        <w:tc>
          <w:tcPr>
            <w:tcW w:w="7120" w:type="dxa"/>
            <w:vAlign w:val="bottom"/>
          </w:tcPr>
          <w:p>
            <w:pPr>
              <w:ind w:left="120"/>
              <w:spacing w:after="0"/>
              <w:rPr>
                <w:sz w:val="20"/>
                <w:szCs w:val="20"/>
                <w:color w:val="auto"/>
              </w:rPr>
            </w:pPr>
            <w:r>
              <w:rPr>
                <w:rFonts w:ascii="Arial" w:cs="Arial" w:eastAsia="Arial" w:hAnsi="Arial"/>
                <w:sz w:val="18"/>
                <w:szCs w:val="18"/>
                <w:color w:val="auto"/>
              </w:rPr>
              <w:t>Multifamily</w:t>
            </w:r>
          </w:p>
        </w:tc>
        <w:tc>
          <w:tcPr>
            <w:tcW w:w="300" w:type="dxa"/>
            <w:vAlign w:val="bottom"/>
          </w:tcPr>
          <w:p>
            <w:pPr>
              <w:spacing w:after="0"/>
              <w:rPr>
                <w:sz w:val="19"/>
                <w:szCs w:val="19"/>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3,828</w:t>
            </w:r>
          </w:p>
        </w:tc>
      </w:tr>
      <w:tr>
        <w:trPr>
          <w:trHeight w:val="230"/>
        </w:trPr>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real estate</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4,851</w:t>
            </w:r>
          </w:p>
        </w:tc>
      </w:tr>
      <w:tr>
        <w:trPr>
          <w:trHeight w:val="243"/>
        </w:trPr>
        <w:tc>
          <w:tcPr>
            <w:tcW w:w="7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Construction and land development</w:t>
            </w: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13,467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commercial portfolio</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28,078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18,308</w:t>
            </w:r>
          </w:p>
        </w:tc>
      </w:tr>
      <w:tr>
        <w:trPr>
          <w:trHeight w:val="250"/>
        </w:trPr>
        <w:tc>
          <w:tcPr>
            <w:tcW w:w="7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43"/>
        </w:trPr>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real estate lending</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1,807</w:t>
            </w:r>
          </w:p>
        </w:tc>
      </w:tr>
      <w:tr>
        <w:trPr>
          <w:trHeight w:val="230"/>
        </w:trPr>
        <w:tc>
          <w:tcPr>
            <w:tcW w:w="7120" w:type="dxa"/>
            <w:vAlign w:val="bottom"/>
          </w:tcPr>
          <w:p>
            <w:pPr>
              <w:ind w:left="120"/>
              <w:spacing w:after="0"/>
              <w:rPr>
                <w:sz w:val="20"/>
                <w:szCs w:val="20"/>
                <w:color w:val="auto"/>
              </w:rPr>
            </w:pPr>
            <w:r>
              <w:rPr>
                <w:rFonts w:ascii="Arial" w:cs="Arial" w:eastAsia="Arial" w:hAnsi="Arial"/>
                <w:sz w:val="18"/>
                <w:szCs w:val="18"/>
                <w:color w:val="auto"/>
              </w:rPr>
              <w:t>Consumer solar</w:t>
            </w:r>
          </w:p>
        </w:tc>
        <w:tc>
          <w:tcPr>
            <w:tcW w:w="300" w:type="dxa"/>
            <w:vAlign w:val="bottom"/>
          </w:tcPr>
          <w:p>
            <w:pPr>
              <w:spacing w:after="0"/>
              <w:rPr>
                <w:sz w:val="19"/>
                <w:szCs w:val="19"/>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1,584</w:t>
            </w:r>
          </w:p>
        </w:tc>
      </w:tr>
      <w:tr>
        <w:trPr>
          <w:trHeight w:val="229"/>
        </w:trPr>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Consumer and other</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71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retail portfolio</w:t>
            </w: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5,606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3,391</w:t>
            </w:r>
          </w:p>
        </w:tc>
      </w:tr>
      <w:tr>
        <w:trPr>
          <w:trHeight w:val="248"/>
        </w:trPr>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nonaccrual loans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21,699</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Nonperforming assets to total assets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0.44 %</w:t>
            </w:r>
          </w:p>
        </w:tc>
      </w:tr>
      <w:tr>
        <w:trPr>
          <w:trHeight w:val="237"/>
        </w:trPr>
        <w:tc>
          <w:tcPr>
            <w:tcW w:w="7120" w:type="dxa"/>
            <w:vAlign w:val="bottom"/>
          </w:tcPr>
          <w:p>
            <w:pPr>
              <w:ind w:left="20"/>
              <w:spacing w:after="0"/>
              <w:rPr>
                <w:sz w:val="20"/>
                <w:szCs w:val="20"/>
                <w:color w:val="auto"/>
              </w:rPr>
            </w:pPr>
            <w:r>
              <w:rPr>
                <w:rFonts w:ascii="Arial" w:cs="Arial" w:eastAsia="Arial" w:hAnsi="Arial"/>
                <w:sz w:val="18"/>
                <w:szCs w:val="18"/>
                <w:color w:val="auto"/>
              </w:rPr>
              <w:t>Nonaccrual assets to total assets</w:t>
            </w: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0.45 %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0.36 %</w:t>
            </w:r>
          </w:p>
        </w:tc>
      </w:tr>
      <w:tr>
        <w:trPr>
          <w:trHeight w:val="23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Nonaccrual loans to total loans</w:t>
            </w: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0.53 %</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Allowance for credit losses on loans to nonaccrual loans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200.19 %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207.53 %</w:t>
            </w:r>
          </w:p>
        </w:tc>
      </w:tr>
      <w:tr>
        <w:trPr>
          <w:trHeight w:val="24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on loans to total loans</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Annualized net charge-offs (recoveries) to average loans</w:t>
            </w: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0.16 %</w:t>
            </w:r>
          </w:p>
        </w:tc>
      </w:tr>
    </w:tbl>
    <w:p>
      <w:pPr>
        <w:spacing w:after="0" w:line="3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Nonperforming assets totaled $35.3 million, or 0.45% of period-end total assets at June 30, 2023, an increase of $6.7 million, compared with $28.6 million, or 0.44% of period-end total assets at December 31, 2022. The increase in non-performing assets at June 30, 2023 compared to December 31, 2022 assets was primarily driven by $8.8 million in construction loans that were placed on nonaccrual status in the second quarter, offset by the charge-off of a $1.7 million commercial loan. In addition, a $4.7 million construction loan was transferred from held for sale to held for investment in the second quarter.</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Potential problem loans are loans which management has doubts as to the ability of the borrowers to comply with the present loan repayment terms. Potential problem loans are performing loans and include our special mention and substandard-accruing commercial loans and/or loans 30-89 days past due. Potential problem loans are not included in the nonperforming assets table above and totaled $81.4 million, or 1.0% of total assets, at June 30, 2023, as follows: $75.2 million are commercial loans currently in workout that management expects will be rehabilitated; $4.5 million are residential 1-4 family or retail loans at 30 days delinquent, of which $11.0 million were subsequently brought current.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Resell Agreements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we have entered into no short term investments of resell agreements backed by residential first-lien mortgage loans. As of December 31, 2022, we had entered into $25.8 million of short term investments of resell agreements backed by residential first-lien mortgage loans, with a weighted interest rate of 6.86%.</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Deferred Tax Asset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a deferred tax asset, net of deferred tax liabilities, of $63.5 million at June 30, 2023 and $62.5 million at December 31, 2022. As of June 30, 2023, our deferred tax assets were fully realizable with no valuation allowance held against the balance. Our management concluded that it was more likely than not that the entire amount will be realized.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evaluate the recoverability of our net deferred tax asset on a periodic basis and record decreases (increases) as a deferred tax provision (benefit) in the Consolidated Statements of Income as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Deposits represent our primary source of funds. We are focused on growing our core deposits through relationship-based banking with our business and consumer clients. Total deposits were $6.89 billion at June 30, 2023, compared to $6.60 billion at December 31, 2022. We believe that our strong deposit franchise is attributable to our mission-based strategy of developing and maintaining relationships with our clients who share similar values and through maintaining a high level of service.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gather deposits through each of our three branch locations across New York City, our one branch in Washington, D.C., our one branch in San Francisco and through the efforts of our commercial banking team including our Boston group which focuses nationally on business growth. Through our branch network, online, mobile and direct banking channels, we offer a variety of deposit products including demand deposit accounts, money market deposits, NOW accounts, savings and certificates of deposit, Insured Cash Sweep accounts, Certificate of Deposit Account Registry Service accounts, and brokered certificates of deposit. We bank politically active customers, such as campaigns, PACs, and state and national party committees, which we refer to as political deposits. These deposits exhibit seasonality based on election cycles. As of June 30, 2023 and December 31, 2022, we had approximately $835.8 million and $643.6 million, respectively, in political deposits which are primarily in demand deposits.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Total estimated uninsured deposits at June 30, 2023 and December 31, 2022 were $3.93 billion and $4.52 billion,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Maturities of time certificates of deposit and other time deposits of more than $250,000 outstanding at June 30, 2023 are summarized as follows:</w:t>
      </w:r>
    </w:p>
    <w:p>
      <w:pPr>
        <w:spacing w:after="0" w:line="273"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Maturities as of June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6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Balance</w:t>
            </w: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Within three months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18,279</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After three but within six months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6,264</w:t>
            </w:r>
          </w:p>
        </w:tc>
      </w:tr>
      <w:tr>
        <w:trPr>
          <w:trHeight w:val="24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six months but within twelve months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twelve months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w:t>
            </w:r>
          </w:p>
        </w:tc>
      </w:tr>
      <w:tr>
        <w:trPr>
          <w:trHeight w:val="248"/>
        </w:trPr>
        <w:tc>
          <w:tcPr>
            <w:tcW w:w="3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30,839</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Interest Rate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simulation models incorporate various assumptions, which we believe are reasonable but which may have a significant impact on results such as: (1) the timing of changes in interest rates, (2) shifts or rotations in the yield curve, (3) loan and securities prepayment speeds for different interest rate scenarios, (4) interest rates and balances of indeterminate-maturity deposits for different scenarios, and (5) new volume and yield assumptions for loans, securities and deposits. Because of limitations inherent in any approach used to measure interest rate risk, simulation results are not intended as a forecast of the actual effect of a change in market interest rates on our results but rather to better plan and execute appropriate asset-liability management strategies and manage our interest rate risk.</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Potential changes to our net interest income and economic value of equity in hypothetical rising and declining rate scenarios calculated as of June 30, 2023 are presented in the following table. The projections assume immediate, parallel shifts downward of the yield curve of 100 and 200 basis points and immediate, parallel shifts upward of the yield curve of 100, 200, 300, and 400 basis points.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results of this simulation analysis are hypothetical and should not be relied on as indicative of expected operating results. A variety of factors might cause actual results to differ substantially from what is depicted. For example, if the timing and magnitude of interest rate changes differ from those projected, our net interest income might vary significantly. Non-parallel yield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1" w:name="page72"/>
    <w:bookmarkEnd w:id="71"/>
    <w:p>
      <w:pPr>
        <w:jc w:val="both"/>
        <w:spacing w:after="0" w:line="272" w:lineRule="auto"/>
        <w:rPr>
          <w:sz w:val="20"/>
          <w:szCs w:val="20"/>
          <w:color w:val="auto"/>
        </w:rPr>
      </w:pPr>
      <w:r>
        <w:rPr>
          <w:rFonts w:ascii="Arial" w:cs="Arial" w:eastAsia="Arial" w:hAnsi="Arial"/>
          <w:sz w:val="17"/>
          <w:szCs w:val="17"/>
          <w:color w:val="auto"/>
        </w:rPr>
        <w:t>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 liabilities or if our mix of assets and liabilities otherwise changes. Actual results could also differ from those projected if we experience substantially different repayment speeds in our loan portfolio than those assumed in the simulation model. Finally, these simulation results do not contemplate all the actions that we may undertake in response to potential or actual changes in interest rates, such as changes to our loan, investment, deposit, funding or hedging strategies.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w w:val="95"/>
              </w:rPr>
              <w:t>Change in Market Interest Rates as of</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2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auto"/>
              </w:rPr>
              <w:t>Estimated Increase (Decrease) in:</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2"/>
            <w:vMerge w:val="continue"/>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91"/>
              </w:rPr>
              <w:t>Economic Value of</w:t>
            </w:r>
          </w:p>
        </w:tc>
        <w:tc>
          <w:tcPr>
            <w:tcW w:w="2020" w:type="dxa"/>
            <w:vAlign w:val="bottom"/>
          </w:tcPr>
          <w:p>
            <w:pPr>
              <w:jc w:val="center"/>
              <w:spacing w:after="0" w:line="182" w:lineRule="exact"/>
              <w:rPr>
                <w:sz w:val="20"/>
                <w:szCs w:val="20"/>
                <w:color w:val="auto"/>
              </w:rPr>
            </w:pPr>
            <w:r>
              <w:rPr>
                <w:rFonts w:ascii="Arial" w:cs="Arial" w:eastAsia="Arial" w:hAnsi="Arial"/>
                <w:sz w:val="18"/>
                <w:szCs w:val="18"/>
                <w:color w:val="auto"/>
                <w:w w:val="91"/>
              </w:rPr>
              <w:t>Economic Value of</w:t>
            </w:r>
          </w:p>
        </w:tc>
        <w:tc>
          <w:tcPr>
            <w:tcW w:w="2000" w:type="dxa"/>
            <w:vAlign w:val="bottom"/>
          </w:tcPr>
          <w:p>
            <w:pPr>
              <w:jc w:val="center"/>
              <w:spacing w:after="0" w:line="182" w:lineRule="exact"/>
              <w:rPr>
                <w:sz w:val="20"/>
                <w:szCs w:val="20"/>
                <w:color w:val="auto"/>
              </w:rPr>
            </w:pPr>
            <w:r>
              <w:rPr>
                <w:rFonts w:ascii="Arial" w:cs="Arial" w:eastAsia="Arial" w:hAnsi="Arial"/>
                <w:sz w:val="18"/>
                <w:szCs w:val="18"/>
                <w:color w:val="auto"/>
                <w:w w:val="89"/>
              </w:rPr>
              <w:t>Year 1 Net Interest</w:t>
            </w:r>
          </w:p>
        </w:tc>
        <w:tc>
          <w:tcPr>
            <w:tcW w:w="1900" w:type="dxa"/>
            <w:vAlign w:val="bottom"/>
          </w:tcPr>
          <w:p>
            <w:pPr>
              <w:jc w:val="center"/>
              <w:ind w:left="50"/>
              <w:spacing w:after="0" w:line="182" w:lineRule="exact"/>
              <w:rPr>
                <w:sz w:val="20"/>
                <w:szCs w:val="20"/>
                <w:color w:val="auto"/>
              </w:rPr>
            </w:pPr>
            <w:r>
              <w:rPr>
                <w:rFonts w:ascii="Arial" w:cs="Arial" w:eastAsia="Arial" w:hAnsi="Arial"/>
                <w:sz w:val="18"/>
                <w:szCs w:val="18"/>
                <w:color w:val="auto"/>
                <w:w w:val="89"/>
              </w:rPr>
              <w:t>Year 1 Net Interest</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Immediate Shift</w:t>
            </w:r>
          </w:p>
        </w:tc>
        <w:tc>
          <w:tcPr>
            <w:tcW w:w="1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5"/>
              </w:rPr>
              <w:t>Equity</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Equity ($)</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Income</w:t>
            </w:r>
          </w:p>
        </w:tc>
        <w:tc>
          <w:tcPr>
            <w:tcW w:w="19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2"/>
              </w:rPr>
              <w:t>Income ($)</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+400 basis points</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-27.4%</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(356,849)</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-19.2%</w:t>
            </w:r>
          </w:p>
        </w:tc>
        <w:tc>
          <w:tcPr>
            <w:tcW w:w="1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(46,643)</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+300 basis points</w:t>
            </w: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91"/>
              </w:rPr>
              <w:t>-18.5%</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(240,907)</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-11.8%</w:t>
            </w:r>
          </w:p>
        </w:tc>
        <w:tc>
          <w:tcPr>
            <w:tcW w:w="1900" w:type="dxa"/>
            <w:vAlign w:val="bottom"/>
          </w:tcPr>
          <w:p>
            <w:pPr>
              <w:jc w:val="center"/>
              <w:ind w:left="30"/>
              <w:spacing w:after="0"/>
              <w:rPr>
                <w:sz w:val="20"/>
                <w:szCs w:val="20"/>
                <w:color w:val="auto"/>
              </w:rPr>
            </w:pPr>
            <w:r>
              <w:rPr>
                <w:rFonts w:ascii="Arial" w:cs="Arial" w:eastAsia="Arial" w:hAnsi="Arial"/>
                <w:sz w:val="18"/>
                <w:szCs w:val="18"/>
                <w:color w:val="auto"/>
                <w:w w:val="92"/>
              </w:rPr>
              <w:t>(28,559)</w:t>
            </w:r>
          </w:p>
        </w:tc>
        <w:tc>
          <w:tcPr>
            <w:tcW w:w="0" w:type="dxa"/>
            <w:vAlign w:val="bottom"/>
          </w:tcPr>
          <w:p>
            <w:pPr>
              <w:spacing w:after="0"/>
              <w:rPr>
                <w:sz w:val="1"/>
                <w:szCs w:val="1"/>
                <w:color w:val="auto"/>
              </w:rPr>
            </w:pPr>
          </w:p>
        </w:tc>
      </w:tr>
      <w:tr>
        <w:trPr>
          <w:trHeight w:val="23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 basis points</w:t>
            </w: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-10.7%</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(138,748)</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-6.1%</w:t>
            </w:r>
          </w:p>
        </w:tc>
        <w:tc>
          <w:tcPr>
            <w:tcW w:w="1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(14,829)</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+100 basis points</w:t>
            </w: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93"/>
              </w:rPr>
              <w:t>-3.6%</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(46,292)</w:t>
            </w: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-2.3%</w:t>
            </w:r>
          </w:p>
        </w:tc>
        <w:tc>
          <w:tcPr>
            <w:tcW w:w="1900" w:type="dxa"/>
            <w:vAlign w:val="bottom"/>
          </w:tcPr>
          <w:p>
            <w:pPr>
              <w:jc w:val="center"/>
              <w:ind w:left="50"/>
              <w:spacing w:after="0"/>
              <w:rPr>
                <w:sz w:val="20"/>
                <w:szCs w:val="20"/>
                <w:color w:val="auto"/>
              </w:rPr>
            </w:pPr>
            <w:r>
              <w:rPr>
                <w:rFonts w:ascii="Arial" w:cs="Arial" w:eastAsia="Arial" w:hAnsi="Arial"/>
                <w:sz w:val="18"/>
                <w:szCs w:val="18"/>
                <w:color w:val="auto"/>
                <w:w w:val="91"/>
              </w:rPr>
              <w:t>(5,644)</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 basis points</w:t>
            </w: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-3.4%</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(43,841)</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-0.9%</w:t>
            </w:r>
          </w:p>
        </w:tc>
        <w:tc>
          <w:tcPr>
            <w:tcW w:w="19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(2,259)</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-200 basis points</w:t>
            </w: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91"/>
              </w:rPr>
              <w:t>-11.8%</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(153,749)</w:t>
            </w: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-1.6%</w:t>
            </w:r>
          </w:p>
        </w:tc>
        <w:tc>
          <w:tcPr>
            <w:tcW w:w="1900" w:type="dxa"/>
            <w:vAlign w:val="bottom"/>
          </w:tcPr>
          <w:p>
            <w:pPr>
              <w:jc w:val="center"/>
              <w:ind w:left="50"/>
              <w:spacing w:after="0"/>
              <w:rPr>
                <w:sz w:val="20"/>
                <w:szCs w:val="20"/>
                <w:color w:val="auto"/>
              </w:rPr>
            </w:pPr>
            <w:r>
              <w:rPr>
                <w:rFonts w:ascii="Arial" w:cs="Arial" w:eastAsia="Arial" w:hAnsi="Arial"/>
                <w:sz w:val="18"/>
                <w:szCs w:val="18"/>
                <w:color w:val="auto"/>
                <w:w w:val="91"/>
              </w:rPr>
              <w:t>(3,953)</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Liquidity refers to our ability to maintain cash flow that is adequate to fund our operations, support asset growth, maintain reserve requirements and meet present and future obligations of deposit withdrawals, lending obligations and other contractual obligations through either the sale or maturity of existing assets or by obtaining additional funding through liability management. Our liquidity risk management policy provides the framework that we use to maintain adequate liquidity and sources of available liquidity at levels that enable us to meet all reasonably foreseeable short-term, long-term and strategic liquidity demands. The Asset and Liability Management Committee is responsible for oversight of liquidity risk management activities in accordance with the provisions of our liquidity risk policy and applicable bank regulatory capital and liquidity laws and regulations. Our liquidity risk management process includes (i) ongoing analysis and monitoring of our funding requirements under various balance sheet and economic scenarios, (ii) review and monitoring of lenders, depositors, brokers and other liability holders to ensure appropriate diversification of funding sources and (iii) liquidity contingency planning to address liquidity needs in the event of unforeseen market disruption impacting a wide range of variables. We continuously monitor our liquidity position in order for our assets and liabilities to be managed in a manner that will meet our immediate and long-term funding requirements. We manage our liquidity position to meet the daily cash flow needs of customers, while maintaining an appropriate balance between assets and liabilities to meet the return on investment objectives of our stockholders. We also monitor our liquidity requirements in light of interest rate trends, changes in the economy, and the scheduled maturity and interest rate sensitivity of our securities and loan portfolios and deposits. Liquidity management is made more complicated because different balance sheet components are subject to varying degrees of management control. For example, the timing of maturities of our investment portfolio is fairly predictable and subject to a high degree of control when we make investment decisions. Net deposit inflows and outflows, however, are far less predictable and are not subject to the same degree of certainty.</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assessing liquidity risk on a consolidated basis, we monitor the parent company’s liquidity. The parent company’s routine funding requirements consist primarily of operating expenses, dividends paid to shareholders, debt service, repurchases of common stock and funds used for acquisitions. The parent company obtains funding to meet its obligations from dividends collected from its subsidiaries and the issuance of debt and capital securities. Dividend payments to the parent company by its subsidiary bank are subject to regulatory review and statutory limitations and, in some instances, regulatory approval. The Company maintains sufficient funding to meet expected capital and debt service obligations for 24 months without the support of dividends from subsidiaries and assuming access to the wholesale markets is maintained. The Company maintains sufficient liquidity to meet its capital and debt service obligations for 12 months under adverse conditions without the support of dividends from subsidiaries or access to the wholesale markets.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liquidity position is supported by management of our liquid assets and liabilities and access to alternative sources of funds. Our short-term and long-term liquidity requirements are primarily to fund on-going operations, including payment of interest on deposits and debt, extensions of credit to borrowers and capital expenditures. These liquidity requirements are met primarily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2" w:name="page73"/>
    <w:bookmarkEnd w:id="72"/>
    <w:p>
      <w:pPr>
        <w:jc w:val="both"/>
        <w:spacing w:after="0" w:line="291" w:lineRule="auto"/>
        <w:rPr>
          <w:sz w:val="20"/>
          <w:szCs w:val="20"/>
          <w:color w:val="auto"/>
        </w:rPr>
      </w:pPr>
      <w:r>
        <w:rPr>
          <w:rFonts w:ascii="Arial" w:cs="Arial" w:eastAsia="Arial" w:hAnsi="Arial"/>
          <w:sz w:val="16"/>
          <w:szCs w:val="16"/>
          <w:color w:val="auto"/>
        </w:rPr>
        <w:t>through our deposits, FHLBNY advances and other borrowings and the principal and interest payments we receive on loans and investment securities. Cash, interest-bearing deposits in third-party banks, securities available for sale and maturing or prepaying balances in our investment and loan portfolios are our most liquid assets. Other sources of liquidity that are available to us include the sale of loans we hold for investment, the ability to acquire additional national market non-core deposits, borrowings through the Federal Reserve’s discount window, federal fund purchases and the issuance of debt or equity securities. In addition, following the failures of SIVB and Signature Bank, the Federal Reserve created a new Bank Term Funding Program ("BTFP") as an additional source of liquidity against high-quality securities, offering loans of up to one year to eligible institutions pledging qualifying assets as collateral. We believe that the sources of available liquidity are adequate to meet our current and reasonably foreseeable future liquidity needs.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2023, our cash and equivalents, which consist of cash and amounts due from banks and interest-bearing deposits in other financial institutions, amounted to $65.7 million, or 0.8% of total assets, compared to $63.5 million, or 0.8% of total assets at December 31, 2022. The $2.2 million, or 3.42%, increase is due to strategic investment securities sales. Our available for sale securities at June 30, 2023 were $1.58 billion, or 20.3% of total assets, compared to $1.81 billion, or 23.1% of total assets at December 31, 2022. Investment securities with an aggregate fair value of $118.3 million at June 30, 2023 were pledged to secure public deposits and repurchase agreements.</w:t>
      </w:r>
    </w:p>
    <w:p>
      <w:pPr>
        <w:spacing w:after="0" w:line="1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liability portion of the balance sheet serves as our primary source of liquidity. Customer deposits have historically provided a sizeable source of relatively stable and low-cost funds. We are also a member of the FHLBNY, from which we can borrow for leverage or liquidity purposes. The FHLBNY requires that securities and qualifying loans be pledged to secure any advances. At June 30, 2023, we had no advances from the FHLBNY and a remaining credit availability of $1.99 billion. In addition, we maintain borrowing capacity of approximately $360.7 million with the Federal Reserve’s discount window or BTFP that is secured by certain securities from our portfolio which are not pledged for other purposes. Our cash and borrowing capacity totaled $2.6 billion of immediately available funds, in addition to unpledged securities with two-day availability of $758.3 million for total liquidity within two-days of $3.3 billion, which provided coverage for 85% of total uninsured deposits.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outstanding balance related to borrowings from the BTFP at June 30, 2023 was $230.0 million, and is recorded in Other borrowings on the consolidated statements of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Total stockholders’ equity at June 30, 2023 was $528.6 million, compared to $509.0 million at December 31, 2022, an increase of $19.7 million. The increase was primarily driven by $43.0 million of net income and a $3.5 million improvement in accumulated other comprehensive loss due to the tax effected mark-to-market on our securities portfolio, offset by $6.2 million of dividends, $4.6 million in stock repurchases, and a $17.8 million tax effected charge to retained earnings related to the adoption of the CECL standard. We did not elect to utilize the optional three-year phase-in period for the Day 1 adverse regulatory capital effects upon adopting the CECL standard.</w:t>
      </w:r>
    </w:p>
    <w:p>
      <w:pPr>
        <w:spacing w:after="0" w:line="18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5, 2021, we filed a shelf registration statement with the SEC under which we may offer for sale, from time to time, either separately or together in any combination, equity, debt or other securities described in the shelf registration statement. The registration statement expires on October 5, 2024.</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various regulatory capital requirements administered by federal banking regulators. Failure to meet minimum capital requirements can initiate certain mandatory and possibly additional discretionary actions by federal banking regulators that, if undertaken, could have a direct material effect on our financial statements.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Regulatory capital rules adopted in July 2013 and fully phased in as of January 1, 2019, which are referred to as the Basel III rules, impose minimum capital requirements for bank holding companies and banks. The Basel III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is equal to 2.5% of risk-weighted assets.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The following table shows the regulatory capital ratios for the Bank and the Company at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vMerge w:val="restart"/>
          </w:tcPr>
          <w:p>
            <w:pPr>
              <w:ind w:left="700"/>
              <w:spacing w:after="0"/>
              <w:rPr>
                <w:sz w:val="20"/>
                <w:szCs w:val="20"/>
                <w:color w:val="auto"/>
              </w:rPr>
            </w:pPr>
            <w:r>
              <w:rPr>
                <w:rFonts w:ascii="Arial" w:cs="Arial" w:eastAsia="Arial" w:hAnsi="Arial"/>
                <w:sz w:val="18"/>
                <w:szCs w:val="18"/>
                <w:b w:val="1"/>
                <w:bCs w:val="1"/>
                <w:color w:val="auto"/>
                <w:w w:val="98"/>
              </w:rPr>
              <w:t>Actual</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For Capital</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To Be Considered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vMerge w:val="continue"/>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ind w:right="190"/>
              <w:spacing w:after="0" w:line="243" w:lineRule="exact"/>
              <w:rPr>
                <w:sz w:val="20"/>
                <w:szCs w:val="20"/>
                <w:color w:val="auto"/>
              </w:rPr>
            </w:pPr>
            <w:r>
              <w:rPr>
                <w:rFonts w:ascii="Arial" w:cs="Arial" w:eastAsia="Arial" w:hAnsi="Arial"/>
                <w:sz w:val="18"/>
                <w:szCs w:val="18"/>
                <w:b w:val="1"/>
                <w:bCs w:val="1"/>
                <w:color w:val="auto"/>
                <w:w w:val="91"/>
              </w:rPr>
              <w:t>Adequacy Purposes</w:t>
            </w:r>
            <w:r>
              <w:rPr>
                <w:rFonts w:ascii="Arial" w:cs="Arial" w:eastAsia="Arial" w:hAnsi="Arial"/>
                <w:sz w:val="23"/>
                <w:szCs w:val="23"/>
                <w:b w:val="1"/>
                <w:bCs w:val="1"/>
                <w:color w:val="auto"/>
                <w:w w:val="91"/>
                <w:vertAlign w:val="superscript"/>
              </w:rPr>
              <w:t>(1)</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Well 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9"/>
                <w:szCs w:val="19"/>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Ratio</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Ratio</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8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June 30, 2023</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rPr>
              <w:t>Total capital to risk weighted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750,668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15.26 %</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393,564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295,173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rPr>
              <w:t>Tier 1 capital to average assets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615,262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7.78 %</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316,365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4.00 %</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Common equity tier 1 to risk weighted assets</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12.51 %</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221,380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Bank:</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15.17 %</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393,395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491,744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Tier I capital to risk weighted assets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684,298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13.92 %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295,046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393,395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Tier I capital to average assets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316,374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Common equity tier 1 to risk weighted assets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684,298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13.92 %</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221,285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4.50 %</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319,634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December 31, 2022</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rPr>
              <w:t>Total capital to risk weighted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721,324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14.87 %</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387,957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8.00 %</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Tier 1 capital to risk weighted assets</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12.31 %</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290,967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rPr>
              <w:t>Tier 1 capital to average assets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597,022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7.52 %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317,738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Common equity tier 1 to risk weighted assets</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12.31 %</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Bank:</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14.75 %</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485,134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rPr>
              <w:t>Tier 1 capital to risk weighted assets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668,864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13.79 %</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291,080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6.00 %</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388,107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Tier 1 capital to average assets</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8.44 %</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396,389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rPr>
              <w:t>Common equity tier 1 to risk weighted assets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668,864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13.79 %</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218,310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4.50 %</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315,337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(1) Amounts are shown exclusive of the capital conservation buffer of 2.50%.</w:t>
      </w:r>
    </w:p>
    <w:p>
      <w:pPr>
        <w:spacing w:after="0" w:line="1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As of June 30, 2023, the Bank was categorized as “well capitalized” under the prompt corrective action measures and met the capital conservation buffer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entered into contractual obligations in the normal course of business that involve elements of credit risk, interest rate risk and liquidity risk. The following table summarizes these relations as of June 30,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June 30, 2023</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8"/>
              </w:rPr>
              <w:t>More than 5</w:t>
            </w:r>
          </w:p>
        </w:tc>
        <w:tc>
          <w:tcPr>
            <w:tcW w:w="0" w:type="dxa"/>
            <w:vAlign w:val="bottom"/>
          </w:tcPr>
          <w:p>
            <w:pPr>
              <w:spacing w:after="0"/>
              <w:rPr>
                <w:sz w:val="1"/>
                <w:szCs w:val="1"/>
                <w:color w:val="auto"/>
              </w:rPr>
            </w:pPr>
          </w:p>
        </w:tc>
      </w:tr>
      <w:tr>
        <w:trPr>
          <w:trHeight w:val="40"/>
        </w:trPr>
        <w:tc>
          <w:tcPr>
            <w:tcW w:w="25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3"/>
                <w:szCs w:val="3"/>
                <w:color w:val="auto"/>
              </w:rPr>
            </w:pPr>
          </w:p>
        </w:tc>
        <w:tc>
          <w:tcPr>
            <w:tcW w:w="11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3"/>
                <w:szCs w:val="3"/>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Less than 1 year</w:t>
            </w: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1-3 years</w:t>
            </w: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3-5 years</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58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36"/>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Subordinated Debt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73,737</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73,737</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i w:val="1"/>
                <w:iCs w:val="1"/>
                <w:color w:val="auto"/>
              </w:rPr>
              <w:t>Operating Leases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Purchase Obligations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Certificates of Deposit</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629,816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450,989</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124,322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25,759</w:t>
            </w:r>
          </w:p>
        </w:tc>
        <w:tc>
          <w:tcPr>
            <w:tcW w:w="0" w:type="dxa"/>
            <w:vAlign w:val="bottom"/>
          </w:tcPr>
          <w:p>
            <w:pPr>
              <w:spacing w:after="0"/>
              <w:rPr>
                <w:sz w:val="1"/>
                <w:szCs w:val="1"/>
                <w:color w:val="auto"/>
              </w:rPr>
            </w:pPr>
          </w:p>
        </w:tc>
      </w:tr>
      <w:tr>
        <w:trPr>
          <w:trHeight w:val="254"/>
        </w:trPr>
        <w:tc>
          <w:tcPr>
            <w:tcW w:w="2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104,696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Investment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party to agreements with Pace Funding Group LLC, which operates Home Run Financing, for the purchase of PACE, assessment securities until December 2023. As of June 30, 2023, we had purchased $599.3 million of these obligations and had an estimated remaining commitment of $132.4 million. The PACE assessments have equal-lien priority with property taxes and generally rank senior to first lien mortgages. The PACE assessments held in the Company's available for sale and held-to-maturity investment portfolios at June 30, 2023 were $22.5 million and $1.04 billion, respectively.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5" w:name="page76"/>
    <w:bookmarkEnd w:id="75"/>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Material changes in our market risk as of June 30, 2023 from that presented in the 2022 Annual Report are described in Part II, Item 1A of this Form 10-Q below. Our interest rate sensitivity position at June 30, 2023 is set forth in the table labeled “Evaluation of Interest Rate Risk” in Management’s Discussion and Analysis of Financial Condition and Results of Operation of this Quarterly Report on Form 10-Q and incorporated herein by this reference.</w:t>
      </w:r>
    </w:p>
    <w:p>
      <w:pPr>
        <w:spacing w:after="0" w:line="3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have evaluated the effectiveness of our disclosure controls and procedures (as defined in Exchange Act Rule 13a-15(e), as of June 30, 2023. Based on such evaluations, our principal executive officer and principal financial officer concluded that, as of such date, our disclosure controls and procedures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was no change in our internal control over financial reporting (as such term is defined in Exchange Act Rule 13a-15(f)) that occurred during the quarter ended June 30, 2023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certain pending and threatened legal proceedings that arise out of the ordinary course of business. Additionally, we, like all banking organizations, are subject to regulatory examinations and investigations. Based upon management’s current knowledge, following consultation with legal counsel, in the opinion of management, there is no pending or threatened legal matter that would result in a material adverse effect on our consolidated financial condition or results of operation, either individually or in the aggregate.</w:t>
      </w: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in shares of our common stock involves certain risks, including those identified and described in Item 1A. of our Annual Report on Form 10-K for the fiscal year ended December 31, 2022, as filed with the SEC on March 9, 2023, as well as cautionary statements contained in this report, including those under the caption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risks and matters described elsewhere in this report and in our other filings with the SEC.</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Material changes to the risk factors previously disclosed in our Annual Report on Form 10-K for the fiscal year ended December 31, 2022 are listed below: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stress and volatility in the banking sector related to recent bank failures.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March 10, 2023 failure of Santa Clara, California-based Silicon Valley Bank, and subsequent bank failures in 2023, have generated concerns regarding the overall health and liquidity of the banking sector. The Board of Governors of the Federal Reserve System, Department of Treasury and the FDIC issued a joint statement concerning actions they had taken in response to the bank failures. The Federal Reserve Board announced that it would make available additional funding to eligible depository institutions through the creation of a new Bank Term Funding Program. Despite these actions, concern about the banking sector could continue into the future, which could lead to difficulties in attracting and maintaining deposits and customers. In addition, the FDIC is likely to increase the costs of insurance assessments and impose special assessments on some or all banks in order to replenish the Deposit Insurance Fund, the amounts of which are outside of our control. Any of these events could materially and adversely affect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see increased credit risk due to recent bank failures.</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net income for the first quarter of 2023 reflected a $1.2 million impairment charge to provision expense on a SIVB Corporate bond and a $0.6 million loss related to the sale of a portion of the SIVB Corporate bond. Because the financial system contains many interdependencies, the failures of additional banks and financial institutions that are counterparties to commercial agreements with us could lead to additional credit losses, threaten our investments, and adversely affect our ability to meet our own contractual obligations, originate new loans, invest in securities, or fulfill obligations to customers and depositors. If any of our customers are unable to access deposits or lending arrangements with other financial institutions, they could experience a downgrade in their credit quality or lose their ability to repay their obligations to us. These negative events may cause us to incur losses and may adversely affect our capital, liquidity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liquidity risk.</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require liquidity to meet our deposit and debt obligations as they come due. Our access to funding sources in amounts adequate to finance our activities or on terms that are acceptable to us could be impaired by factors that affect us specifically or the financial services industry or economy generally. Factors that could detrimentally impact our access to liquidity sources include a downturn in the geographic markets in which our loans are concentrated, difficult credit markets, adverse regulatory or judicial actions against labor unions, political organizations or not-for profits, adverse regulatory actions against us, declines in the value of our investments, and ongoing instability and concerns in the banking sector following recent high-profile bank failures.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Liquidity constraints may require that we sell investment securities at a loss, negatively impacting our net income, earnings, and capital. As of June 30, 2023, our net unrealized losses on available for sale securities totaled $128.1 million, and our net unrecognized losses on held-to-maturity securities totaled $178.3 million. Our access to deposits may also be affected by the liquidity needs of our depositors, particularly in an inflationary environment where they may be compelled to withdraw deposits in order to cover rising expenses. As a part of our liquidity management, we must ensure we can respond effectively to potential volatility in our customers’ deposit balances. For instance, our political campaigns, PACs, and state and national party committee clients totaled $835.8 million in deposits as of June 30, 2023 and may increase or decrease their deposit balances significantly as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7" w:name="page78"/>
    <w:bookmarkEnd w:id="77"/>
    <w:p>
      <w:pPr>
        <w:jc w:val="both"/>
        <w:spacing w:after="0" w:line="239" w:lineRule="auto"/>
        <w:rPr>
          <w:sz w:val="20"/>
          <w:szCs w:val="20"/>
          <w:color w:val="auto"/>
        </w:rPr>
      </w:pPr>
      <w:r>
        <w:rPr>
          <w:rFonts w:ascii="Arial" w:cs="Arial" w:eastAsia="Arial" w:hAnsi="Arial"/>
          <w:sz w:val="18"/>
          <w:szCs w:val="18"/>
          <w:color w:val="auto"/>
        </w:rPr>
        <w:t>we approach an election campaign, resulting in short-term volatility in their deposit balances held with us through election cycles. Although we have been able to replace maturing or withdrawn deposits and advances historically as necessary, we might not be able to replace such funds in the future, especially if a large number of our depositors or those depositors with a high concentration of deposits sought to withdraw their accounts. We could encounter difficulty meeting a significant deposit outflow which could negatively impact our profitability or reputation. Any long-term decline in deposit funding would adversely affect our liquidity. While we believe our funding sources are adequate to meet any significant unanticipated deposit withdrawal, we may not be able to manage the risk of deposit volatility effectively. A failure to maintain adequate liquidity could materially and adversely affect our business, results of operations or financial condition.</w:t>
      </w:r>
    </w:p>
    <w:p>
      <w:pPr>
        <w:spacing w:after="0" w:line="204"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The recent bank failures caused substantial market disruption that has not yet stabilized, leading to ongoing concerns about the liquidity of the financial services industry. Ongoing destabilization could exacerbate deposit outflows due to concerns that deposits held at the Bank exceed the amount of insurance provided by the FDIC, which provides basic deposit coverage with limits up to $250,000 per customer. In particular, continuing negative media attention and the rapid spread of rumors, concerns and misinformation on social media could cause panic among investors, depositors, customers and the general public. Deposit outflows could increase if customers with uninsured deposits look for alternative placements for their funds to weather banking sector volatility and instability. Our total estimated uninsured deposits at June 30, 2023 was $3.9 billion. Our cash and borrowing capacity totaled $2.6 billion of immediately available funds, in addition to unpledged securities with two-day availability of $758.3 million for total liquidity within two-days of</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$3.3 billion, which provided coverage for 85% of total uninsured deposits. An increase in deposit outflows could require us to seek alternate sources of liquidity to fund our operations and meet withdrawal demands. These alternate sources of liquidity could include higher-cost borrowings (as a result of competition for liquidity and rising interest rates), which could negatively affect our financial performance. Regulators could impose new requirements on banks, which could limit future growth. These changes may be more difficult or expensive than we anticipate.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our common stock could face volatility due to banking sector uncertainty.</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recent bank failures have negatively impacted the price of securities issued by financial institutions, which underscores the sensitivity of bank holding company public trading prices to generalized concerns about the health of the banking industry as a whole, regardless of the health of a particular institution. Ongoing stress in the banking sector could adversely impact the market price of our common stock and our business, financial condition and results of operations. We cannot predict if investors will find our common stock less attractive as a result of these market stresses. If some investors find our common stock less attractive as a result, there may be a less active trading market for our common stock and our stock price may be more volatile.</w:t>
      </w:r>
    </w:p>
    <w:p>
      <w:pPr>
        <w:spacing w:after="0" w:line="17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Fiscal challenges facing the U.S. government could negatively impact the value of investments in GSEs and the financial markets, which in turn could have an adverse effect on our financial position or results of operations.</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Fiscal challenges facing the U.S. government, such as the recent downgrade of the sovereign credit ratings of the U.S. by Fitch Ratings, could have an adverse impact on value of investments in GSEs and on the financial markets, interest rates and economic conditions in the U.S. and worldwide. Federal budget deficit concerns and the potential for political conflict over legislation to fund U.S. government operations and raise the U.S. government's debt limit may increase the possibility of a default by the U.S. government on its debt obligations, additional related credit-rating downgrades, or an economic recession in the U.S. A significant portion of our securities portfolio is invested in GSE securities. As a result of uncertain domestic political conditions, including potential future federal government shutdowns or the possibility of the federal government defaulting on its obligations for a period of time, investments in financial instruments issued or guaranteed by the federal government pose liquidity and credit risks.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debt default or further downgrades to the U.S. government’s sovereign credit rating or its perceived creditworthiness could also adversely affect the ability of the U.S. government to support the financial stability of Fannie Mae, Freddie Mac and the FHLBNY, with which we do business and in whose securities we invest.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information regarding purchases of our common stock during the three months ended June 30, 2023 by or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or any “affiliate purchaser” as defined in Rule 10b-18(a)(3) under the Exchange Act: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6"/>
              </w:rPr>
              <w:t>Issuer Purchases of Equity Securities</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1"/>
              </w:rPr>
              <w:t>Total number of</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5"/>
              </w:rPr>
              <w:t>shares purchased as</w:t>
            </w:r>
          </w:p>
        </w:tc>
        <w:tc>
          <w:tcPr>
            <w:tcW w:w="200" w:type="dxa"/>
            <w:vAlign w:val="bottom"/>
          </w:tcPr>
          <w:p>
            <w:pPr>
              <w:spacing w:after="0"/>
              <w:rPr>
                <w:sz w:val="15"/>
                <w:szCs w:val="15"/>
                <w:color w:val="auto"/>
              </w:rPr>
            </w:pPr>
          </w:p>
        </w:tc>
        <w:tc>
          <w:tcPr>
            <w:tcW w:w="2060" w:type="dxa"/>
            <w:vAlign w:val="bottom"/>
            <w:gridSpan w:val="2"/>
          </w:tcPr>
          <w:p>
            <w:pPr>
              <w:ind w:left="40"/>
              <w:spacing w:after="0" w:line="181" w:lineRule="exact"/>
              <w:rPr>
                <w:sz w:val="20"/>
                <w:szCs w:val="20"/>
                <w:color w:val="auto"/>
              </w:rPr>
            </w:pPr>
            <w:r>
              <w:rPr>
                <w:rFonts w:ascii="Arial" w:cs="Arial" w:eastAsia="Arial" w:hAnsi="Arial"/>
                <w:sz w:val="18"/>
                <w:szCs w:val="18"/>
                <w:b w:val="1"/>
                <w:bCs w:val="1"/>
                <w:color w:val="auto"/>
                <w:w w:val="92"/>
              </w:rPr>
              <w:t>Approximate dollar value</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Total number of</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0"/>
              </w:rPr>
              <w:t>Average price</w:t>
            </w:r>
          </w:p>
        </w:tc>
        <w:tc>
          <w:tcPr>
            <w:tcW w:w="22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350"/>
              <w:spacing w:after="0" w:line="176" w:lineRule="exact"/>
              <w:rPr>
                <w:sz w:val="20"/>
                <w:szCs w:val="20"/>
                <w:color w:val="auto"/>
              </w:rPr>
            </w:pPr>
            <w:r>
              <w:rPr>
                <w:rFonts w:ascii="Arial" w:cs="Arial" w:eastAsia="Arial" w:hAnsi="Arial"/>
                <w:sz w:val="18"/>
                <w:szCs w:val="18"/>
                <w:b w:val="1"/>
                <w:bCs w:val="1"/>
                <w:color w:val="auto"/>
              </w:rPr>
              <w:t>that may yet be</w:t>
            </w:r>
          </w:p>
        </w:tc>
        <w:tc>
          <w:tcPr>
            <w:tcW w:w="0" w:type="dxa"/>
            <w:vAlign w:val="bottom"/>
          </w:tcPr>
          <w:p>
            <w:pPr>
              <w:spacing w:after="0"/>
              <w:rPr>
                <w:sz w:val="1"/>
                <w:szCs w:val="1"/>
                <w:color w:val="auto"/>
              </w:rPr>
            </w:pPr>
          </w:p>
        </w:tc>
      </w:tr>
      <w:tr>
        <w:trPr>
          <w:trHeight w:val="181"/>
        </w:trPr>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7"/>
              </w:rPr>
              <w:t>announced plans or</w:t>
            </w:r>
          </w:p>
        </w:tc>
        <w:tc>
          <w:tcPr>
            <w:tcW w:w="200" w:type="dxa"/>
            <w:vAlign w:val="bottom"/>
          </w:tcPr>
          <w:p>
            <w:pPr>
              <w:spacing w:after="0"/>
              <w:rPr>
                <w:sz w:val="15"/>
                <w:szCs w:val="15"/>
                <w:color w:val="auto"/>
              </w:rPr>
            </w:pPr>
          </w:p>
        </w:tc>
        <w:tc>
          <w:tcPr>
            <w:tcW w:w="2060" w:type="dxa"/>
            <w:vAlign w:val="bottom"/>
            <w:gridSpan w:val="2"/>
          </w:tcPr>
          <w:p>
            <w:pPr>
              <w:ind w:left="60"/>
              <w:spacing w:after="0" w:line="181" w:lineRule="exact"/>
              <w:rPr>
                <w:sz w:val="20"/>
                <w:szCs w:val="20"/>
                <w:color w:val="auto"/>
              </w:rPr>
            </w:pPr>
            <w:r>
              <w:rPr>
                <w:rFonts w:ascii="Arial" w:cs="Arial" w:eastAsia="Arial" w:hAnsi="Arial"/>
                <w:sz w:val="18"/>
                <w:szCs w:val="18"/>
                <w:b w:val="1"/>
                <w:bCs w:val="1"/>
                <w:color w:val="auto"/>
                <w:w w:val="89"/>
              </w:rPr>
              <w:t>purchased under plans or</w:t>
            </w:r>
          </w:p>
        </w:tc>
        <w:tc>
          <w:tcPr>
            <w:tcW w:w="0" w:type="dxa"/>
            <w:vAlign w:val="bottom"/>
          </w:tcPr>
          <w:p>
            <w:pPr>
              <w:spacing w:after="0"/>
              <w:rPr>
                <w:sz w:val="1"/>
                <w:szCs w:val="1"/>
                <w:color w:val="auto"/>
              </w:rPr>
            </w:pPr>
          </w:p>
        </w:tc>
      </w:tr>
      <w:tr>
        <w:trPr>
          <w:trHeight w:val="238"/>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 (Settlement Date)</w:t>
            </w:r>
          </w:p>
        </w:tc>
        <w:tc>
          <w:tcPr>
            <w:tcW w:w="1680" w:type="dxa"/>
            <w:vAlign w:val="bottom"/>
          </w:tcPr>
          <w:p>
            <w:pPr>
              <w:jc w:val="right"/>
              <w:ind w:right="10"/>
              <w:spacing w:after="0" w:line="237" w:lineRule="exact"/>
              <w:rPr>
                <w:sz w:val="20"/>
                <w:szCs w:val="20"/>
                <w:color w:val="auto"/>
              </w:rPr>
            </w:pPr>
            <w:r>
              <w:rPr>
                <w:rFonts w:ascii="Arial" w:cs="Arial" w:eastAsia="Arial" w:hAnsi="Arial"/>
                <w:sz w:val="18"/>
                <w:szCs w:val="18"/>
                <w:b w:val="1"/>
                <w:bCs w:val="1"/>
                <w:color w:val="auto"/>
                <w:w w:val="87"/>
              </w:rPr>
              <w:t xml:space="preserve">shares purchased </w:t>
            </w:r>
            <w:r>
              <w:rPr>
                <w:rFonts w:ascii="Arial" w:cs="Arial" w:eastAsia="Arial" w:hAnsi="Arial"/>
                <w:sz w:val="23"/>
                <w:szCs w:val="23"/>
                <w:b w:val="1"/>
                <w:bCs w:val="1"/>
                <w:color w:val="auto"/>
                <w:w w:val="87"/>
                <w:vertAlign w:val="superscript"/>
              </w:rPr>
              <w:t>(1)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paid per share</w:t>
            </w:r>
          </w:p>
        </w:tc>
        <w:tc>
          <w:tcPr>
            <w:tcW w:w="2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470"/>
              <w:spacing w:after="0" w:line="237" w:lineRule="exact"/>
              <w:rPr>
                <w:sz w:val="20"/>
                <w:szCs w:val="20"/>
                <w:color w:val="auto"/>
              </w:rPr>
            </w:pPr>
            <w:r>
              <w:rPr>
                <w:rFonts w:ascii="Arial" w:cs="Arial" w:eastAsia="Arial" w:hAnsi="Arial"/>
                <w:sz w:val="18"/>
                <w:szCs w:val="18"/>
                <w:b w:val="1"/>
                <w:bCs w:val="1"/>
                <w:color w:val="auto"/>
              </w:rPr>
              <w:t xml:space="preserve">programs </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23"/>
        </w:trPr>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through April 30, 2023</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25,672,104</w:t>
            </w:r>
          </w:p>
        </w:tc>
        <w:tc>
          <w:tcPr>
            <w:tcW w:w="0" w:type="dxa"/>
            <w:vAlign w:val="bottom"/>
          </w:tcPr>
          <w:p>
            <w:pPr>
              <w:spacing w:after="0"/>
              <w:rPr>
                <w:sz w:val="1"/>
                <w:szCs w:val="1"/>
                <w:color w:val="auto"/>
              </w:rPr>
            </w:pPr>
          </w:p>
        </w:tc>
      </w:tr>
      <w:tr>
        <w:trPr>
          <w:trHeight w:val="23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May 1 through May 31, 2023</w:t>
            </w:r>
          </w:p>
        </w:tc>
        <w:tc>
          <w:tcPr>
            <w:tcW w:w="1680" w:type="dxa"/>
            <w:vAlign w:val="bottom"/>
          </w:tcPr>
          <w:p>
            <w:pPr>
              <w:jc w:val="right"/>
              <w:spacing w:after="0"/>
              <w:rPr>
                <w:sz w:val="20"/>
                <w:szCs w:val="20"/>
                <w:color w:val="auto"/>
              </w:rPr>
            </w:pPr>
            <w:r>
              <w:rPr>
                <w:rFonts w:ascii="Arial" w:cs="Arial" w:eastAsia="Arial" w:hAnsi="Arial"/>
                <w:sz w:val="18"/>
                <w:szCs w:val="18"/>
                <w:color w:val="auto"/>
              </w:rPr>
              <w:t>69,800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15.03</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69,800</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24,622,884</w:t>
            </w:r>
          </w:p>
        </w:tc>
        <w:tc>
          <w:tcPr>
            <w:tcW w:w="0" w:type="dxa"/>
            <w:vAlign w:val="bottom"/>
          </w:tcPr>
          <w:p>
            <w:pPr>
              <w:spacing w:after="0"/>
              <w:rPr>
                <w:sz w:val="1"/>
                <w:szCs w:val="1"/>
                <w:color w:val="auto"/>
              </w:rPr>
            </w:pPr>
          </w:p>
        </w:tc>
      </w:tr>
      <w:tr>
        <w:trPr>
          <w:trHeight w:val="23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through June 30, 2023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69,162</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23,514,795</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162,354</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w:t>
            </w:r>
          </w:p>
        </w:tc>
        <w:tc>
          <w:tcPr>
            <w:tcW w:w="22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138,962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8"/>
        <w:spacing w:after="0" w:line="293" w:lineRule="auto"/>
        <w:tabs>
          <w:tab w:leader="none" w:pos="218"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shares withheld by the Company to pay the costs associated with tax withholdings related to the exercise of stock options and RSU and PSU vesting. There were 23,392 shares withheld for taxes during the quarter.</w:t>
      </w:r>
    </w:p>
    <w:p>
      <w:pPr>
        <w:spacing w:after="0" w:line="200" w:lineRule="exact"/>
        <w:rPr>
          <w:rFonts w:ascii="Arial" w:cs="Arial" w:eastAsia="Arial" w:hAnsi="Arial"/>
          <w:sz w:val="14"/>
          <w:szCs w:val="14"/>
          <w:color w:val="auto"/>
        </w:rPr>
      </w:pPr>
    </w:p>
    <w:p>
      <w:pPr>
        <w:jc w:val="both"/>
        <w:ind w:firstLine="8"/>
        <w:spacing w:after="0" w:line="267" w:lineRule="auto"/>
        <w:tabs>
          <w:tab w:leader="none" w:pos="207" w:val="left"/>
        </w:tabs>
        <w:numPr>
          <w:ilvl w:val="0"/>
          <w:numId w:val="14"/>
        </w:numPr>
        <w:rPr>
          <w:rFonts w:ascii="Arial" w:cs="Arial" w:eastAsia="Arial" w:hAnsi="Arial"/>
          <w:sz w:val="14"/>
          <w:szCs w:val="14"/>
          <w:color w:val="auto"/>
        </w:rPr>
      </w:pPr>
      <w:r>
        <w:rPr>
          <w:rFonts w:ascii="Arial" w:cs="Arial" w:eastAsia="Arial" w:hAnsi="Arial"/>
          <w:sz w:val="14"/>
          <w:szCs w:val="14"/>
          <w:color w:val="auto"/>
        </w:rPr>
        <w:t>Effective February 25, 2022, the Company’s Board of Directors approved an increase to the share repurchase program authorizing the repurchase of an aggregate amount up to $40 million of the Company's outstanding common stock. The authorization did not require the Company to acquire any specified number of shares and can be suspended or discontinued without prior notice. Under this authorization, $2.2 million of common stock was purchased during the second quarter of 2023.</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9" w:name="page80"/>
    <w:bookmarkEnd w:id="79"/>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Trading Plans of Directors and Executive Officers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2023, none of the Company's directors of executive officers adopted or terminated any contract, instruction, or written plan for the purchase or sale of the Company's securities that was intended to satisfy the affirmative defense conditions of Rule 10b5-1(c) or any "non-Rule 10b5-1 trading arrangement" as defined in item 408(c) of Regulation S-K.</w:t>
      </w:r>
    </w:p>
    <w:p>
      <w:pPr>
        <w:spacing w:after="0" w:line="4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31" w:right="61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auto"/>
        </w:rPr>
        <w:t>Item 6. Exhibits.</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886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51092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09210" cy="8890"/>
                    </a:xfrm>
                    <a:prstGeom prst="rect">
                      <a:avLst/>
                    </a:prstGeom>
                    <a:noFill/>
                  </pic:spPr>
                </pic:pic>
              </a:graphicData>
            </a:graphic>
          </wp:anchor>
        </w:drawing>
      </w:r>
    </w:p>
    <w:p>
      <w:pPr>
        <w:spacing w:after="0" w:line="34" w:lineRule="exact"/>
        <w:rPr>
          <w:sz w:val="20"/>
          <w:szCs w:val="20"/>
          <w:color w:val="auto"/>
        </w:rPr>
      </w:pPr>
    </w:p>
    <w:p>
      <w:pPr>
        <w:jc w:val="both"/>
        <w:ind w:right="539"/>
        <w:spacing w:after="0" w:line="308" w:lineRule="auto"/>
        <w:rPr>
          <w:rFonts w:ascii="Arial" w:cs="Arial" w:eastAsia="Arial" w:hAnsi="Arial"/>
          <w:sz w:val="17"/>
          <w:szCs w:val="17"/>
          <w:u w:val="single" w:color="auto"/>
          <w:color w:val="0000FF"/>
        </w:rPr>
      </w:pPr>
      <w:hyperlink r:id="rId114">
        <w:r>
          <w:rPr>
            <w:rFonts w:ascii="Arial" w:cs="Arial" w:eastAsia="Arial" w:hAnsi="Arial"/>
            <w:sz w:val="17"/>
            <w:szCs w:val="17"/>
            <w:u w:val="single" w:color="auto"/>
            <w:color w:val="0000FF"/>
          </w:rPr>
          <w:t>Certificate of Incorporation of Amalgamated Financial Corp. (incorporated by reference to Exhibit 3.1 to</w:t>
        </w:r>
      </w:hyperlink>
      <w:r>
        <w:rPr>
          <w:rFonts w:ascii="Arial" w:cs="Arial" w:eastAsia="Arial" w:hAnsi="Arial"/>
          <w:sz w:val="17"/>
          <w:szCs w:val="17"/>
          <w:u w:val="single" w:color="auto"/>
          <w:color w:val="0000FF"/>
        </w:rPr>
        <w:t xml:space="preserve"> </w:t>
      </w:r>
      <w:hyperlink r:id="rId114">
        <w:r>
          <w:rPr>
            <w:rFonts w:ascii="Arial" w:cs="Arial" w:eastAsia="Arial" w:hAnsi="Arial"/>
            <w:sz w:val="17"/>
            <w:szCs w:val="17"/>
            <w:u w:val="single" w:color="auto"/>
            <w:color w:val="0000FF"/>
          </w:rPr>
          <w:t>Amalgamated Financial Corp.’s Current Report on Form 8-K filed with the SEC on March 1, 2021).</w:t>
        </w:r>
      </w:hyperlink>
    </w:p>
    <w:p>
      <w:pPr>
        <w:spacing w:after="0" w:line="254" w:lineRule="exact"/>
        <w:rPr>
          <w:sz w:val="20"/>
          <w:szCs w:val="20"/>
          <w:color w:val="auto"/>
        </w:rPr>
      </w:pPr>
    </w:p>
    <w:p>
      <w:pPr>
        <w:jc w:val="both"/>
        <w:ind w:right="539"/>
        <w:spacing w:after="0" w:line="277" w:lineRule="auto"/>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Bylaws of Amalgamated Financial Corp. (incorporated by reference to Exhibit 3.2 to Amalgamated Financial</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Corp.’s Current Report on Form 8-K filed with the SEC on March 1, 2021).</w:t>
        </w:r>
      </w:hyperlink>
    </w:p>
    <w:p>
      <w:pPr>
        <w:spacing w:after="0" w:line="278" w:lineRule="exact"/>
        <w:rPr>
          <w:sz w:val="20"/>
          <w:szCs w:val="20"/>
          <w:color w:val="auto"/>
        </w:rPr>
      </w:pPr>
    </w:p>
    <w:p>
      <w:pPr>
        <w:jc w:val="both"/>
        <w:ind w:right="539"/>
        <w:spacing w:after="0" w:line="259" w:lineRule="auto"/>
        <w:rPr>
          <w:sz w:val="20"/>
          <w:szCs w:val="20"/>
          <w:color w:val="auto"/>
        </w:rPr>
      </w:pPr>
      <w:r>
        <w:rPr>
          <w:rFonts w:ascii="Arial" w:cs="Arial" w:eastAsia="Arial" w:hAnsi="Arial"/>
          <w:sz w:val="18"/>
          <w:szCs w:val="18"/>
          <w:color w:val="auto"/>
        </w:rPr>
        <w:t>Pursuant to Item 601(b)(4)(iii)(A), other instruments that define the rights of holders of the long-term indebtedness of Amalgamated Financial Corp. and its subsidiaries that does not exceed 10% of its consolidated assets have not been filed; however, Amalgamated Financial Corp. agrees to furnish a copy of any such agreement to the SEC upon request.</w:t>
      </w:r>
    </w:p>
    <w:p>
      <w:pPr>
        <w:spacing w:after="0" w:line="295" w:lineRule="exact"/>
        <w:rPr>
          <w:sz w:val="20"/>
          <w:szCs w:val="20"/>
          <w:color w:val="auto"/>
        </w:rPr>
      </w:pPr>
    </w:p>
    <w:p>
      <w:pPr>
        <w:ind w:right="599"/>
        <w:spacing w:after="0" w:line="263"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Amalgamated Financial Corp. Equity Incentive Plan (incorporated by reference to Annex A of the</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Amalgamated Financial Corp.’s Definitive Proxy Statement on form DEF 14A filed with the SEC on April 14,</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2023).</w:t>
        </w:r>
      </w:hyperlink>
    </w:p>
    <w:p>
      <w:pPr>
        <w:spacing w:after="0" w:line="29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Rule 13a-14(a) Certification of the Chief Executive Officer</w:t>
      </w:r>
    </w:p>
    <w:p>
      <w:pPr>
        <w:spacing w:after="0" w:line="27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Rule 13a-14(a) Certification of the Chief Financial Officer</w:t>
      </w:r>
    </w:p>
    <w:p>
      <w:pPr>
        <w:spacing w:after="0" w:line="27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Section 1350 Certifications</w:t>
      </w:r>
    </w:p>
    <w:p>
      <w:pPr>
        <w:spacing w:after="0" w:line="26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Interactive data files for the Quarterly Report on Form 10-Q of Amalgamated Financial Corp. for the quarter</w:t>
      </w:r>
    </w:p>
    <w:p>
      <w:pPr>
        <w:spacing w:after="0" w:line="21" w:lineRule="exact"/>
        <w:rPr>
          <w:rFonts w:ascii="Arial" w:cs="Arial" w:eastAsia="Arial" w:hAnsi="Arial"/>
          <w:sz w:val="18"/>
          <w:szCs w:val="18"/>
          <w:u w:val="single" w:color="auto"/>
          <w:color w:val="0000FF"/>
        </w:rPr>
      </w:pPr>
    </w:p>
    <w:p>
      <w:pPr>
        <w:jc w:val="both"/>
        <w:ind w:right="539"/>
        <w:spacing w:after="0" w:line="234" w:lineRule="auto"/>
        <w:rPr>
          <w:sz w:val="20"/>
          <w:szCs w:val="20"/>
          <w:color w:val="auto"/>
        </w:rPr>
      </w:pPr>
      <w:r>
        <w:rPr>
          <w:rFonts w:ascii="Arial" w:cs="Arial" w:eastAsia="Arial" w:hAnsi="Arial"/>
          <w:sz w:val="16"/>
          <w:szCs w:val="16"/>
          <w:color w:val="auto"/>
        </w:rPr>
        <w:t>ended June 30, 2023, formatted in iXBRL (Inline eXtensible Business Reporting Language): (i) Consolidated Statements of Financial Condition at June 30, 2023 and December 31, 2022, (ii) Consolidated Statements of Income for the quarters ended June 30, 2023 and 2022, (iii) Consolidated Statements of Comprehensive</w:t>
      </w:r>
    </w:p>
    <w:p>
      <w:pPr>
        <w:spacing w:after="0" w:line="2" w:lineRule="exact"/>
        <w:rPr>
          <w:rFonts w:ascii="Arial" w:cs="Arial" w:eastAsia="Arial" w:hAnsi="Arial"/>
          <w:sz w:val="18"/>
          <w:szCs w:val="18"/>
          <w:u w:val="single" w:color="auto"/>
          <w:color w:val="0000FF"/>
        </w:rPr>
      </w:pPr>
    </w:p>
    <w:p>
      <w:pPr>
        <w:jc w:val="both"/>
        <w:ind w:right="539"/>
        <w:spacing w:after="0" w:line="234" w:lineRule="auto"/>
        <w:rPr>
          <w:sz w:val="20"/>
          <w:szCs w:val="20"/>
          <w:color w:val="auto"/>
        </w:rPr>
      </w:pPr>
      <w:r>
        <w:rPr>
          <w:rFonts w:ascii="Arial" w:cs="Arial" w:eastAsia="Arial" w:hAnsi="Arial"/>
          <w:sz w:val="16"/>
          <w:szCs w:val="16"/>
          <w:color w:val="auto"/>
        </w:rPr>
        <w:t>Income for the quarters ended June 30, 2023 and 2022, (iv) Consolidated Statements of Changes in Shareholders’ Equity for the quarters ended June 30, 2023 and 2022, (v) Consolidated Statements of Cash Flows for the quarters ended June 30, 2023 and 2022 and (vi) Notes to Consolidated Financial Statements</w:t>
      </w:r>
    </w:p>
    <w:p>
      <w:pPr>
        <w:spacing w:after="0" w:line="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(unaudited).</w:t>
      </w:r>
    </w:p>
    <w:p>
      <w:pPr>
        <w:spacing w:after="0" w:line="223" w:lineRule="exact"/>
        <w:rPr>
          <w:rFonts w:ascii="Arial" w:cs="Arial" w:eastAsia="Arial" w:hAnsi="Arial"/>
          <w:sz w:val="18"/>
          <w:szCs w:val="18"/>
          <w:u w:val="single" w:color="auto"/>
          <w:color w:val="0000FF"/>
        </w:rPr>
      </w:pPr>
    </w:p>
    <w:p>
      <w:pPr>
        <w:jc w:val="both"/>
        <w:ind w:right="539"/>
        <w:spacing w:after="0" w:line="235" w:lineRule="auto"/>
        <w:rPr>
          <w:sz w:val="20"/>
          <w:szCs w:val="20"/>
          <w:color w:val="auto"/>
        </w:rPr>
      </w:pPr>
      <w:r>
        <w:rPr>
          <w:rFonts w:ascii="Arial" w:cs="Arial" w:eastAsia="Arial" w:hAnsi="Arial"/>
          <w:sz w:val="18"/>
          <w:szCs w:val="18"/>
          <w:color w:val="auto"/>
        </w:rPr>
        <w:t>The cover page of Amalgamated Financial Corp.’s Form 10-Q Report for the quarter ended June 30, 2023, formatted in iXBRL (included with the Exhibit 101 attachments).</w:t>
      </w:r>
    </w:p>
    <w:p>
      <w:pPr>
        <w:spacing w:after="0" w:line="391" w:lineRule="exact"/>
        <w:rPr>
          <w:rFonts w:ascii="Arial" w:cs="Arial" w:eastAsia="Arial" w:hAnsi="Arial"/>
          <w:sz w:val="18"/>
          <w:szCs w:val="18"/>
          <w:u w:val="single" w:color="auto"/>
          <w:color w:val="0000FF"/>
        </w:rPr>
      </w:pPr>
    </w:p>
    <w:p>
      <w:pPr>
        <w:jc w:val="center"/>
        <w:ind w:right="479"/>
        <w:spacing w:after="0"/>
        <w:rPr>
          <w:sz w:val="20"/>
          <w:szCs w:val="20"/>
          <w:color w:val="auto"/>
        </w:rPr>
      </w:pPr>
      <w:r>
        <w:rPr>
          <w:rFonts w:ascii="Arial" w:cs="Arial" w:eastAsia="Arial" w:hAnsi="Arial"/>
          <w:sz w:val="18"/>
          <w:szCs w:val="18"/>
          <w:color w:val="auto"/>
        </w:rPr>
        <w:t>77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-1010285</wp:posOffset>
            </wp:positionH>
            <wp:positionV relativeFrom="paragraph">
              <wp:posOffset>224790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300"/>
            <w:col w:w="8559"/>
          </w:cols>
          <w:pgMar w:left="320" w:top="1134" w:right="1440" w:bottom="1440" w:gutter="0" w:footer="0" w:header="0"/>
        </w:sectPr>
      </w:pPr>
    </w:p>
    <w:bookmarkStart w:id="81" w:name="page82"/>
    <w:bookmarkEnd w:id="81"/>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AMALGAMATED FINANCIAL CORP.</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257"/>
        </w:trPr>
        <w:tc>
          <w:tcPr>
            <w:tcW w:w="1680" w:type="dxa"/>
            <w:vAlign w:val="bottom"/>
          </w:tcPr>
          <w:p>
            <w:pPr>
              <w:spacing w:after="0"/>
              <w:rPr>
                <w:sz w:val="20"/>
                <w:szCs w:val="20"/>
                <w:color w:val="auto"/>
              </w:rPr>
            </w:pPr>
            <w:r>
              <w:rPr>
                <w:rFonts w:ascii="Arial" w:cs="Arial" w:eastAsia="Arial" w:hAnsi="Arial"/>
                <w:sz w:val="18"/>
                <w:szCs w:val="18"/>
                <w:color w:val="auto"/>
              </w:rPr>
              <w:t>August 4, 2023</w:t>
            </w:r>
          </w:p>
        </w:tc>
        <w:tc>
          <w:tcPr>
            <w:tcW w:w="1020" w:type="dxa"/>
            <w:vAlign w:val="bottom"/>
          </w:tcPr>
          <w:p>
            <w:pPr>
              <w:ind w:left="58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Priscilla Sims Brown</w:t>
            </w:r>
          </w:p>
        </w:tc>
      </w:tr>
      <w:tr>
        <w:trPr>
          <w:trHeight w:val="222"/>
        </w:trPr>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Priscilla Sims Brown</w:t>
            </w:r>
          </w:p>
        </w:tc>
      </w:tr>
      <w:tr>
        <w:trPr>
          <w:trHeight w:val="229"/>
        </w:trPr>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513"/>
        </w:trPr>
        <w:tc>
          <w:tcPr>
            <w:tcW w:w="1680" w:type="dxa"/>
            <w:vAlign w:val="bottom"/>
          </w:tcPr>
          <w:p>
            <w:pPr>
              <w:spacing w:after="0"/>
              <w:rPr>
                <w:sz w:val="20"/>
                <w:szCs w:val="20"/>
                <w:color w:val="auto"/>
              </w:rPr>
            </w:pPr>
            <w:r>
              <w:rPr>
                <w:rFonts w:ascii="Arial" w:cs="Arial" w:eastAsia="Arial" w:hAnsi="Arial"/>
                <w:sz w:val="18"/>
                <w:szCs w:val="18"/>
                <w:color w:val="auto"/>
              </w:rPr>
              <w:t>August 4, 2023</w:t>
            </w:r>
          </w:p>
        </w:tc>
        <w:tc>
          <w:tcPr>
            <w:tcW w:w="1020" w:type="dxa"/>
            <w:vAlign w:val="bottom"/>
          </w:tcPr>
          <w:p>
            <w:pPr>
              <w:ind w:left="58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Darby</w:t>
            </w:r>
          </w:p>
        </w:tc>
      </w:tr>
      <w:tr>
        <w:trPr>
          <w:trHeight w:val="222"/>
        </w:trPr>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Jason Darby</w:t>
            </w:r>
          </w:p>
        </w:tc>
      </w:tr>
      <w:tr>
        <w:trPr>
          <w:trHeight w:val="230"/>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1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tc>
      </w:tr>
      <w:tr>
        <w:trPr>
          <w:trHeight w:val="499"/>
        </w:trPr>
        <w:tc>
          <w:tcPr>
            <w:tcW w:w="1680" w:type="dxa"/>
            <w:vAlign w:val="bottom"/>
          </w:tcPr>
          <w:p>
            <w:pPr>
              <w:spacing w:after="0"/>
              <w:rPr>
                <w:sz w:val="20"/>
                <w:szCs w:val="20"/>
                <w:color w:val="auto"/>
              </w:rPr>
            </w:pPr>
            <w:r>
              <w:rPr>
                <w:rFonts w:ascii="Arial" w:cs="Arial" w:eastAsia="Arial" w:hAnsi="Arial"/>
                <w:sz w:val="18"/>
                <w:szCs w:val="18"/>
                <w:color w:val="auto"/>
              </w:rPr>
              <w:t>August 4, 2023</w:t>
            </w:r>
          </w:p>
        </w:tc>
        <w:tc>
          <w:tcPr>
            <w:tcW w:w="1020" w:type="dxa"/>
            <w:vAlign w:val="bottom"/>
          </w:tcPr>
          <w:p>
            <w:pPr>
              <w:ind w:left="58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Leslie Veluswamy</w:t>
            </w:r>
          </w:p>
        </w:tc>
      </w:tr>
      <w:tr>
        <w:trPr>
          <w:trHeight w:val="224"/>
        </w:trPr>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Leslie Veluswamy</w:t>
            </w:r>
          </w:p>
        </w:tc>
      </w:tr>
      <w:tr>
        <w:trPr>
          <w:trHeight w:val="241"/>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30"/>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r>
      <w:tr>
        <w:trPr>
          <w:trHeight w:val="661"/>
        </w:trPr>
        <w:tc>
          <w:tcPr>
            <w:tcW w:w="168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4280" w:type="dxa"/>
            <w:vAlign w:val="bottom"/>
          </w:tcPr>
          <w:p>
            <w:pPr>
              <w:spacing w:after="0"/>
              <w:rPr>
                <w:sz w:val="24"/>
                <w:szCs w:val="24"/>
                <w:color w:val="auto"/>
              </w:rPr>
            </w:pPr>
          </w:p>
        </w:tc>
      </w:tr>
    </w:tbl>
    <w:p>
      <w:pPr>
        <w:sectPr>
          <w:pgSz w:w="11900" w:h="16838" w:orient="portrait"/>
          <w:cols w:equalWidth="0" w:num="1">
            <w:col w:w="10920"/>
          </w:cols>
          <w:pgMar w:left="320" w:top="1147" w:right="6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13a-14(a) Certification of the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Priscilla Sims Brown,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Amalgamated Financial Corp.;</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4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280" w:hanging="4"/>
        <w:spacing w:after="0" w:line="263" w:lineRule="auto"/>
        <w:tabs>
          <w:tab w:leader="none" w:pos="13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60" w:hanging="4"/>
        <w:spacing w:after="0" w:line="263" w:lineRule="auto"/>
        <w:tabs>
          <w:tab w:leader="none" w:pos="13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40" w:hanging="4"/>
        <w:spacing w:after="0" w:line="342" w:lineRule="auto"/>
        <w:tabs>
          <w:tab w:leader="none" w:pos="1308"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00" w:hanging="4"/>
        <w:spacing w:after="0" w:line="263" w:lineRule="auto"/>
        <w:tabs>
          <w:tab w:leader="none" w:pos="13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80" w:hanging="4"/>
        <w:spacing w:after="0" w:line="308" w:lineRule="auto"/>
        <w:tabs>
          <w:tab w:leader="none" w:pos="1308"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140" w:hanging="4"/>
        <w:spacing w:after="0" w:line="277" w:lineRule="auto"/>
        <w:tabs>
          <w:tab w:leader="none" w:pos="13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750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Priscilla Sims Brown, President and Chief Executive Officer</w:t>
      </w:r>
    </w:p>
    <w:p>
      <w:pPr>
        <w:sectPr>
          <w:pgSz w:w="11900" w:h="16838" w:orient="portrait"/>
          <w:cols w:equalWidth="0" w:num="1">
            <w:col w:w="11240"/>
          </w:cols>
          <w:pgMar w:left="320" w:top="89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 the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Jason Darby,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Amalgamated Financial Corp.;</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4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280" w:hanging="4"/>
        <w:spacing w:after="0" w:line="263" w:lineRule="auto"/>
        <w:tabs>
          <w:tab w:leader="none" w:pos="13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60" w:hanging="4"/>
        <w:spacing w:after="0" w:line="263" w:lineRule="auto"/>
        <w:tabs>
          <w:tab w:leader="none" w:pos="13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40" w:hanging="4"/>
        <w:spacing w:after="0" w:line="342" w:lineRule="auto"/>
        <w:tabs>
          <w:tab w:leader="none" w:pos="1308"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00" w:hanging="4"/>
        <w:spacing w:after="0" w:line="263" w:lineRule="auto"/>
        <w:tabs>
          <w:tab w:leader="none" w:pos="13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80" w:hanging="4"/>
        <w:spacing w:after="0" w:line="308" w:lineRule="auto"/>
        <w:tabs>
          <w:tab w:leader="none" w:pos="1308"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hanging="4"/>
        <w:spacing w:after="0" w:line="277" w:lineRule="auto"/>
        <w:tabs>
          <w:tab w:leader="none" w:pos="13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36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14605</wp:posOffset>
            </wp:positionV>
            <wp:extent cx="31121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3112135"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Jason Darby, Chief Financial Officer</w:t>
      </w:r>
    </w:p>
    <w:p>
      <w:pPr>
        <w:sectPr>
          <w:pgSz w:w="11900" w:h="16838" w:orient="portrait"/>
          <w:cols w:equalWidth="0" w:num="1">
            <w:col w:w="11240"/>
          </w:cols>
          <w:pgMar w:left="320" w:top="110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connection with the Quarterly Report of Amalgamated Financial Corp. (the “Company”) on Form 10-Q for the period ended June 30, 2023 as filed with the U.S. Securities and Exchange Commission on the date hereof (the “Report”), the undersigned officers each certify, pursuant to 18 U.S.C. Section 1350, as adopted pursuant to Section 906 of the Sarbanes-Oxley Act of 2002 that, to his knowledge:</w:t>
      </w:r>
    </w:p>
    <w:p>
      <w:pPr>
        <w:spacing w:after="0" w:line="18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Priscilla Sims Brown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Priscilla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14605</wp:posOffset>
            </wp:positionV>
            <wp:extent cx="27863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August 4, 2023</w:t>
      </w:r>
    </w:p>
    <w:p>
      <w:pPr>
        <w:spacing w:after="0" w:line="200" w:lineRule="exact"/>
        <w:rPr>
          <w:sz w:val="20"/>
          <w:szCs w:val="20"/>
          <w:color w:val="auto"/>
        </w:rPr>
      </w:pPr>
    </w:p>
    <w:p>
      <w:pPr>
        <w:spacing w:after="0" w:line="3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14605</wp:posOffset>
            </wp:positionV>
            <wp:extent cx="27863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Jason Darby</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August 4, 2023</w:t>
      </w:r>
    </w:p>
    <w:sectPr>
      <w:pgSz w:w="11900" w:h="16838" w:orient="portrait"/>
      <w:cols w:equalWidth="0" w:num="1">
        <w:col w:w="11100"/>
      </w:cols>
      <w:pgMar w:left="320" w:top="89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Roman"/>
      <w:start w:val="3"/>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0"/>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1"/>
    </w:lvl>
  </w:abstractNum>
  <w:abstractNum w:abstractNumId="6">
    <w:nsid w:val="66EF438D"/>
    <w:multiLevelType w:val="hybridMultilevel"/>
    <w:lvl w:ilvl="0">
      <w:lvlJc w:val="left"/>
      <w:lvlText w:val="%1."/>
      <w:numFmt w:val="decimal"/>
      <w:start w:val="13"/>
    </w:lvl>
  </w:abstractNum>
  <w:abstractNum w:abstractNumId="7">
    <w:nsid w:val="140E0F76"/>
    <w:multiLevelType w:val="hybridMultilevel"/>
    <w:lvl w:ilvl="0">
      <w:lvlJc w:val="left"/>
      <w:lvlText w:val="%1."/>
      <w:numFmt w:val="decimal"/>
      <w:start w:val="14"/>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3"/>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14" Type="http://schemas.openxmlformats.org/officeDocument/2006/relationships/hyperlink" Target="https://www.sec.gov/Archives/edgar/data/1823608/000119312521062425/d132716dex31.htm" TargetMode="External"/><Relationship Id="rId115" Type="http://schemas.openxmlformats.org/officeDocument/2006/relationships/hyperlink" Target="https://www.sec.gov/Archives/edgar/data/1823608/000119312521062425/d132716dex32.htm" TargetMode="External"/><Relationship Id="rId116" Type="http://schemas.openxmlformats.org/officeDocument/2006/relationships/hyperlink" Target="https://www.sec.gov/Archives/edgar/data/1823608/000182360823000059/a2022afcprox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2023-08-04T07:41:16Z</dcterms:created>
  <dcterms:modified xsi:type="dcterms:W3CDTF">2023-08-04T07:41:16Z</dcterms:modified>
</cp:coreProperties>
</file>