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color w:val="auto"/>
              </w:rPr>
              <w:t>For the quarterly period ended March 31, 2026</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4, 2026, the registrant had 29,867,347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March 31, 2026 and December 31, 2025</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March 31, 2026 and 2025</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March 31, 2026 and 2025</w:t>
      </w:r>
    </w:p>
    <w:p>
      <w:pPr>
        <w:spacing w:after="0" w:line="6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March 31, 2026 and 2025</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2026 and 2025</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67</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68</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69</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70</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2">
            <w:col w:w="10120" w:space="720"/>
            <w:col w:w="360"/>
          </w:cols>
          <w:pgMar w:left="340" w:top="1440" w:right="359" w:bottom="1440" w:gutter="0" w:footer="0" w:header="0"/>
        </w:sectPr>
      </w:pPr>
    </w:p>
    <w:bookmarkStart w:id="2" w:name="page3"/>
    <w:bookmarkEnd w:id="2"/>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“should,” “would,” “believe,” “contemplate,” “expect,” “estimate,” “continue,” “in the future,” and “intend,”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w:t>
      </w:r>
    </w:p>
    <w:p>
      <w:pPr>
        <w:spacing w:after="0" w:line="108" w:lineRule="exact"/>
        <w:rPr>
          <w:sz w:val="20"/>
          <w:szCs w:val="20"/>
          <w:color w:val="auto"/>
        </w:rPr>
      </w:pPr>
    </w:p>
    <w:p>
      <w:pPr>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core markets, which may have an adverse impact on business, operations and financial performance;</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as well as deterioration in the reputational profile of borrowers, resulting in significant increases in credit losses and provisions for those losses;</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deposits, including an increase in uninsured deposits;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sufficient liquidity to meet deposit and debt obligations as they come due, which may require that the Company sell investment securities at a loss, negatively impacting net income, earnings and capital;</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stock price and the value of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the Company’s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by the current presidential administration of a regulatory reform agenda that is significantly different from that of the prior presidential administration, impacting the rule making, supervision, examination and enforcement of the banking regulation agencies;</w:t>
      </w:r>
    </w:p>
    <w:p>
      <w:pPr>
        <w:ind w:left="660" w:hanging="328"/>
        <w:spacing w:after="0" w:line="250" w:lineRule="auto"/>
        <w:tabs>
          <w:tab w:leader="none" w:pos="6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and other global political factors beyond the Company’s control, including the imposition of tariffs, which raise economic uncertainty, potentially leading to slower growth and a decrease in loan demand;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the Company’s loan portfolio, including any concentration in industries or sectors that may experience unanticipated or anticipated adverse conditions greater than other industries or sectors in the national or local economies in which the Company operates;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the Company makes and policies that the Company implements in establishing the allowance for credit losses;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the Company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results, including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privacy concerns, and exposure from the use of “big data” techniques, machine learning, and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the Company’s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the Company and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the Company operates;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the business and the businesses that the Company finances;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the Company’s shares through the Company’s common stock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https://www.sec.gov.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168,111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286,716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179,728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291,217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1,928,067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1,580,049</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215,198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203,502</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2,143,265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1,783,551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$40 and $41, respectively</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476,950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$709 and $703, respectively</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1,081,119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1,077,065</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1,547,860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1,554,015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fees and costs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5,033,358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4,957,273</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(57,586)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4,965,203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4,899,687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65,128</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108,941</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43,947</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9,170,892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8,869,836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8,178,084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7,949,241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104,155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44,329</w:t>
            </w: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8,363,318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8,075,372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contingencies and off balance sheet risk (see Note 11)</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31,163,813 and 31,045,377 shares issued, respectively, and</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29,856,788 and 29,818,424 shares outstanding, respectively)</w:t>
            </w:r>
          </w:p>
        </w:tc>
        <w:tc>
          <w:tcPr>
            <w:tcW w:w="22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294,464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567,269</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(1,307,025 and 1,226,953 shares, 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(35,163)</w:t>
            </w: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807,574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794,464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9,170,892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8,869,836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960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74"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57,843</w:t>
            </w: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w:t>
            </w:r>
          </w:p>
        </w:tc>
      </w:tr>
      <w:tr>
        <w:trPr>
          <w:trHeight w:val="230"/>
        </w:trPr>
        <w:tc>
          <w:tcPr>
            <w:tcW w:w="8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3"/>
        </w:trPr>
        <w:tc>
          <w:tcPr>
            <w:tcW w:w="8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100,690</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w:t>
            </w:r>
          </w:p>
        </w:tc>
      </w:tr>
      <w:tr>
        <w:trPr>
          <w:trHeight w:val="229"/>
        </w:trPr>
        <w:tc>
          <w:tcPr>
            <w:tcW w:w="8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3"/>
        </w:trPr>
        <w:tc>
          <w:tcPr>
            <w:tcW w:w="8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30,113</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w:t>
            </w:r>
          </w:p>
        </w:tc>
      </w:tr>
      <w:tr>
        <w:trPr>
          <w:trHeight w:val="230"/>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8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69,981</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 and other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loans and changes in fair value on loans held-for-sale,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30"/>
        </w:trPr>
        <w:tc>
          <w:tcPr>
            <w:tcW w:w="8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8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30"/>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8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23"/>
        </w:trPr>
        <w:tc>
          <w:tcPr>
            <w:tcW w:w="80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41,650</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34,737</w:t>
            </w:r>
          </w:p>
        </w:tc>
      </w:tr>
      <w:tr>
        <w:trPr>
          <w:trHeight w:val="230"/>
        </w:trPr>
        <w:tc>
          <w:tcPr>
            <w:tcW w:w="8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r>
      <w:tr>
        <w:trPr>
          <w:trHeight w:val="223"/>
        </w:trPr>
        <w:tc>
          <w:tcPr>
            <w:tcW w:w="8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978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4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 and other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securities: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(losses) gains on securities available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(losses) gains on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derivatives: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(losses) gains on cash flow hedges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 from cash flow hedges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76"/>
        </w:trPr>
        <w:tc>
          <w:tcPr>
            <w:tcW w:w="8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unrealized holding losses on available for sale securities realized in income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related to fair value hedges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r>
      <w:tr>
        <w:trPr>
          <w:trHeight w:val="230"/>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0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5"/>
                <w:szCs w:val="15"/>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200" w:type="dxa"/>
            <w:vAlign w:val="bottom"/>
          </w:tcPr>
          <w:p>
            <w:pPr>
              <w:spacing w:after="0"/>
              <w:rPr>
                <w:sz w:val="15"/>
                <w:szCs w:val="15"/>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0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0"/>
                <w:szCs w:val="2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5"/>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29,818,424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567,269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794,464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declared on common stock, $0.17 per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vesting, net of repurchases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29,856,788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807,574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0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08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080" w:type="dxa"/>
            <w:vAlign w:val="bottom"/>
            <w:gridSpan w:val="2"/>
          </w:tcPr>
          <w:p>
            <w:pPr>
              <w:jc w:val="center"/>
              <w:ind w:right="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6"/>
                <w:szCs w:val="16"/>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08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jc w:val="right"/>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6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30,670,982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288,656</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$480,144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$0.14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net of repurchases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vesting, net of repurchases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30,696,940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288,539</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500,783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735,996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loss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on sale of securities available for sale and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sale of loans and change in fair value on loans held-for-sale,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death benefits of bank-owned life insurance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sales of loans originated as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accrued interest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r>
      <w:tr>
        <w:trPr>
          <w:trHeight w:val="230"/>
        </w:trPr>
        <w:tc>
          <w:tcPr>
            <w:tcW w:w="8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r>
      <w:tr>
        <w:trPr>
          <w:trHeight w:val="223"/>
        </w:trPr>
        <w:tc>
          <w:tcPr>
            <w:tcW w:w="85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sales of loans originated as held for investment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34,844</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(144,007)</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86,048</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31,176</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resell agreements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FHLBNY stock, net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premises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8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231,467</w:t>
            </w: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in other borrowings</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(244,754)</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30"/>
        </w:trPr>
        <w:tc>
          <w:tcPr>
            <w:tcW w:w="8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3"/>
        </w:trPr>
        <w:tc>
          <w:tcPr>
            <w:tcW w:w="85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(22,638)</w:t>
            </w:r>
          </w:p>
        </w:tc>
      </w:tr>
      <w:tr>
        <w:trPr>
          <w:trHeight w:val="228"/>
        </w:trPr>
        <w:tc>
          <w:tcPr>
            <w:tcW w:w="85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495"/>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r>
      <w:tr>
        <w:trPr>
          <w:trHeight w:val="196"/>
        </w:trPr>
        <w:tc>
          <w:tcPr>
            <w:tcW w:w="8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179,728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65,714</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w:t>
            </w:r>
          </w:p>
        </w:tc>
      </w:tr>
      <w:tr>
        <w:trPr>
          <w:trHeight w:val="230"/>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activities:</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 for redemption of bank-owned life insurance included in other assets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transferred to held-for-investment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three months ended March 31, 2026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2025 (the “2025 Annual Report”). A more detailed description of our accounting policies is included in the 2025 Annual Report, which remain significantly unchanged.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Unaccreted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Accumulated</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sale</w:t>
            </w:r>
          </w:p>
        </w:tc>
        <w:tc>
          <w:tcPr>
            <w:tcW w:w="158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transferred to held-</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320" w:type="dxa"/>
            <w:vAlign w:val="bottom"/>
          </w:tcPr>
          <w:p>
            <w:pPr>
              <w:spacing w:after="0"/>
              <w:rPr>
                <w:sz w:val="14"/>
                <w:szCs w:val="14"/>
                <w:color w:val="auto"/>
              </w:rPr>
            </w:pPr>
          </w:p>
        </w:tc>
        <w:tc>
          <w:tcPr>
            <w:tcW w:w="1160" w:type="dxa"/>
            <w:vAlign w:val="bottom"/>
          </w:tcPr>
          <w:p>
            <w:pPr>
              <w:jc w:val="right"/>
              <w:ind w:right="451"/>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benefits plans</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to-maturity</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184"/>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0" w:type="dxa"/>
            <w:vAlign w:val="bottom"/>
          </w:tcPr>
          <w:p>
            <w:pPr>
              <w:spacing w:after="0"/>
              <w:rPr>
                <w:sz w:val="1"/>
                <w:szCs w:val="1"/>
                <w:color w:val="auto"/>
              </w:rPr>
            </w:pPr>
          </w:p>
        </w:tc>
      </w:tr>
      <w:tr>
        <w:trPr>
          <w:trHeight w:val="41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33"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prior service expense included in other expense and in compensation and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 for other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 for other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(losses) gains on available for sale securities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losses realized in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(losses) gains on available for sale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 from cash flow hedges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unrealized holding losses on available for sale securities realized in income related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 fair value hedges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derivatives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derivatives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0" w:type="dxa"/>
            <w:vAlign w:val="bottom"/>
          </w:tcPr>
          <w:p>
            <w:pPr>
              <w:spacing w:after="0"/>
              <w:rPr>
                <w:sz w:val="1"/>
                <w:szCs w:val="1"/>
                <w:color w:val="auto"/>
              </w:rPr>
            </w:pPr>
          </w:p>
        </w:tc>
      </w:tr>
      <w:tr>
        <w:trPr>
          <w:trHeight w:val="21"/>
        </w:trPr>
        <w:tc>
          <w:tcPr>
            <w:tcW w:w="83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March 31, 2026 are as follows:</w:t>
      </w:r>
    </w:p>
    <w:p>
      <w:pPr>
        <w:spacing w:after="0" w:line="1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gridSpan w:val="2"/>
            <w:vMerge w:val="restart"/>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gridSpan w:val="2"/>
            <w:shd w:val="clear" w:color="auto" w:fill="CCEEFF"/>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gridSpan w:val="2"/>
            <w:shd w:val="clear" w:color="auto" w:fill="CCEEFF"/>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certificates &amp;</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663,273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364,281</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Asset-Backed Securities ("ABS")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752,435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92,569</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55,509</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1,967,609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1,928,067</w:t>
            </w:r>
          </w:p>
        </w:tc>
        <w:tc>
          <w:tcPr>
            <w:tcW w:w="0" w:type="dxa"/>
            <w:vAlign w:val="bottom"/>
          </w:tcPr>
          <w:p>
            <w:pPr>
              <w:spacing w:after="0"/>
              <w:rPr>
                <w:sz w:val="1"/>
                <w:szCs w:val="1"/>
                <w:color w:val="auto"/>
              </w:rPr>
            </w:pPr>
          </w:p>
        </w:tc>
      </w:tr>
      <w:tr>
        <w:trPr>
          <w:trHeight w:val="209"/>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2,143,265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gridSpan w:val="2"/>
            <w:shd w:val="clear" w:color="auto" w:fill="CCEEFF"/>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gridSpan w:val="2"/>
            <w:shd w:val="clear" w:color="auto" w:fill="CCEEFF"/>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64,695</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54,809</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435,875</w:t>
            </w:r>
          </w:p>
        </w:tc>
        <w:tc>
          <w:tcPr>
            <w:tcW w:w="0" w:type="dxa"/>
            <w:vAlign w:val="bottom"/>
          </w:tcPr>
          <w:p>
            <w:pPr>
              <w:spacing w:after="0"/>
              <w:rPr>
                <w:sz w:val="1"/>
                <w:szCs w:val="1"/>
                <w:color w:val="auto"/>
              </w:rPr>
            </w:pPr>
          </w:p>
        </w:tc>
      </w:tr>
      <w:tr>
        <w:trPr>
          <w:trHeight w:val="20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302,769</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680,561</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983,330</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1,548,609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1,419,205</w:t>
            </w:r>
          </w:p>
        </w:tc>
        <w:tc>
          <w:tcPr>
            <w:tcW w:w="0" w:type="dxa"/>
            <w:vAlign w:val="bottom"/>
          </w:tcPr>
          <w:p>
            <w:pPr>
              <w:spacing w:after="0"/>
              <w:rPr>
                <w:sz w:val="1"/>
                <w:szCs w:val="1"/>
                <w:color w:val="auto"/>
              </w:rPr>
            </w:pPr>
          </w:p>
        </w:tc>
      </w:tr>
      <w:tr>
        <w:trPr>
          <w:trHeight w:val="217"/>
        </w:trPr>
        <w:tc>
          <w:tcPr>
            <w:tcW w:w="53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available for sale securities with a fair value of $1.50 billion and held-to-maturity securities with a fair value of $406.4 million were pledged. The majority of the securities were pledged to the FHLBNY to secure outstanding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advances, letters of credit and to provide additional borrowing potential. In addition, securities were pledged to provide capacity to borrow from the Federal Reserve Bank and to collateralize municipal deposits.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2025 are as follows:</w:t>
      </w:r>
    </w:p>
    <w:p>
      <w:pPr>
        <w:spacing w:after="0" w:line="14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tcBorders>
              <w:top w:val="single" w:sz="8" w:color="auto"/>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tcBorders>
              <w:top w:val="single" w:sz="8" w:color="auto"/>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580,446</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567,070</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273,232</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629,168</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1,580,049</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1,783,551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gridSpan w:val="2"/>
            <w:shd w:val="clear" w:color="auto" w:fill="CCEEFF"/>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gridSpan w:val="2"/>
            <w:shd w:val="clear" w:color="auto" w:fill="CCEEFF"/>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65,868</w:t>
            </w: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449,414</w:t>
            </w:r>
          </w:p>
        </w:tc>
        <w:tc>
          <w:tcPr>
            <w:tcW w:w="0" w:type="dxa"/>
            <w:vAlign w:val="bottom"/>
          </w:tcPr>
          <w:p>
            <w:pPr>
              <w:spacing w:after="0"/>
              <w:rPr>
                <w:sz w:val="1"/>
                <w:szCs w:val="1"/>
                <w:color w:val="auto"/>
              </w:rPr>
            </w:pPr>
          </w:p>
        </w:tc>
      </w:tr>
      <w:tr>
        <w:trPr>
          <w:trHeight w:val="21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298,870</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750,033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691,688</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990,558</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3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1,554,759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1,439,972</w:t>
            </w:r>
          </w:p>
        </w:tc>
        <w:tc>
          <w:tcPr>
            <w:tcW w:w="0" w:type="dxa"/>
            <w:vAlign w:val="bottom"/>
          </w:tcPr>
          <w:p>
            <w:pPr>
              <w:spacing w:after="0"/>
              <w:rPr>
                <w:sz w:val="1"/>
                <w:szCs w:val="1"/>
                <w:color w:val="auto"/>
              </w:rPr>
            </w:pPr>
          </w:p>
        </w:tc>
      </w:tr>
      <w:tr>
        <w:trPr>
          <w:trHeight w:val="204"/>
        </w:trPr>
        <w:tc>
          <w:tcPr>
            <w:tcW w:w="53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months ended March 31, 2026, 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March 31, 2026.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gridSpan w:val="2"/>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102,015</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908,180</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1,062,636</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1,115,711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1,184,548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61"/>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48"/>
        </w:trPr>
        <w:tc>
          <w:tcPr>
            <w:tcW w:w="43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held-to-maturity securities during the three months ended March 31, 2026 or the three months ended March 31, 2025.</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March 31, 2026 and December 31, 2025,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March 31, 2026 and December 31, 2025,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500" w:type="dxa"/>
            <w:vAlign w:val="bottom"/>
            <w:gridSpan w:val="8"/>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520" w:type="dxa"/>
            <w:vAlign w:val="bottom"/>
            <w:gridSpan w:val="7"/>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shd w:val="clear" w:color="auto" w:fill="CCEEFF"/>
          </w:tcPr>
          <w:p>
            <w:pPr>
              <w:spacing w:after="0"/>
              <w:rPr>
                <w:sz w:val="24"/>
                <w:szCs w:val="24"/>
                <w:color w:val="auto"/>
              </w:rPr>
            </w:pP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333,157</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40" w:type="dxa"/>
            <w:vAlign w:val="bottom"/>
          </w:tcPr>
          <w:p>
            <w:pPr>
              <w:spacing w:after="0"/>
              <w:rPr>
                <w:sz w:val="24"/>
                <w:szCs w:val="24"/>
                <w:color w:val="auto"/>
              </w:rPr>
            </w:pPr>
          </w:p>
        </w:tc>
        <w:tc>
          <w:tcPr>
            <w:tcW w:w="3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8"/>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gridSpan w:val="7"/>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196,550</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355,920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437,542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March 31, 2026,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March 31, 2026,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March 31,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our traditional securities were rated investment grade by at least one nationally recognized statistical rating organization with only $7.0 million rated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March 31, 2026 is primarily due to an increase in interest rates and spreads since the time these investments were acquired.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$32.2 million and $41.6 million at March 31, 2026 and December 31, 2025, respectively, was included in the consolidated balance sheet and excluded from the amortized cost and estimated fair value totals in the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March 31, 2026:</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March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8"/>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1,334,794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1,643,779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r>
      <w:tr>
        <w:trPr>
          <w:trHeight w:val="223"/>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3,366,642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1,237,791</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r>
      <w:tr>
        <w:trPr>
          <w:trHeight w:val="223"/>
        </w:trPr>
        <w:tc>
          <w:tcPr>
            <w:tcW w:w="8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1,566,965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1,590,631</w:t>
            </w:r>
          </w:p>
        </w:tc>
      </w:tr>
      <w:tr>
        <w:trPr>
          <w:trHeight w:val="22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4,957,273</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(57,586)</w:t>
            </w: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4,899,687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$198.4 million at March 31, 2026 and $204.9 million at December 31, 2025. Due to these loans being fully guaranteed by the United States government, no allowance for credit losses is recorded in relation to these loans at March 31, 2026 and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1,293,879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1,776,477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107,153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3,359,240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3,466,393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1,226,041</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1,545,600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1,566,965</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98,395</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128,518</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4,904,840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5,033,358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1,334,794</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1,643,779</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363,266</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0" w:type="dxa"/>
            <w:vAlign w:val="bottom"/>
          </w:tcPr>
          <w:p>
            <w:pPr>
              <w:spacing w:after="0"/>
              <w:rPr>
                <w:sz w:val="1"/>
                <w:szCs w:val="1"/>
                <w:color w:val="auto"/>
              </w:rPr>
            </w:pPr>
          </w:p>
        </w:tc>
      </w:tr>
      <w:tr>
        <w:trPr>
          <w:trHeight w:val="223"/>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3,321,146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3,366,642</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1,237,791</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325,154</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1,570,209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1,590,631</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4,957,273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no loan modifications were made to borrowers experiencing financial difficulty.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19970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bl>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 during the three months ended March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Borders>
              <w:bottom w:val="single" w:sz="8" w:color="CCEEFF"/>
            </w:tcBorders>
          </w:tcPr>
          <w:p>
            <w:pPr>
              <w:spacing w:after="0"/>
              <w:rPr>
                <w:sz w:val="21"/>
                <w:szCs w:val="21"/>
                <w:color w:val="auto"/>
              </w:rPr>
            </w:pPr>
          </w:p>
        </w:tc>
        <w:tc>
          <w:tcPr>
            <w:tcW w:w="2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r>
      <w:tr>
        <w:trPr>
          <w:trHeight w:val="174"/>
        </w:trPr>
        <w:tc>
          <w:tcPr>
            <w:tcW w:w="5240" w:type="dxa"/>
            <w:vAlign w:val="bottom"/>
            <w:shd w:val="clear" w:color="auto" w:fill="CCEEFF"/>
          </w:tcPr>
          <w:p>
            <w:pPr>
              <w:spacing w:after="0"/>
              <w:rPr>
                <w:sz w:val="15"/>
                <w:szCs w:val="15"/>
                <w:color w:val="auto"/>
              </w:rPr>
            </w:pPr>
          </w:p>
        </w:tc>
        <w:tc>
          <w:tcPr>
            <w:tcW w:w="29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 Average Years of Term</w:t>
            </w:r>
          </w:p>
        </w:tc>
      </w:tr>
      <w:tr>
        <w:trPr>
          <w:trHeight w:val="238"/>
        </w:trPr>
        <w:tc>
          <w:tcPr>
            <w:tcW w:w="5240" w:type="dxa"/>
            <w:vAlign w:val="bottom"/>
            <w:shd w:val="clear" w:color="auto" w:fill="CCEEFF"/>
          </w:tcPr>
          <w:p>
            <w:pPr>
              <w:spacing w:after="0"/>
              <w:rPr>
                <w:sz w:val="20"/>
                <w:szCs w:val="20"/>
                <w:color w:val="auto"/>
              </w:rPr>
            </w:pPr>
          </w:p>
        </w:tc>
        <w:tc>
          <w:tcPr>
            <w:tcW w:w="2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twelve months ended March 31, 2026, four loan modifications were made to borrowers experiencing financial difficulty. There were no loans with a payment delay or payment default during the twelve months ended March 31,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 months ended March 31, 2025, seven loan modifications were made to borrowers experiencing financial difficulty. One C&amp;I loan of $0.4 million that was modified during this period had a payment default during the twelve months ended March 31, 2025. The remaining six loan modifications had no payment delay or payment default during the twelve months ended March 31, 2025.</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borrower’s industry that may affect the borrower’s future financial performance, (iii) 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credit rating. Non-rated loans generally include residential mortgages and consumer loans.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 (risk rating 1 through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 (risk rating 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 (risk rating 10).</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risk rating of the loans. Information below evaluates the Company’s risk category of loans by class as of March 31, 2026:</w:t>
      </w:r>
    </w:p>
    <w:p>
      <w:pPr>
        <w:spacing w:after="0" w:line="2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gridSpan w:val="2"/>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 &amp; Prior</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gridSpan w:val="2"/>
            <w:vMerge w:val="continue"/>
            <w:shd w:val="clear" w:color="auto" w:fill="CCEEFF"/>
          </w:tcPr>
          <w:p>
            <w:pPr>
              <w:spacing w:after="0"/>
              <w:rPr>
                <w:sz w:val="17"/>
                <w:szCs w:val="17"/>
                <w:color w:val="auto"/>
              </w:rPr>
            </w:pPr>
          </w:p>
        </w:tc>
        <w:tc>
          <w:tcPr>
            <w:tcW w:w="106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345,409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218,144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458,106</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1,252,432</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15,548</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15,893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25,244</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25,554</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345,409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218,144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498,898</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1,293,879</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136,258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408,061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240,080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180,137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718,042</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1,682,578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22,229</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71,130</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93,359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136,258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408,061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240,080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789,712</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1,776,477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196,252</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376,645</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199,529</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379,922</w:t>
            </w:r>
          </w:p>
        </w:tc>
        <w:tc>
          <w:tcPr>
            <w:tcW w:w="0" w:type="dxa"/>
            <w:vAlign w:val="bottom"/>
          </w:tcPr>
          <w:p>
            <w:pPr>
              <w:spacing w:after="0"/>
              <w:rPr>
                <w:sz w:val="1"/>
                <w:szCs w:val="1"/>
                <w:color w:val="auto"/>
              </w:rPr>
            </w:pP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5,051</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50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11,064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16,115</w:t>
            </w: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16,115</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61,166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63,206</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960,145</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1,223,769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2,272</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61,166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63,206</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962,417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1,226,041</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290,019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311,633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3,397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293,224</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315,030</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2,739</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25,673</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24,579</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25,894</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245,210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851,283</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621,716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386,273</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2,646,922</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120,885</w:t>
            </w: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441</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4,872,730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24,761</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102,072</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50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135,867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245,210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851,344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621,716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408,633</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2,768,359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137,655</w:t>
            </w: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441</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5,033,358</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following table discloses risk rating of the loans. Information below evaluates the Company’s risk category of loans by class as of December 31, 2025:</w:t>
      </w:r>
    </w:p>
    <w:p>
      <w:pPr>
        <w:spacing w:after="0" w:line="27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96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960" w:type="dxa"/>
            <w:vAlign w:val="bottom"/>
            <w:tcBorders>
              <w:bottom w:val="single" w:sz="8" w:color="CCEEFF"/>
            </w:tcBorders>
            <w:gridSpan w:val="2"/>
            <w:vMerge w:val="continue"/>
            <w:shd w:val="clear" w:color="auto" w:fill="CCEEFF"/>
          </w:tcPr>
          <w:p>
            <w:pPr>
              <w:spacing w:after="0"/>
              <w:rPr>
                <w:sz w:val="18"/>
                <w:szCs w:val="18"/>
                <w:color w:val="auto"/>
              </w:rPr>
            </w:pPr>
          </w:p>
        </w:tc>
        <w:tc>
          <w:tcPr>
            <w:tcW w:w="112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397,992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238,047</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124,706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363,950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1,292,587</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13,416</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26,228</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398,339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238,047</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145,793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384,673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1,334,794</w:t>
            </w:r>
          </w:p>
        </w:tc>
        <w:tc>
          <w:tcPr>
            <w:tcW w:w="0" w:type="dxa"/>
            <w:vAlign w:val="bottom"/>
          </w:tcPr>
          <w:p>
            <w:pPr>
              <w:spacing w:after="0"/>
              <w:rPr>
                <w:sz w:val="1"/>
                <w:szCs w:val="1"/>
                <w:color w:val="auto"/>
              </w:rPr>
            </w:pP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405,722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241,674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202,857</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342,101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406,238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1,598,594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37,827</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405,722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241,674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202,857</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342,101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1,643,779</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36,358</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100,528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166,973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363,266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36,358</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100,528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166,973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363,266</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16,272</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24,803</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62,342</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116,579</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361,067</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616,426</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1,235,112</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62,342</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64,765</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362,981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616,760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1,237,791</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21,963</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84,702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322,025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216,996</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325,154</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16,092</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27,686</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911,262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645,100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416,796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962,935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1,784,598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127,051</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4,847,742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28,531</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911,670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645,100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417,333</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986,880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1,852,917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143,373</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4,957,273</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loans ("ACL") reflects management's estimate of expected credit losses over the life of the loan portfolio. The ACL level is influenced by past events and current conditions, as well as reasonable and supportable forecasts of future economic scenarios. The ACL level is updated quarterly based on the latest available information and assumptions.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March 31, 2026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13,835</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68,155</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March 31, 2025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57,676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March 31, 2026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8"/>
                <w:szCs w:val="18"/>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2025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March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41"/>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98"/>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96"/>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mortgage loans with an unpaid principal balance of $2.24 billion and $2.33 billion, respectively, were pledged to the FHLBNY to secure outstanding advances, letters of credit, and to provide additional borrowing potential.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$1.4 million and $1.5 million of loans to related parties and affiliates as of March 31, 2026 and December 31, 2025,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Loans Held for Sale ("LHFS") on the Consolidated Statements of Financial Condition was $0.5 million and $2.8 million, respectively. Included in LHFS were certain non-performing loans of $0.5 million and $0.9 million as of March 31, 2026 and December 31, 2025, respectively.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74"/>
        </w:trPr>
        <w:tc>
          <w:tcPr>
            <w:tcW w:w="48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shd w:val="clear" w:color="auto" w:fill="CCEEFF"/>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3,316,268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3,234,418</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4,145,115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4,000,096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326,895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204,215</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8,178,084</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7,949,241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as of March 31, 2026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167,685</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31,808</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204,215</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$53.1 million as of March 31, 2026 and $51.7 million as of December 31,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Federal Deposit Insurance Corporation ("FDIC") insurance to bank customers with balances in excess of FDIC insurance limits. CDARS deposits totaled approximately $58.3 million and $61.2 million as of March 31, 2026 and December 31, 2025, respectively, and are included in Time deposits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$125.8 million as of March 31, 2026 and $98.0 million as of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$90.6 million and $104.2 million as of March 31, 2026 and December 31, 2025,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Secured Overnight Financing Rate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subordinated debt was $63.8 million and $63.8 million, respectively. Interest expense on subordinated debt for the three months ended March 31, 2026 and March 31, 2025 was $0.5 million and $0.5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March 31, 2025, the Company did not repurchase any subordinated notes.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FHLBNY Advances and Other Borrowings</w:t>
      </w:r>
    </w:p>
    <w:p>
      <w:pPr>
        <w:spacing w:after="0" w:line="2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as collateral for borrowing capacity. As of March 31, 2026, the value of the other eligible assets had an estimated market value net of haircut totaling $2.02 billion (comprised of securities of $418.9 million and mortgage loans of $1.60 billion). As of December 31, 2025, the value of the other eligible assets had an estimated market value net of haircut totaling $1.98 billion (comprised of securities of $318.4 million and mortgage loans of $1.66 billion). The fair value of assets pledged to the FHLBNY is required to be not less than 110% of the outstanding advances. As of March 31, 2026 and December 31, 2025, we had $5.8 million and $5.8 million, respectively, of FHLBNY advances through the 0% Development Advance Program that provides members with subsidized funding in the form of interest rate credits to assist in originating loans or purchasing loans or investments that meet one of the eligibility criteria. The Company pledged PACE assessments which qualified under the Climate Development Advance and therefore will receive interest rate credits and will not incur any interest expense related to the current outstanding advances. FHLBNY advances mature on June 10, 2026. For the three months ended March 31, 2026, and March 31, 2025, interest expense on FHLBNY advances was zero and $0.6 million, respectively.</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March 31, 2026, and December 31, 2025 there was no outstanding balance related to federal funds purchased.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unvested restricted stock units are not considered participating securities as they do not receive dividend distributions until satisfaction of the related vesting requirements. For the three months ended March 31, 2026 and March 31, 2025, we had 25,811 and 31,563 weighted average anti-dilutive shares, respectively. Anti-dilutive shares were not included in computing diluted earnings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8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Three Months</w:t>
      </w:r>
    </w:p>
    <w:p>
      <w:pPr>
        <w:ind w:left="660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381,646 shares were available for issuance as of March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These awards are subject to a time-based vesting schedule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for the three months ended March 31, 2026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2026</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March 31, 2026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294,560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was $7.5 million of total unrecognized compensation cost related to the non-vested RSUs. The weighted average period to recognize unrecognized compensation is 1.2 years. The Company repurchased 32,984 shares and 33,466 shares for RSUs vested during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Performance-based restricted stock units ("PSUs") represent an obligation to deliver shares to an employee at a future date if certain vesting conditions are met. These awards are subject to the satisfaction of performance conditions or the satisfaction of market conditions,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PSUs are granted at target shares. The minimum and maximum awards that are achievable are 0% and 150%, respectively, of the target shares granted.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PSUs for the three months ended March 31, 2026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2026</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250,828</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Addition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March 31, 2026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254,217</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Company reserved an additional 127,109 shares for issuance upon vesting of PSUs assuming the Company achieves the maximum share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was $4.8 million of total unrecognized compensation cost related to the non-vested PSUs. The weighted average period to recognize unrecognized compensation is 1.6 years. The Company repurchased 30,831 shares and 27,942 shares for PSUs vested during the three months ended March 31, 2026 and 2025,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awarded 27,844 additional shares related to the performance achievement of corporate goals above target at a weighted average fair value of $11.74 per share. Included in these awards was 13,963 shares with a grant date fair market value of $23.42, and 13,881 shares that were based on market-conditions in which the achievement of the goal did not result in additional expense to the Company. Compensation expense attributable to the vesting of the performance shares was $0.3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64,184 PSUs at target achievement of the Company's corporate goals at a weighted average fair value of $42.57 per share which vest subject to the achievement of the Company’s corporate goals. The corporate goals are based on the achievement of a target increase in Tangible Book Value, adjusted for certain factors, and the Company's relative total shareholder return compared to a group of peer banks.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Bonus Deferral And Stock Purchase Plan ("BDSPP") provides for a bonus deferral opportunity with matching benefits to certain executives. Under the BDSPP, deferred restricted stock units ("DSUs") represent an obligation to deliver shares to an employee at a future date if certain vesting conditions are met. The plan allows for participating executives to defer up to 100% of their annual incentive plan bonus in the form of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These awards accrue dividends which are reinvested into additional shares of the Company stock and payable at separation. The DSUs do not provide voting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DSUs for the three months ended March 31, 2026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2026</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bonus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match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March 31, 2026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27,661</w:t>
            </w:r>
          </w:p>
        </w:tc>
        <w:tc>
          <w:tcPr>
            <w:tcW w:w="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there was $0.4 million of total unrecognized compensation cost related to the non-vested DSUs. The weighted average period to recognize unrecognized compensation is 0.4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attributable to the employee RSUs, PRSUs, and DSUs is recorded in compensation and employee benefits expense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The amounts for the three months ended March 31, 2026 and March 31, 2025 are as follows:</w:t>
      </w:r>
    </w:p>
    <w:p>
      <w:pPr>
        <w:spacing w:after="0" w:line="2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Three Months</w:t>
      </w:r>
    </w:p>
    <w:p>
      <w:pPr>
        <w:ind w:left="590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PRSUs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1,276,896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DSUs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1,831,414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1,301,443</w:t>
            </w: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attributable to director RSUs recorded in other expenses in the Consolidated Statements of Income was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for the three months ended March 31, 2026 and $0.1 million for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As of March 31, 2026, there were 365,855 shares available for the purchase under ESPP. The expense related to the discount on purchased shares for the three months ended March 31, 2026 and March 31, 2025 was $38.1 thousand and $41.3 thousand, respectively, and is recorded within compensation and employee benefits expense on the Consolidated Statements of Income.</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663,273</w:t>
            </w: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364,281</w:t>
            </w: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752,435</w:t>
            </w: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92,569</w:t>
            </w: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55,509</w:t>
            </w:r>
          </w:p>
        </w:tc>
      </w:tr>
      <w:tr>
        <w:trPr>
          <w:trHeight w:val="22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215,198</w:t>
            </w:r>
          </w:p>
        </w:tc>
      </w:tr>
      <w:tr>
        <w:trPr>
          <w:trHeight w:val="270"/>
        </w:trPr>
        <w:tc>
          <w:tcPr>
            <w:tcW w:w="5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70"/>
        </w:trPr>
        <w:tc>
          <w:tcPr>
            <w:tcW w:w="53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48"/>
        </w:trPr>
        <w:tc>
          <w:tcPr>
            <w:tcW w:w="5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2,144,820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 Fair value hedges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0"/>
        </w:trPr>
        <w:tc>
          <w:tcPr>
            <w:tcW w:w="53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567,070</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273,232</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629,168</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95,504</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r>
      <w:tr>
        <w:trPr>
          <w:trHeight w:val="256"/>
        </w:trPr>
        <w:tc>
          <w:tcPr>
            <w:tcW w:w="5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57"/>
        </w:trPr>
        <w:tc>
          <w:tcPr>
            <w:tcW w:w="5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1,785,305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three months ended March 31, 2026 and March 31, 2025:</w:t>
      </w:r>
    </w:p>
    <w:p>
      <w:pPr>
        <w:spacing w:after="0" w:line="22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17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 (losses) included in other comprehensive income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70"/>
        </w:trPr>
        <w:tc>
          <w:tcPr>
            <w:tcW w:w="7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March 31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161,147</w:t>
            </w: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March 31, 2026 and December 31,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20" w:type="dxa"/>
            <w:vAlign w:val="bottom"/>
            <w:tcBorders>
              <w:top w:val="single" w:sz="8" w:color="auto"/>
              <w:bottom w:val="single" w:sz="8" w:color="auto"/>
            </w:tcBorders>
          </w:tcPr>
          <w:p>
            <w:pPr>
              <w:spacing w:after="0"/>
              <w:rPr>
                <w:sz w:val="21"/>
                <w:szCs w:val="21"/>
                <w:color w:val="auto"/>
              </w:rPr>
            </w:pPr>
          </w:p>
        </w:tc>
      </w:tr>
      <w:tr>
        <w:trPr>
          <w:trHeight w:val="223"/>
        </w:trPr>
        <w:tc>
          <w:tcPr>
            <w:tcW w:w="2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r>
      <w:tr>
        <w:trPr>
          <w:trHeight w:val="182"/>
        </w:trPr>
        <w:tc>
          <w:tcPr>
            <w:tcW w:w="22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7.0%-25.0% (19.7%)</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20" w:type="dxa"/>
            <w:vAlign w:val="bottom"/>
            <w:tcBorders>
              <w:top w:val="single" w:sz="8" w:color="auto"/>
              <w:bottom w:val="single" w:sz="8" w:color="auto"/>
            </w:tcBorders>
          </w:tcPr>
          <w:p>
            <w:pPr>
              <w:spacing w:after="0"/>
              <w:rPr>
                <w:sz w:val="21"/>
                <w:szCs w:val="21"/>
                <w:color w:val="auto"/>
              </w:rPr>
            </w:pPr>
          </w:p>
        </w:tc>
      </w:tr>
      <w:tr>
        <w:trPr>
          <w:trHeight w:val="223"/>
        </w:trPr>
        <w:tc>
          <w:tcPr>
            <w:tcW w:w="2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r>
      <w:tr>
        <w:trPr>
          <w:trHeight w:val="182"/>
        </w:trPr>
        <w:tc>
          <w:tcPr>
            <w:tcW w:w="22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(20.2%)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 or based on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spacing w:after="0"/>
              <w:rPr>
                <w:sz w:val="14"/>
                <w:szCs w:val="14"/>
                <w:color w:val="auto"/>
              </w:rPr>
            </w:pPr>
          </w:p>
        </w:tc>
        <w:tc>
          <w:tcPr>
            <w:tcW w:w="13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shd w:val="clear" w:color="auto" w:fill="CCEEFF"/>
          </w:tcPr>
          <w:p>
            <w:pPr>
              <w:spacing w:after="0"/>
              <w:rPr>
                <w:sz w:val="14"/>
                <w:szCs w:val="14"/>
                <w:color w:val="auto"/>
              </w:rPr>
            </w:pPr>
          </w:p>
        </w:tc>
        <w:tc>
          <w:tcPr>
            <w:tcW w:w="13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80" w:type="dxa"/>
            <w:vAlign w:val="bottom"/>
            <w:gridSpan w:val="3"/>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16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Appraisals of</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collateral and market</w:t>
            </w:r>
          </w:p>
        </w:tc>
        <w:tc>
          <w:tcPr>
            <w:tcW w:w="0" w:type="dxa"/>
            <w:vAlign w:val="bottom"/>
          </w:tcPr>
          <w:p>
            <w:pPr>
              <w:spacing w:after="0"/>
              <w:rPr>
                <w:sz w:val="1"/>
                <w:szCs w:val="1"/>
                <w:color w:val="auto"/>
              </w:rPr>
            </w:pPr>
          </w:p>
        </w:tc>
      </w:tr>
      <w:tr>
        <w:trPr>
          <w:trHeight w:val="312"/>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8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data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spacing w:after="0"/>
              <w:rPr>
                <w:sz w:val="14"/>
                <w:szCs w:val="14"/>
                <w:color w:val="auto"/>
              </w:rPr>
            </w:pPr>
          </w:p>
        </w:tc>
        <w:tc>
          <w:tcPr>
            <w:tcW w:w="14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shd w:val="clear" w:color="auto" w:fill="CCEEFF"/>
          </w:tcPr>
          <w:p>
            <w:pPr>
              <w:spacing w:after="0"/>
              <w:rPr>
                <w:sz w:val="14"/>
                <w:szCs w:val="14"/>
                <w:color w:val="auto"/>
              </w:rPr>
            </w:pPr>
          </w:p>
        </w:tc>
        <w:tc>
          <w:tcPr>
            <w:tcW w:w="13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80" w:type="dxa"/>
            <w:vAlign w:val="bottom"/>
            <w:gridSpan w:val="3"/>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16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gridSpan w:val="3"/>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Appraisals of</w:t>
            </w:r>
          </w:p>
        </w:tc>
        <w:tc>
          <w:tcPr>
            <w:tcW w:w="0" w:type="dxa"/>
            <w:vAlign w:val="bottom"/>
          </w:tcPr>
          <w:p>
            <w:pPr>
              <w:spacing w:after="0"/>
              <w:rPr>
                <w:sz w:val="1"/>
                <w:szCs w:val="1"/>
                <w:color w:val="auto"/>
              </w:rPr>
            </w:pPr>
          </w:p>
        </w:tc>
      </w:tr>
      <w:tr>
        <w:trPr>
          <w:trHeight w:val="312"/>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Collateral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firstLine="8"/>
        <w:spacing w:after="0" w:line="287" w:lineRule="auto"/>
        <w:tabs>
          <w:tab w:leader="none" w:pos="165"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Appraisals and market data are obtained from independent third parties, which include unobservable inputs such as adjustments for capitalization rates, vacancy rates, and other market insights and assumptions. Appraisals are adjusted for estimated costs to sell of 10%.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2025.</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4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179,728</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1,547,860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1,419,205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4,786,444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66,134</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56,248</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7,973,869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7,973,869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7,973,869</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204,018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gridSpan w:val="2"/>
            <w:shd w:val="clear" w:color="auto" w:fill="CCEEFF"/>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291,217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1,439,972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4,899,687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4,742,463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4,742,463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48,662</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65,128</w:t>
            </w:r>
          </w:p>
        </w:tc>
        <w:tc>
          <w:tcPr>
            <w:tcW w:w="0" w:type="dxa"/>
            <w:vAlign w:val="bottom"/>
          </w:tcPr>
          <w:p>
            <w:pPr>
              <w:spacing w:after="0"/>
              <w:rPr>
                <w:sz w:val="1"/>
                <w:szCs w:val="1"/>
                <w:color w:val="auto"/>
              </w:rPr>
            </w:pPr>
          </w:p>
        </w:tc>
      </w:tr>
      <w:tr>
        <w:trPr>
          <w:trHeight w:val="259"/>
        </w:trPr>
        <w:tc>
          <w:tcPr>
            <w:tcW w:w="4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7,746,044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7,746,044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7,746,044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203,170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61,013</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DERIVATIVES AND HEDGING ACTIVITIES</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 The Company’s objectives in using interest rate derivatives are to manage its exposure to interest rate movements and to add stability to net interest income. To accomplish this objective, the Company has entered into interest rate cash flow hedges and fair value hedges as part of its interest rate risk management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 As of March 31, 2026 and December 31, 2025, the Company had interest rate option contracts with a floor with a notional value of $465.0 million,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hedges involve the payment of fixed amounts to a counterparty in exchange for the Company receiving variable-rate payments over the life of the agreements without exchange of the underlying notional amount. The Company uses these types of derivatives to hedge the market value changes of fixed-rate securities. The Company had an interest rate swap with a notional value of $22.5 million as of March 31, 2026, hedging fixed-rate available for sale securities. The Company had no fair value hedges 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presents all derivative positions gross on the Consolidated Statements of Financial Condition.</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outstanding notional balances and the fair value of the Company’s derivative assets as of March 31, 2026 and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tcPr>
          <w:p>
            <w:pPr>
              <w:spacing w:after="0"/>
              <w:rPr>
                <w:sz w:val="20"/>
                <w:szCs w:val="20"/>
                <w:color w:val="auto"/>
              </w:rPr>
            </w:pPr>
          </w:p>
        </w:tc>
        <w:tc>
          <w:tcPr>
            <w:tcW w:w="2480" w:type="dxa"/>
            <w:vAlign w:val="bottom"/>
            <w:gridSpan w:val="4"/>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55"/>
        </w:trPr>
        <w:tc>
          <w:tcPr>
            <w:tcW w:w="528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80" w:type="dxa"/>
            <w:vAlign w:val="bottom"/>
            <w:tcBorders>
              <w:top w:val="single" w:sz="8" w:color="auto"/>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1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0" w:type="dxa"/>
            <w:vAlign w:val="bottom"/>
          </w:tcPr>
          <w:p>
            <w:pPr>
              <w:spacing w:after="0"/>
              <w:rPr>
                <w:sz w:val="1"/>
                <w:szCs w:val="1"/>
                <w:color w:val="auto"/>
              </w:rPr>
            </w:pPr>
          </w:p>
        </w:tc>
      </w:tr>
      <w:tr>
        <w:trPr>
          <w:trHeight w:val="216"/>
        </w:trPr>
        <w:tc>
          <w:tcPr>
            <w:tcW w:w="5280" w:type="dxa"/>
            <w:vAlign w:val="bottom"/>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Assets)</w:t>
            </w:r>
          </w:p>
        </w:tc>
        <w:tc>
          <w:tcPr>
            <w:tcW w:w="15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Assets)</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gridSpan w:val="3"/>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4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shd w:val="clear" w:color="auto" w:fill="CCEEFF"/>
          </w:tcPr>
          <w:p>
            <w:pPr>
              <w:spacing w:after="0"/>
              <w:rPr>
                <w:sz w:val="19"/>
                <w:szCs w:val="19"/>
                <w:color w:val="auto"/>
              </w:rPr>
            </w:pPr>
          </w:p>
        </w:tc>
        <w:tc>
          <w:tcPr>
            <w:tcW w:w="2480" w:type="dxa"/>
            <w:vAlign w:val="bottom"/>
            <w:gridSpan w:val="4"/>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5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180" w:type="dxa"/>
            <w:vAlign w:val="bottom"/>
          </w:tcPr>
          <w:p>
            <w:pPr>
              <w:spacing w:after="0"/>
              <w:rPr>
                <w:sz w:val="13"/>
                <w:szCs w:val="13"/>
                <w:color w:val="auto"/>
              </w:rPr>
            </w:pPr>
          </w:p>
        </w:tc>
        <w:tc>
          <w:tcPr>
            <w:tcW w:w="15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Fair Value (Other</w:t>
            </w: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5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 - available for sale securities</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169"/>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14"/>
                <w:szCs w:val="14"/>
                <w:color w:val="auto"/>
              </w:rPr>
            </w:pPr>
          </w:p>
        </w:tc>
        <w:tc>
          <w:tcPr>
            <w:tcW w:w="108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43"/>
        </w:trPr>
        <w:tc>
          <w:tcPr>
            <w:tcW w:w="5780" w:type="dxa"/>
            <w:vAlign w:val="bottom"/>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derivatives designated as hedging relationships:</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on cash flow hedging relationships: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Amount reclassified from accumulated OCI into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fair value hedging relationships: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Amount reclassified from accumulated OCI into income for unrealized</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holding losses on available for sale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hedges - available for sale securities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Comprehensive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available for sale securities is initially recorded through accumulated other comprehensive income (loss). For derivatives designated and that quality as fair value hedges, the change in fair value attributable to interest rates is reclassified out of accumulated other comprehensive income (loss) in the same periods during which the change in fair value of the underlying available for sale security is recorded.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cash flow hedges will be reclassified to interest income as interest payments are received or paid on the Company’s hedged securities. During the next twelve months, the Company estimates that an additional $767.2 thousand will be reclassified as a reduction to in interest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terminate any derivatives during the three months ended March 31, 2026 and 2025,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accumulated other comprehensive income (loss)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0"/>
        </w:trPr>
        <w:tc>
          <w:tcPr>
            <w:tcW w:w="8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other comprehensive income (loss) on cash flow hedges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reclassified from accumulated other comprehensive income into interest income from cash flow hedges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r>
      <w:tr>
        <w:trPr>
          <w:trHeight w:val="175"/>
        </w:trPr>
        <w:tc>
          <w:tcPr>
            <w:tcW w:w="8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on available for sale securities reclassified from accumulated other comprehensive income into interest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fair value hedges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891"/>
        </w:trPr>
        <w:tc>
          <w:tcPr>
            <w:tcW w:w="89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8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454,287</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w:t>
            </w: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483,872</w:t>
            </w:r>
          </w:p>
        </w:tc>
      </w:tr>
      <w:tr>
        <w:trPr>
          <w:trHeight w:val="21"/>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above table are extensions of credit to related parties and affiliates. As of March 31, 2026, the Company had $70.0 million of lines of credit and $0.3 million of standby letters of credit. As of December 31, 2025, the Company had $70.0 million of lines of credit and $0.3 million of standby letters of credit.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$2.4 million as of March 31, 2026, compared to an allowance of $2.8 million as of December 31, 2025. The recovery of credit losses related to off balance sheet credit commitments was $0.4 million for the three months ended March 31, 2026, and the recovery of credit losses related to off balance sheet credit commitments was $0.4 million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March 31, 2026, the estimated remaining commitments to Pace Funding Group LLC and Allectrify PBC under these agreements were $107.8 million and $100.0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recorded in other liabilities.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fourth quarter of 2025, the Company funded $2.4 million to Greenskies Clean Energy LLC as a solar tax equity investment. As part of this investment agreement, the Company committed to additional fundings of $5.6 million which is recognized as a liability on the balance sheet given this future event is unconditional and legally binding.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 a lessee has operating leases primarily consisting of real estate arrangements where the Company operates its headquarters, branches and business production offices. All leases identified as in scope are accounted for as operating leases as of March 31, 2026 and December 31, 2025.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year ended December 31, 2025,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in 2026.</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ROU lease asset was $9.4 million and operating lease liability was $11.5 million. As of December 31, 2025, the ROU lease asset was $9.6 million and operating lease liability was $12.3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p>
      <w:pPr>
        <w:spacing w:after="0" w:line="13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76"/>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expiration dates ranged from 0.2 to 5.2 years for March 31, 2026, and from 0.5 to 3.0 years for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March 31, 2026 and March 31, 2025 was 2.3 years and 1.7 years,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3.52% and 3.31% at March 31, 2026 and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March 31, 2026: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366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6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366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6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66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3660" w:type="dxa"/>
            <w:vAlign w:val="bottom"/>
          </w:tcPr>
          <w:p>
            <w:pPr>
              <w:spacing w:after="0"/>
              <w:rPr>
                <w:sz w:val="19"/>
                <w:szCs w:val="19"/>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660" w:type="dxa"/>
            <w:vAlign w:val="bottom"/>
          </w:tcPr>
          <w:p>
            <w:pPr>
              <w:spacing w:after="0"/>
              <w:rPr>
                <w:sz w:val="19"/>
                <w:szCs w:val="19"/>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3660" w:type="dxa"/>
            <w:vAlign w:val="bottom"/>
          </w:tcPr>
          <w:p>
            <w:pPr>
              <w:spacing w:after="0"/>
              <w:rPr>
                <w:sz w:val="21"/>
                <w:szCs w:val="2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86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40</w:t>
            </w:r>
          </w:p>
        </w:tc>
        <w:tc>
          <w:tcPr>
            <w:tcW w:w="3660" w:type="dxa"/>
            <w:vAlign w:val="bottom"/>
          </w:tcPr>
          <w:p>
            <w:pPr>
              <w:spacing w:after="0"/>
              <w:rPr>
                <w:sz w:val="24"/>
                <w:szCs w:val="24"/>
                <w:color w:val="auto"/>
              </w:rPr>
            </w:pPr>
          </w:p>
        </w:tc>
      </w:tr>
      <w:tr>
        <w:trPr>
          <w:trHeight w:val="358"/>
        </w:trPr>
        <w:tc>
          <w:tcPr>
            <w:tcW w:w="5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2025 and estimates and assumptions that the Company believes most appropriate for the analysis. Based on the qualitative analysis performed in accordance with ASC 350, the Company determined it more likely than not that goodwill was not impaired as of June 30, 2025. During the three months ended March 31, 2026,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$8.3 million and $8.2 million as of March 31, 2026 and December 31, 2025, respectively. At March 31, 2026 and December 31, 2025, the carrying amount of the core deposit intangible was $0.8 million and $0.9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$0.1 million and $0.1 million for the three months ended March 31, 2026 and March 31, 2025,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March 31, 2026, the Company's maximum exposure to loss is $37.1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6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45,012</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disclosures related to commitments for investment obligations related to tax credit investments, see Note 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80" w:type="dxa"/>
            <w:vAlign w:val="bottom"/>
          </w:tcPr>
          <w:p>
            <w:pPr>
              <w:spacing w:after="0"/>
              <w:rPr>
                <w:sz w:val="20"/>
                <w:szCs w:val="20"/>
                <w:color w:val="auto"/>
              </w:rPr>
            </w:pPr>
          </w:p>
        </w:tc>
      </w:tr>
      <w:tr>
        <w:trPr>
          <w:trHeight w:val="230"/>
        </w:trPr>
        <w:tc>
          <w:tcPr>
            <w:tcW w:w="54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5"/>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credits and other tax benefits recognized in equity method</w:t>
            </w: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investments income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9"/>
        </w:trPr>
        <w:tc>
          <w:tcPr>
            <w:tcW w:w="5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credits and other tax benefits recognized in income tax expense </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amortization recognized in income tax expense</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80" w:hanging="172"/>
        <w:spacing w:after="0" w:line="199" w:lineRule="auto"/>
        <w:tabs>
          <w:tab w:leader="none" w:pos="1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Related to equity investments that do not qualify for proportional amortization method ("PAM")</w:t>
      </w:r>
    </w:p>
    <w:p>
      <w:pPr>
        <w:spacing w:after="0" w:line="10"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Related to equity investments that do qualify for PAM</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cash flows related to the total income tax benefits presented in the line items in the Consolidated Statements of Cash Flows for investments accounted for using the PAM: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18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7" w:name="page48"/>
    <w:bookmarkEnd w:id="47"/>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March 31, 2026, as compared to December 31, 2025, and our results of operations for the three month periods ended March 31, 2026 and March 31, 2025.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2025 (the “2025 Annual Report”), filed with the Securities and Exchange Commission on March 6, 2026.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and its affiliates, affiliates of the Service Employees International Union that represents workers in the textile, distribution, food service and gaming industries, remains a significant stockholder, holding approximately 38% of our equity as of March 31, 2026. As of March 31, 2026, our total assets were $9.17 billion, our total loans, net of allowance for credit losses were $4.97 billion, our total deposits were $8.18 billion, and our stockholders' equity was $807.6 million. As of March 31, 2026, our trust business held $37.69 billion in assets under custody and $16.00 billion in assets under management.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full-service commercial bank offering a complete suite of commercial and retail banking, investment management and trust and custody services, and lending services. We generate relationship deposits from our values-based commercial clients and consumer customers. We further develop new and existing relationships through our trust, custody, and investment management services, which generate fee income, and we also offer investment, brokerage, asset management, and insurance products to our retail customers through a third-party broker dealer.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banking and trust businesses are national in scope and we also offer a full range of products and services to both commercial and retail customers through our branches and offices across New York City, Washington, D.C., Northern California, and Boston and our digital banking platform. Our corporate divisions include Commercial Banking, Trust and Investment Management and Consumer Banking. Our product line includes commercial and industrial ("C&amp;I") loans, commercial real estate ("CRE") loans, multifamily loans, residential mortgage loans through our marketing services agreement with Embrace Home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with activities that benefit their other stakeholders, as well as the members and stakeholders of these commercial customers.</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2025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to our significant accounting policies, or the estimates made pursuant to those policies as described in our 2025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and expected recoveries do not exceed the aggregate of amounts previously charged-off and expected to be charged-off. Determining the appropriateness of the allowance is complex and requires judgment by management about the effect of matters that are inherently uncertain.</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segments other than the consumer solar loan segment, we calculate the quantitative portion of the allowance for credit losses using the discounted cash flow methodology ("DCF") whereby the amortized cost basis of the loan is compared to the net present value of expected cash flows to be collected. For segments with reserves calculated under the DCF model, a peer group by segment is used to develop periodic default rates, and statistical regression is utilized to relate historical macro-economic variables to historical credit loss experience of that peer group of banks. The DCF model includes a four-quarter reasonable and supportable economic forecast period followed by a four-quarter straight-line reversion to historical loss rates. In addition, the model incorporates assumptions for curtailment rates and recovery lag periods in its calculation of quantitative allowance.</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consumer solar loan segment, the weighted average remaining maturity ("WARM") methodology calculates expected credit losses based on historical loss rates and forecasts those losses over the weighted average remaining maturity of the portfolio. The core assumption of the WARM methodology is based on use of internal loss data applied to a straight-line balance reduction, which aligns with the nature of repayment of these loans as well as the Company’s strategy of portfolio runoff.</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Adjustments to the quantitative results for both DCF and WARM models are made using qualitative factors. These factors include: (1) borrowers' financial condition; (2) borrowers' ability to pay; (3) nature and volume of financial assets; (4) value of the underlying collateral; (5) lending policies and procedures;</w:t>
      </w:r>
    </w:p>
    <w:p>
      <w:pPr>
        <w:spacing w:after="0" w:line="1" w:lineRule="exact"/>
        <w:rPr>
          <w:sz w:val="20"/>
          <w:szCs w:val="20"/>
          <w:color w:val="auto"/>
        </w:rPr>
      </w:pPr>
    </w:p>
    <w:p>
      <w:pPr>
        <w:jc w:val="both"/>
        <w:ind w:firstLine="8"/>
        <w:spacing w:after="0" w:line="239"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the loan review system; (7) the experience, ability, and depth of staff; (8) regulatory and legal environment; (9) changes in market conditions; and (10) changes in economic conditions. Factors are weighted based on level of impact and assigned a risk rating that determine the amount of required qualitative reserves. The level of impact and risk ratings are evaluated each quarter.</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45" w:lineRule="auto"/>
        <w:rPr>
          <w:sz w:val="20"/>
          <w:szCs w:val="20"/>
          <w:color w:val="auto"/>
        </w:rPr>
      </w:pPr>
      <w:r>
        <w:rPr>
          <w:rFonts w:ascii="Times New Roman" w:cs="Times New Roman" w:eastAsia="Times New Roman" w:hAnsi="Times New Roman"/>
          <w:sz w:val="18"/>
          <w:szCs w:val="18"/>
          <w:color w:val="auto"/>
        </w:rPr>
        <w:t>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 where applicable.</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 standards, portfolio mix, delinquency levels and terms, as well as for changes in environmental conditions, such as changes in unemployment rates, property values or other relevant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borrowers,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new recent accounting pronouncements were adopted in the current period that are considered applicable to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for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technology fees and other miscellaneous operating costs.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March 31, 2026 was $25.2 million, or $0.84 per diluted share, compared to $25.0 million, or $0.81 per diluted share, for the three months ended March 31, 2025. The $0.2 million increase was primarily due to an increase in interest and dividend income of $8.6 million, an increase in service charges on deposit accounts of $3.8 million, and an increase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in equity investment income of $3.1 million, partially offset by an increase in provision for credit losses of $12.9 million and an increase in compensation and employee benefits of $2.4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56"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subordinated debt, Federal Home Loan Bank of New York ("FHLBNY") advances, federal funds purchased and other borrowings. To evaluate net interest income, we measure and monitor (i) yields on our loans, investments, and other interest-earning assets, (ii) the costs of our deposits and other funding sources, (iii) our net interest spread and</w:t>
      </w:r>
    </w:p>
    <w:p>
      <w:pPr>
        <w:spacing w:after="0" w:line="3" w:lineRule="exact"/>
        <w:rPr>
          <w:sz w:val="20"/>
          <w:szCs w:val="20"/>
          <w:color w:val="auto"/>
        </w:rPr>
      </w:pPr>
    </w:p>
    <w:p>
      <w:pPr>
        <w:jc w:val="both"/>
        <w:ind w:right="160" w:firstLine="8"/>
        <w:spacing w:after="0" w:line="253" w:lineRule="auto"/>
        <w:tabs>
          <w:tab w:leader="none" w:pos="3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20" w:type="dxa"/>
            <w:vAlign w:val="bottom"/>
          </w:tcPr>
          <w:p>
            <w:pPr>
              <w:spacing w:after="0"/>
              <w:rPr>
                <w:sz w:val="17"/>
                <w:szCs w:val="17"/>
                <w:color w:val="auto"/>
              </w:rPr>
            </w:pPr>
          </w:p>
        </w:tc>
      </w:tr>
      <w:tr>
        <w:trPr>
          <w:trHeight w:val="241"/>
        </w:trPr>
        <w:tc>
          <w:tcPr>
            <w:tcW w:w="38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920" w:type="dxa"/>
            <w:vAlign w:val="bottom"/>
            <w:tcBorders>
              <w:bottom w:val="single" w:sz="8" w:color="auto"/>
            </w:tcBorders>
          </w:tcPr>
          <w:p>
            <w:pPr>
              <w:spacing w:after="0"/>
              <w:rPr>
                <w:sz w:val="20"/>
                <w:szCs w:val="20"/>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shd w:val="clear" w:color="auto" w:fill="CCEEFF"/>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30"/>
        </w:trPr>
        <w:tc>
          <w:tcPr>
            <w:tcW w:w="3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3,452,338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3,220,590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10.57 %</w:t>
            </w:r>
          </w:p>
        </w:tc>
      </w:tr>
      <w:tr>
        <w:trPr>
          <w:trHeight w:val="230"/>
        </w:trPr>
        <w:tc>
          <w:tcPr>
            <w:tcW w:w="3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4,970,997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4,695,264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3"/>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8,672,993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8,067,344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r>
      <w:tr>
        <w:trPr>
          <w:trHeight w:val="230"/>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220,589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8,886,984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8,292,978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4,491,313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4,242,786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207,695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23"/>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4,699,008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4,475,469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r>
    </w:tbl>
    <w:p>
      <w:pPr>
        <w:spacing w:after="0" w:line="1" w:lineRule="exact"/>
        <w:rPr>
          <w:sz w:val="20"/>
          <w:szCs w:val="20"/>
          <w:color w:val="auto"/>
        </w:rPr>
      </w:pPr>
    </w:p>
    <w:p>
      <w:pPr>
        <w:sectPr>
          <w:pgSz w:w="11900" w:h="16838" w:orient="portrait"/>
          <w:cols w:equalWidth="0" w:num="1">
            <w:col w:w="11240"/>
          </w:cols>
          <w:pgMar w:left="320" w:top="929" w:right="339" w:bottom="1440" w:gutter="0" w:footer="0" w:header="0"/>
        </w:sectPr>
      </w:pPr>
    </w:p>
    <w:tbl>
      <w:tblPr>
        <w:tblLayout w:type="fixed"/>
        <w:tblInd w:w="20" w:type="dxa"/>
        <w:tblCellMar>
          <w:top w:w="0" w:type="dxa"/>
          <w:left w:w="0" w:type="dxa"/>
          <w:bottom w:w="0" w:type="dxa"/>
          <w:right w:w="0" w:type="dxa"/>
        </w:tblCellMar>
      </w:tblPr>
      <w:tr>
        <w:trPr>
          <w:trHeight w:val="225"/>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3,229,756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8,075,841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811,143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8,886,984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220" w:type="dxa"/>
            <w:vAlign w:val="bottom"/>
          </w:tcPr>
          <w:p>
            <w:pPr>
              <w:spacing w:after="0"/>
              <w:rPr>
                <w:sz w:val="24"/>
                <w:szCs w:val="2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3,904,431</w:t>
            </w:r>
          </w:p>
        </w:tc>
        <w:tc>
          <w:tcPr>
            <w:tcW w:w="14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deposits / total cost of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7,928,764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funding / total cost of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7,998,318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6"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1Q2026 and 1Q2025 of $49 and $0 thousand,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2.48 %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4,609,809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44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2,901,061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7,570,598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722,380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8,292,978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2.63 %</w:t>
            </w:r>
          </w:p>
        </w:tc>
        <w:tc>
          <w:tcPr>
            <w:tcW w:w="220" w:type="dxa"/>
            <w:vAlign w:val="bottom"/>
          </w:tcPr>
          <w:p>
            <w:pPr>
              <w:spacing w:after="0"/>
              <w:rPr>
                <w:sz w:val="24"/>
                <w:szCs w:val="2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7"/>
              </w:rPr>
              <w:t>3.75 %</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3,457,535</w:t>
            </w:r>
          </w:p>
        </w:tc>
        <w:tc>
          <w:tcPr>
            <w:tcW w:w="14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1.46 %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7,376,530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4"/>
        </w:trPr>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1.48 %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7,510,870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bl>
    <w:p>
      <w:pPr>
        <w:spacing w:after="0" w:line="610" w:lineRule="exact"/>
        <w:rPr>
          <w:sz w:val="20"/>
          <w:szCs w:val="20"/>
          <w:color w:val="auto"/>
        </w:rPr>
      </w:pPr>
    </w:p>
    <w:p>
      <w:pPr>
        <w:sectPr>
          <w:pgSz w:w="11900" w:h="16838" w:orient="portrait"/>
          <w:cols w:equalWidth="0" w:num="2">
            <w:col w:w="6400" w:space="460"/>
            <w:col w:w="4380"/>
          </w:cols>
          <w:pgMar w:left="320" w:top="929" w:right="339" w:bottom="1440" w:gutter="0" w:footer="0" w:header="0"/>
          <w:type w:val="continuous"/>
        </w:sectPr>
      </w:pP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$80.2 million for the three months ended March 31, 2026, compared to $70.6 million for the three months ended March 31, 2025. The $9.6 million increase, or 13.6% increase from the three months ended March 31, 2025 was primarily attributable to higher yields and average balances on interest-earning assets, and lower costs on interest bearing liabilities, partially offset by higher average balances on interest-bearing liabilities.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interest spread was 2.63% for the three months ended March 31, 2026, compared to 2.41% for the three months ended March 31, 2025, an increase of 22 basis points. Our net interest margin was 3.75% for the three months ended March 31, 2026, an increase of 20 basis points from 3.55% from the three months ended March 31, 2025. This was largely due to increases in yields and average balances on interest-bearing asset and a decrease in total cost of funds.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52" w:name="page53"/>
    <w:bookmarkEnd w:id="5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5.11% for the three months ended March 31, 2026, compared to 5.06% for the same period in 2025, an increase of 5 basis points. This increase was driven primarily by an increase in average balances of loans and securities, as well as an increase in loan yields.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2.48% for the three months ended March 31, 2026, a decrease of 17 basis points from the three months ended March 31, 2025, which was primarily due to a decrease in interest rates which leads to lower interest expense paid for deposits, offset by an increase in average balances of interest-bearing deposits. Non-interest-bearing deposits represented 40.7% of average deposits for the three months ended March 31, 2026, compared to 39.3% for the three months ended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9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March 31, 2026 over March 31,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gridSpan w:val="2"/>
            <w:shd w:val="clear" w:color="auto" w:fill="CCEEFF"/>
          </w:tcPr>
          <w:p>
            <w:pPr>
              <w:jc w:val="center"/>
              <w:ind w:right="340"/>
              <w:spacing w:after="0" w:line="169" w:lineRule="exact"/>
              <w:rPr>
                <w:sz w:val="20"/>
                <w:szCs w:val="20"/>
                <w:color w:val="auto"/>
              </w:rPr>
            </w:pPr>
            <w:r>
              <w:rPr>
                <w:rFonts w:ascii="Times New Roman" w:cs="Times New Roman" w:eastAsia="Times New Roman" w:hAnsi="Times New Roman"/>
                <w:sz w:val="16"/>
                <w:szCs w:val="16"/>
                <w:b w:val="1"/>
                <w:bCs w:val="1"/>
                <w:color w:val="auto"/>
              </w:rPr>
              <w:t>Changes Due</w:t>
            </w: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0" w:type="dxa"/>
            <w:vAlign w:val="bottom"/>
          </w:tcPr>
          <w:p>
            <w:pPr>
              <w:spacing w:after="0"/>
              <w:rPr>
                <w:sz w:val="1"/>
                <w:szCs w:val="1"/>
                <w:color w:val="auto"/>
              </w:rPr>
            </w:pPr>
          </w:p>
        </w:tc>
      </w:tr>
      <w:tr>
        <w:trPr>
          <w:trHeight w:val="162"/>
        </w:trPr>
        <w:tc>
          <w:tcPr>
            <w:tcW w:w="6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85"/>
              </w:rPr>
              <w:t>To</w:t>
            </w:r>
          </w:p>
        </w:tc>
        <w:tc>
          <w:tcPr>
            <w:tcW w:w="1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3"/>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establish an allowance for credit losses through a provision for credit losses charged as an expense in our Consolidated Statements of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credit losses was an expense of $13.5 million for the three months ended March 31, 2026 compared to an expense of $0.6 million for the three months ended March 31, 2025. Overall, the increase in provision for credit losses during the three months ended March 31, 2025 was primarily driven by a $9.2 million increase in specific reserves established or increased on $78.0 million of multifamily loans to a single-borrower after the borrower indicated an expected default. The remaining provision was attributable to charge-offs on our consumer solar and commercial and industrial portfolios, and additional specific reserves 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spacing w:after="0" w:line="297" w:lineRule="auto"/>
        <w:rPr>
          <w:sz w:val="20"/>
          <w:szCs w:val="20"/>
          <w:color w:val="auto"/>
        </w:rPr>
      </w:pPr>
      <w:r>
        <w:rPr>
          <w:rFonts w:ascii="Times New Roman" w:cs="Times New Roman" w:eastAsia="Times New Roman" w:hAnsi="Times New Roman"/>
          <w:sz w:val="18"/>
          <w:szCs w:val="18"/>
          <w:color w:val="auto"/>
        </w:rPr>
        <w:t>nonperforming loans. This was partially offset by reserve releases due to declining balances in the consumer solar loan portfolio as a result of the Company's portfolio runoff strategy, and lower required reserves on C&amp;I loans.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changes in fair value on loans held-for-sale, income or losses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sale of securities and 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 and changes in fair value on loans held-for-sale,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29"/>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48"/>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$13.3 million for the three months ended March 31, 2026, compared to $6.4 million for the three months ended March 31, 2025. The increase of $6.9 million for the three months ended March 31, 2026 compared to the three months ended March 31, 2025 was primarily due to a $3.8 million increase in service charges on deposit accounts primarily due to increases in IntraFi Insured Cash Sweep network ("ICS") One-Way Sell income, a $3.1 million increase in equity investment income, and a $0.7 million increase in bank-owned life insurance income, partially offset by a $0.8 million decrease in gain on sale of loans and changes in fair value on loans held-for-sale.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technology, office maintenance and depreciation, amortization of intangible assets, advertising and promotion, federal deposit insurance premiums, and other expenses. The following table presents non-interest expense for the periods indicated: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48"/>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three months ended March 31, 2026 was $45.9 million, an increase of $4.2 million from $41.7 million for the three months ended March 31, 2025. The increase was driven by a $2.4 million increase in compensation and benefits expense, a $1.0 million increase in technology expense, a $0.9 million increase in occupancy and depreciation expense, a $0.6 million increase in advertising and promotion expense, and a $0.5 million increase in other expenses, partially offset by $1.0 million decrease in professional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2025</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 provision for income tax expense of $8.8 million for the three months ended March 31, 2026, compared to $9.7 million for the three months ended March 31, 2025. Our effective tax rate for the three months ended March 31, 2026 was 26.0% compared to 28.0% for the three months ended March 31, 2025. The decrease in the effective tax rate for three months ended March 31, 2026 is primarily driven by additional discrete tax liabilities in the three months ended March 31, 2025 related to a city and state tax examination, which was resolved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$9.17 billion at March 31, 2026, compared to $8.87 billion at December 31, 2025. Notable changes within individual balance sheet line items include a $353.5 million increase in securities, a $228.9 million increase in deposits, a $111.5 million decrease in cash, a $65.5 million increase in net loans receivable, and a $17.5 million increase in resell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 Investments are categorized as either traditional investments or Property Assessed Clean Energy ("PACE") assessments.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participation certificates and CMOs. We invest in non-GSE securities, including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March 31, 2026 or at December 31, 2025.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we had available for sale securities of $2.14 billion and $1.78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held-to-maturity securities portfolio primarily consisted of PACE assessments, tax-exempt municipal securities, GSE commercial and residential certificates and other debt. We carry these securities at amortized cost. We had held-to-maturity securities of $1.55 billion at March 31, 2026, and $1.55 billion at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purchased a total of $452.0 million securities consisting of both available for sale and held-to-maturity, and sold available for sale securities resulting in proceeds of $46.2 million and a net realized loss of $0.8 million as part of normal and ongoing balance sheet management. During the three months ended March 31, 2025 we purchased a total of $161.8 million securities consisting of both available for sale and held-to-maturity, and sold available for sale securities resulting in proceeds of $16.1 million and a net realized loss of $0.7 million as part of routine and ongoing balance sheet management.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$18.5 million at March 31, 2026 and $29.8 million at December 31, 2025, and is excluded from the estimate of credit losses, as accrued interest receivable is reversed for securities placed on nonaccrual status. The allowance for credit losses for held-to-maturity securities at March 31, 2026 was $0.7 million compared to $0.7 million at December 31, 2025. The provision for credit losses for held-to-maturity securities was an expense of $5.0 thousand for the three months ended March 31, 2026, compared to a recovery of $3.0 thousand for the three months ended March 31,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recovery).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$13.7 million at March 31, 2026 and $11.8 million at December 31, 2025, and is excluded from the estimate of credit losses, as accrued interest receivable is reversed for securities placed on nonaccrual status.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69"/>
        </w:trPr>
        <w:tc>
          <w:tcPr>
            <w:tcW w:w="39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shd w:val="clear" w:color="auto" w:fill="CCEEFF"/>
          </w:tcPr>
          <w:p>
            <w:pPr>
              <w:jc w:val="right"/>
              <w:ind w:right="63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19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180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9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9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663,273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752,435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2,143,265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1,783,551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334,508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747,320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held-to-maturity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1,548,609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1,554,759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3,691,874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Contractual Maturity as of March 31, 2026</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shd w:val="clear" w:color="auto" w:fill="CCEEFF"/>
          </w:tcPr>
          <w:p>
            <w:pPr>
              <w:spacing w:after="0"/>
              <w:rPr>
                <w:sz w:val="19"/>
                <w:szCs w:val="19"/>
                <w:color w:val="auto"/>
              </w:rPr>
            </w:pPr>
          </w:p>
        </w:tc>
        <w:tc>
          <w:tcPr>
            <w:tcW w:w="220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GSE certificates &amp; CMOs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502,440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176"/>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363,295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51,241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328,891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702,953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421,618</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3,160,188</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58" w:name="page59"/>
    <w:bookmarkEnd w:id="58"/>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March 31,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8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Credit Ratings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gridSpan w:val="3"/>
            <w:vMerge w:val="restart"/>
          </w:tcPr>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6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740" w:type="dxa"/>
            <w:vAlign w:val="bottom"/>
            <w:vMerge w:val="continue"/>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AAA</w:t>
            </w:r>
          </w:p>
        </w:tc>
        <w:tc>
          <w:tcPr>
            <w:tcW w:w="7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 AA</w:t>
            </w:r>
          </w:p>
        </w:tc>
        <w:tc>
          <w:tcPr>
            <w:tcW w:w="6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6"/>
              </w:rPr>
              <w:t>% A</w:t>
            </w: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Floating</w:t>
            </w:r>
          </w:p>
        </w:tc>
        <w:tc>
          <w:tcPr>
            <w:tcW w:w="8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Collateralized Loan</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 ("CLO")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592,192</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40" w:type="dxa"/>
            <w:vAlign w:val="bottom"/>
            <w:tcBorders>
              <w:right w:val="single" w:sz="8" w:color="auto"/>
            </w:tcBorders>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199,917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85,731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4"/>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22,988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900,828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Property Assessed Clean Energy ("PACE") assessments. All non-agency securities, composed of non-agency commercial mortgage-backed securities, collateralized loan obligations, non-agency mortgage-backed securities, and asset-backed securities, are senior tranche and approximately 87.1% carry AAA credit ratings and 12.9% carry A credit ratings or higher. As of March 31, 2026, our securities portfolio has a weighted average yield of 4.88% and an estimated weighted average life of 5.4 years. Approximately 58.1% of this portfolio is classified as “available for sale.” In total, our securities portfolio including FHLBNY stock represented 41.2% of total interest-earning assets as of March 31,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Lending-related income is the most important component of our net interest income and is the main driver of our results of operations. Total loans, net of deferred origination fees and costs, and allowance for credit losses, were $4.97 billion as of March 31, 2026 compared to $4.90 billion as of December 31, 2025. Within our commercial loan portfolio, our primary focus has been on C&amp;I, multifamily and CRE lending. We intend to focus any organic growth in our loan portfolio on these lending areas as part of our strategic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4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32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0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1,293,879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1,776,477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1,643,779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3,466,393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3,366,642</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r>
      <w:tr>
        <w:trPr>
          <w:trHeight w:val="270"/>
        </w:trPr>
        <w:tc>
          <w:tcPr>
            <w:tcW w:w="4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1,226,041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1,237,791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1,566,965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1,590,631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2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5,033,358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4,957,273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4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48"/>
        </w:trPr>
        <w:tc>
          <w:tcPr>
            <w:tcW w:w="4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4,965,203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4,899,687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loan portfolio comprised 68.8% of our total loan portfolio at March 31, 2026 and 67.9% of our total loan portfolio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categories of our commercial loan portfolio are discussed below:</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either the lead bank or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March 31, 2026 by exposure was $4.3 million with a median size of $1.0 million. Our lending strategy focuses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C&amp;I loans totaled $1.29 billion at March 31, 2026, which comprised 25.7% of our total loan portfolio. During the three months ended March 31, 2026, the C&amp;I loan portfolio decreased by 3.1% from $1.33 billion at December 31, 2025.</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61% of their exposure in New York City. Our multifamily loans have been underwritten under stringent guidelines on loan-to-value and debt service coverage ratios that are designed to mitigate credit and concentration risk in this loan category. The average current LTV, based on underwriting appraisal value, of our multifamily loans is approximately 57%.</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multifamily loans totaled $1.78 billion at March 31, 2026, which comprised 35.3% of our total loan portfolio. During the three months ended March 31, 2026, the multifamily loan portfolio increased by 8.1% from $1.64 billion at December 31, 2025.</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have 63% of their exposure in New York City. Our CRE loans have been underwritten under stringent guidelines on loan-to-value and debt service coverage ratios that are designed to mitigate credit and concentration risk in this loan category. The average current LTV, based on underwriting appraisal value, of our CRE loans is approximately 45%.</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 loans totaled $379.9 million at March 31, 2026, which comprised 7.5% of our total loan portfolio. During the three months ended March 31, 2026, the CRE loan portfolio increased by 4.6% from $363.3 million at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31.2% of our total loan portfolio at March 31, 2026 and 32.1% of our loan portfolio at December 31, 2025. The major categories of our retail loan portfolio are discussed below.</w:t>
      </w:r>
    </w:p>
    <w:p>
      <w:pPr>
        <w:spacing w:after="0" w:line="18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portfolio of originated one-to-four family real estate loans to individuals is based primarily in our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but also a minority of residential loans are to individuals outside our geographic markets, some of which are affinity mortgage programs we have developed for members of certain commercial customers, such as the Service Employees International Union and American Federation of Teachers. Our residential loans are primarily closed-end mortgage loans, secured by a first lien on one-to-four family dwellings primarily in our geographic footprint. The dwellings are typically residential structures consisting of principal residences, second or vacation homes and investment properties, with property types including single family homes, two-to-four unit homes, condominiums, and cooperative apartments. Our residential 1-4 family mortgage loans are residential mortgages that are primarily secured by single-family homes, which can be owner occupied or investor owned. Beginning in February 2026, in order to maintain strong client relationships, the Company entered into a marketing services agreement with Embrace Home Loans to refer its customers for residential loans services, while advancing its broader strategic focus.</w:t>
      </w:r>
    </w:p>
    <w:p>
      <w:pPr>
        <w:spacing w:after="0" w:line="21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March 31, 2026, our residential real estate lending loans totaled $1.23 billion at March 31, 2026, which decreased by 0.9% from $1.24 billion at December 31, 2025. The residential real estate portfolio comprised 78.2% of our retail loan portfolio and 24.4% of our total loan portfolio, and is 99% first mortgage loans and 1% second mortgage loans.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0" w:name="page61"/>
    <w:bookmarkEnd w:id="60"/>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portfolio is fully acquired and is in run-off mode. Our consumer solar loans totaled $315.0 million at March 31, 2026, which comprised 6.3% of our total loan portfolio, compared to $325.2 million, or 6.6% of our total loan portfolio, at December 31, 2025.</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consumer and other loans totaled $25.9 million at March 31, 2026, which comprised 0.5% of our total loan portfolio, compared to $27.7 million, or 0.5% of our total loan portfolio, at December 31, 2025.</w:t>
      </w:r>
    </w:p>
    <w:p>
      <w:pPr>
        <w:spacing w:after="0" w:line="3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4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1,293,879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1,776,477</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379,922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1,226,041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315,030</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5,033,358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March 31, 2027: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591,495</w:t>
            </w:r>
          </w:p>
        </w:tc>
        <w:tc>
          <w:tcPr>
            <w:tcW w:w="120" w:type="dxa"/>
            <w:vAlign w:val="bottom"/>
          </w:tcPr>
          <w:p>
            <w:pPr>
              <w:spacing w:after="0"/>
              <w:rPr>
                <w:sz w:val="19"/>
                <w:szCs w:val="19"/>
                <w:color w:val="auto"/>
              </w:rPr>
            </w:pP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1,041,250</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1,519,363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1,558,474</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351,677</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357,872</w:t>
            </w:r>
          </w:p>
        </w:tc>
      </w:tr>
      <w:tr>
        <w:trPr>
          <w:trHeight w:val="270"/>
        </w:trPr>
        <w:tc>
          <w:tcPr>
            <w:tcW w:w="35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1,225,998</w:t>
            </w: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314,961</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314,961</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3,515,551</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1,008,756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4,524,307</w:t>
            </w:r>
          </w:p>
        </w:tc>
      </w:tr>
      <w:tr>
        <w:trPr>
          <w:trHeight w:val="21"/>
        </w:trPr>
        <w:tc>
          <w:tcPr>
            <w:tcW w:w="3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months ended March 31, 2026 and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79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portfolio:</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7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portfolio:</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portfolio: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57,676</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loans increased $10.6 million to $68.2 million at March 31, 2026 from $57.6 million at December 31, 2025, primarily as a result of an increase of specific reserves on nonperforming loans. The ratio of allowance to total loans was 1.35% at March 31, 2026 and 1.16% at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allowance for credit losses on held-to-maturity securities was $0.7 million, compared to $0.7 million at December 31, 2025.</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29"/>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r>
      <w:tr>
        <w:trPr>
          <w:trHeight w:val="257"/>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29"/>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 solar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57"/>
        </w:trPr>
        <w:tc>
          <w:tcPr>
            <w:tcW w:w="4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0" w:type="dxa"/>
            <w:vAlign w:val="bottom"/>
          </w:tcPr>
          <w:p>
            <w:pPr>
              <w:spacing w:after="0"/>
              <w:rPr>
                <w:sz w:val="1"/>
                <w:szCs w:val="1"/>
                <w:color w:val="auto"/>
              </w:rPr>
            </w:pPr>
          </w:p>
        </w:tc>
      </w:tr>
      <w:tr>
        <w:trPr>
          <w:trHeight w:val="169"/>
        </w:trPr>
        <w:tc>
          <w:tcPr>
            <w:tcW w:w="5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Loans are returned to accrual status when principal and interest amounts contractually due are brought current and future payments are reasonably assured.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2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22,108</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2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5,607</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98,857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28,651</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10,316</w:t>
            </w:r>
          </w:p>
        </w:tc>
      </w:tr>
      <w:tr>
        <w:trPr>
          <w:trHeight w:val="229"/>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11,079</w:t>
            </w:r>
          </w:p>
        </w:tc>
      </w:tr>
      <w:tr>
        <w:trPr>
          <w:trHeight w:val="223"/>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92,884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22,108</w:t>
            </w:r>
          </w:p>
        </w:tc>
      </w:tr>
      <w:tr>
        <w:trPr>
          <w:trHeight w:val="250"/>
        </w:trPr>
        <w:tc>
          <w:tcPr>
            <w:tcW w:w="5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2,419</w:t>
            </w:r>
          </w:p>
        </w:tc>
      </w:tr>
      <w:tr>
        <w:trPr>
          <w:trHeight w:val="230"/>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2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3,129</w:t>
            </w:r>
          </w:p>
        </w:tc>
      </w:tr>
      <w:tr>
        <w:trPr>
          <w:trHeight w:val="229"/>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5,607</w:t>
            </w:r>
          </w:p>
        </w:tc>
      </w:tr>
      <w:tr>
        <w:trPr>
          <w:trHeight w:val="248"/>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27,715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0.32 %</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0.56 %</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207.79 %</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$98.9 million, or 1.08% of period-end total assets at March 31, 2026, an increase of $70.2 million, compared with $28.7 million, or 0.32% of period-end total assets at December 31, 2025. The increase in non-performing assets at March 31, 2026 compared to December 31, 2025 assets was primarily driven by a $71.5 million increase in multifamily nonaccrual loans to a single-borrower after the borrower indicated an expected default, offset by a $0.7 million decrease in commercial and industrial nonaccrual loans.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 table above and totaled $62.2 million, or 0.7% of total assets, at March 31, 2026, and $99.8 million, or 1.1% of total assets, at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entered into $66.1 million of short term investments of resell agreements backed by government guaranteed loans and other loans, with a weighted average interest rate of 5.88%. As of December 31, 2025, we have entered into $48.7 million of short term investments of resell agreements backed by government guaranteed loans and other loans, with a weighted interest rate of 6.00%.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$31.3 million at March 31, 2026 and $30.8 million at December 31, 2025. As of March 31, 2026,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$8.18 billion at March 31, 2026, compared to $7.95 billion at December 31, 2025.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political action committees ("PACs"), and state and national party committees, which we refer to as political deposits. These deposits exhibit seasonality based on election cycles. As of March 31, 2026 and December 31, 2025, we had approximately $1.86 billion and $1.73 billion, respectively, in political deposits on- and off-balance sheet which are primarily in demand deposits.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network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As of March 31, 2026 and December 31, 2025, these off-balance sheet deposits totaled $1.13 billion and $1.05 billion, respectively. In return for record keeping services at Program Banks, the Company receives a servicing fee. For the three months ended March 31, 2026, The Company recognized $2.9 million and $8.6 thousand in servicing fee income for the three months ended March 31, 2026 and March 31, 2025,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March 31, 2026 and December 31, 2025 were $4.76 billion and $4.61 billion,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March 31, 2026 are summarized as follows:</w:t>
      </w:r>
    </w:p>
    <w:p>
      <w:pPr>
        <w:spacing w:after="0" w:line="2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Maturities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7756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77565"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21,458</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23"/>
        </w:trPr>
        <w:tc>
          <w:tcPr>
            <w:tcW w:w="38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53,051</w:t>
            </w:r>
          </w:p>
        </w:tc>
      </w:tr>
      <w:tr>
        <w:trPr>
          <w:trHeight w:val="21"/>
        </w:trPr>
        <w:tc>
          <w:tcPr>
            <w:tcW w:w="3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Company's policies, the Company may enter into derivative transactions to hedge against interest rate risk. The impact of existing derivative contracts are included in the simulation analysis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March 31, 2026 are presented in the following table. The projections assume immediate, parallel shifts downward of the yield curve of 100, 200, 300 and 400 basis points and immediate, parallel shifts upward of the yield curve of 100, 200 and 300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860" w:type="dxa"/>
            <w:vAlign w:val="bottom"/>
          </w:tcPr>
          <w:p>
            <w:pPr>
              <w:spacing w:after="0"/>
              <w:rPr>
                <w:sz w:val="17"/>
                <w:szCs w:val="17"/>
                <w:color w:val="auto"/>
              </w:rPr>
            </w:pPr>
          </w:p>
        </w:tc>
        <w:tc>
          <w:tcPr>
            <w:tcW w:w="4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2"/>
            <w:vMerge w:val="continue"/>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8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Economic Value of</w:t>
            </w:r>
          </w:p>
        </w:tc>
        <w:tc>
          <w:tcPr>
            <w:tcW w:w="1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200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6"/>
                <w:szCs w:val="16"/>
                <w:color w:val="auto"/>
                <w:w w:val="99"/>
              </w:rPr>
              <w:t>Year 1 Net Interest</w:t>
            </w:r>
          </w:p>
        </w:tc>
        <w:tc>
          <w:tcPr>
            <w:tcW w:w="0" w:type="dxa"/>
            <w:vAlign w:val="bottom"/>
          </w:tcPr>
          <w:p>
            <w:pPr>
              <w:spacing w:after="0"/>
              <w:rPr>
                <w:sz w:val="1"/>
                <w:szCs w:val="1"/>
                <w:color w:val="auto"/>
              </w:rPr>
            </w:pPr>
          </w:p>
        </w:tc>
      </w:tr>
      <w:tr>
        <w:trPr>
          <w:trHeight w:val="216"/>
        </w:trPr>
        <w:tc>
          <w:tcPr>
            <w:tcW w:w="3240" w:type="dxa"/>
            <w:vAlign w:val="bottom"/>
            <w:gridSpan w:val="2"/>
            <w:vMerge w:val="continue"/>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Equity ($ in thousands)</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00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6"/>
                <w:szCs w:val="16"/>
                <w:color w:val="auto"/>
              </w:rPr>
              <w:t>Income ($ in thousands)</w:t>
            </w:r>
          </w:p>
        </w:tc>
        <w:tc>
          <w:tcPr>
            <w:tcW w:w="0" w:type="dxa"/>
            <w:vAlign w:val="bottom"/>
          </w:tcPr>
          <w:p>
            <w:pPr>
              <w:spacing w:after="0"/>
              <w:rPr>
                <w:sz w:val="1"/>
                <w:szCs w:val="1"/>
                <w:color w:val="auto"/>
              </w:rPr>
            </w:pPr>
          </w:p>
        </w:tc>
      </w:tr>
      <w:tr>
        <w:trPr>
          <w:trHeight w:val="22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-17.8%</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(344,413)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(17,366)</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(204,962)</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(5,607)</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(80,366)</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-0.8%</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(16,321)</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(10,264)</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-8.0%</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(155,267)</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(28,346)</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-21.5%</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(417,159)</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20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(46,976)</w:t>
            </w:r>
          </w:p>
        </w:tc>
        <w:tc>
          <w:tcPr>
            <w:tcW w:w="0" w:type="dxa"/>
            <w:vAlign w:val="bottom"/>
          </w:tcPr>
          <w:p>
            <w:pPr>
              <w:spacing w:after="0"/>
              <w:rPr>
                <w:sz w:val="1"/>
                <w:szCs w:val="1"/>
                <w:color w:val="auto"/>
              </w:rPr>
            </w:pP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-43.1%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(834,989)</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(68,951)</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The complexity of liquidity management increases due to the varying levels of management control that can be exerted over different elements of the balance sheet. For example, the timing of maturities of our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investment portfolio is fairly predictable and subject to a high degree of control when we make investment decisions. Net deposit inflows and outflows, however, are far less predictable and are not subject to the same degree of certainty.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At March 31, 2026, our cash and equivalents, which consist of cash and amounts due from banks and interest-bearing deposits in other financial institutions, amounted to $179.7 million, or 2.0% of total assets, compared to $291.2 million, or 3.3% of total assets at December 31, 2025. The $111.5 million, or 38.3%, decrease is due paydowns of borrowings and strategic investment securities purchases, offset by to normal business activity and strategic investment securities purchases. Our available for sale securities at March 31, 2026 were $2.14 billion, or 23.4% of total assets, compared to $1.78 billion, or 20.1% of total assets at December 31, 2025. Available for sale securities with an aggregate fair value of $1.50 billion at March 31, 2026, were pledged to secure outstanding advances, letters of credit, provide additional borrowing potential, and collateralize municipal deposits. Additionally, as of March 31, 2026 and December 31, 2025, mortgage loans with an unpaid principal balance of $2.24 billion and $2.33 billion respectively, were pledged to the FHLBNY to secure outstanding advances, letters of credit and to provide additional borrowing potential.</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March 31, 2026, we had $5.8 million in advances from the FHLBNY and a remaining credit availability of $2.01 billion. In addition, we maintain additional borrowing capacity of approximately $1.15 billion with the Federal Reserve’s discount window that is secured by certain securities from our portfolio which are not pledged for other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$63.8 million in subordinated debt, net of issuance costs. Our cash, off-balance sheet deposits, and borrowing capacity totaled $4.46 billion of immediately available funds, in addition to unpledged securities with two-day availability of $386.0 million for total liquidity within two-days of $4.84 billion, which provided coverage for 102%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March 31, 2026 was $807.6 million, compared to $794.5 million at December 31, 2025, an increase of $13.1 million. The increase was primarily driven by $25.2 million of net income, offset by $5.2 million in dividends declared at $0.17 per outstanding share, a $4.5 million increase in accumulated other comprehensive loss due to the tax effected mark-to-market adjustment on our securities portfolio, and $2.8 million of common stock repurchases.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Basel III rules impose minimum capital requirements for bank holding companies and banks. The Basel III rules apply to all national and state banks and savings associations regardless of size and bank holding companies and savings and loan holding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buffer is equal to 2.5% of risk-weighted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7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350,783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263,087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467,435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584,294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467,435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354,370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442,962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379,791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342,656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569,515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455,612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431,387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370,185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As of March 31, 2026,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by contractual maturity date as of March 31, 2026: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7"/>
                <w:szCs w:val="17"/>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April 2025,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in later in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March 31, 2026, the estimated remaining commitments under these agreements were $107.8 million and $100.0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fourth quarter of 2025, the Company funded $2.4 million to Greenskies Clean Energy LLC as a solar tax equity investment. As part of this investment agreement, the Company committed to additional fundings of $5.6 million which is recognized as a liability on the balance sheet given this future event is unconditional and legally binding.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market risk from that presented in the 2025 Annual Report. Our interest rate sensitivity position at March 31, 2026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March 31, 2026.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Exchange Act Rule 13a-15(f)) that occurred during the quarter ended March 31, 2026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2025, as filed with the SEC on March 5, 2026,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March 31, 2026 by or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purchaser” as defined in Rule 10b-18(a)(3) under the Exchange Act: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shd w:val="clear" w:color="auto" w:fill="CCEEFF"/>
          </w:tcPr>
          <w:p>
            <w:pPr>
              <w:spacing w:after="0"/>
              <w:rPr>
                <w:sz w:val="14"/>
                <w:szCs w:val="14"/>
                <w:color w:val="auto"/>
              </w:rPr>
            </w:pPr>
          </w:p>
        </w:tc>
        <w:tc>
          <w:tcPr>
            <w:tcW w:w="20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0" w:type="dxa"/>
            <w:vAlign w:val="bottom"/>
            <w:shd w:val="clear" w:color="auto" w:fill="CCEEFF"/>
          </w:tcPr>
          <w:p>
            <w:pPr>
              <w:spacing w:after="0"/>
              <w:rPr>
                <w:sz w:val="16"/>
                <w:szCs w:val="16"/>
                <w:color w:val="auto"/>
              </w:rPr>
            </w:pPr>
          </w:p>
        </w:tc>
        <w:tc>
          <w:tcPr>
            <w:tcW w:w="20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3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tc>
        <w:tc>
          <w:tcPr>
            <w:tcW w:w="1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29"/>
        </w:trPr>
        <w:tc>
          <w:tcPr>
            <w:tcW w:w="3800" w:type="dxa"/>
            <w:vAlign w:val="bottom"/>
            <w:gridSpan w:val="2"/>
            <w:vMerge w:val="continue"/>
            <w:shd w:val="clear" w:color="auto" w:fill="CCEEFF"/>
          </w:tcPr>
          <w:p>
            <w:pPr>
              <w:spacing w:after="0"/>
              <w:rPr>
                <w:sz w:val="19"/>
                <w:szCs w:val="19"/>
                <w:color w:val="auto"/>
              </w:rPr>
            </w:pPr>
          </w:p>
        </w:tc>
        <w:tc>
          <w:tcPr>
            <w:tcW w:w="1880" w:type="dxa"/>
            <w:vAlign w:val="bottom"/>
            <w:gridSpan w:val="2"/>
            <w:shd w:val="clear" w:color="auto" w:fill="CCEEFF"/>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640" w:type="dxa"/>
            <w:vAlign w:val="bottom"/>
            <w:gridSpan w:val="3"/>
            <w:shd w:val="clear" w:color="auto" w:fill="CCEEFF"/>
          </w:tcPr>
          <w:p>
            <w:pPr>
              <w:jc w:val="right"/>
              <w:ind w:right="28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paid per share </w:t>
            </w:r>
            <w:r>
              <w:rPr>
                <w:rFonts w:ascii="Times New Roman" w:cs="Times New Roman" w:eastAsia="Times New Roman" w:hAnsi="Times New Roman"/>
                <w:sz w:val="23"/>
                <w:szCs w:val="23"/>
                <w:b w:val="1"/>
                <w:bCs w:val="1"/>
                <w:color w:val="auto"/>
                <w:vertAlign w:val="superscript"/>
              </w:rPr>
              <w:t>(3)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through January 31, 2026</w:t>
            </w:r>
          </w:p>
        </w:tc>
        <w:tc>
          <w:tcPr>
            <w:tcW w:w="10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94,570</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200" w:type="dxa"/>
            <w:vAlign w:val="bottom"/>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8,618,181</w:t>
            </w: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8,618,181</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1 through March 31, 2026</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8,618,181</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143,887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36.37</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80,072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firstLine="8"/>
        <w:spacing w:after="0" w:line="282" w:lineRule="auto"/>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63,815 shares withheld for taxes related to the exercise or vesting of options and stock awards, as well as 80,072 shares repurchased pursuant to the share repurchase program described in Note (2).</w:t>
      </w:r>
    </w:p>
    <w:p>
      <w:pPr>
        <w:spacing w:after="0" w:line="202" w:lineRule="exact"/>
        <w:rPr>
          <w:rFonts w:ascii="Times New Roman" w:cs="Times New Roman" w:eastAsia="Times New Roman" w:hAnsi="Times New Roman"/>
          <w:sz w:val="14"/>
          <w:szCs w:val="14"/>
          <w:color w:val="auto"/>
        </w:rPr>
      </w:pPr>
    </w:p>
    <w:p>
      <w:pPr>
        <w:jc w:val="both"/>
        <w:ind w:firstLine="8"/>
        <w:spacing w:after="0" w:line="261" w:lineRule="auto"/>
        <w:tabs>
          <w:tab w:leader="none" w:pos="20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10, 2025, our Board of Directors authorized a new share repurchase program that allows the Company to repurchase up to $40 million of its common stock (the "2025 Share Repurchase Program"). The authorization did not require us to acquire any specified number of shares and can be suspended or discontinued without prior notice. Under the 2025 Share Repurchase Program, $2.8 million of common stock was purchased during the quarter ended March 31, 2026.</w:t>
      </w:r>
    </w:p>
    <w:p>
      <w:pPr>
        <w:spacing w:after="0" w:line="20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 but excludes the 1% excise tax on stock repurchases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2" w:name="page73"/>
    <w:bookmarkEnd w:id="7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Award Agreement for Performance Units to be made under the Amalgamated Financial Corp. 2023 Equity Incentive Plan for the Chief Executive Officer*</w:t>
      </w:r>
    </w:p>
    <w:p>
      <w:pPr>
        <w:spacing w:after="0" w:line="270"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Award Agreement for Performance Units to be made under the Amalgamated Financial Corp. 2023 Equity Incentive Plan for the 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March 31, 2026, formatted in iXBRL (Inline eXtensible Business Reporting Language): (i) Consolidated</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Statements of Financial Condition at March 31, 2026 and December 31, 2025, (ii) Consolidated Statements of Income for the quarters ended March 31, 2026 and 2025, (iii) Consolidated Statements of Comprehensive Income for the quarters ended March 31, 2026 and 2025, (iv) Consolidated Statements of Changes in</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Shareholders’ Equity for the quarters ended March 31, 2026 and 2025, (v) Consolidated Statements of Cash Flows for the quarters ended March 31, 2026 and 2025 and (vi) Notes to Consolidated Financial Statements (unaudited).</w:t>
      </w:r>
    </w:p>
    <w:p>
      <w:pPr>
        <w:spacing w:after="0" w:line="226" w:lineRule="exact"/>
        <w:rPr>
          <w:sz w:val="20"/>
          <w:szCs w:val="20"/>
          <w:color w:val="auto"/>
        </w:rPr>
      </w:pPr>
    </w:p>
    <w:p>
      <w:pPr>
        <w:jc w:val="both"/>
        <w:ind w:right="53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March 31, 2026, formatted in iXBRL (included with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4" w:name="page75"/>
    <w:bookmarkEnd w:id="74"/>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49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5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75" w:name="page76"/>
    <w:bookmarkEnd w:id="75"/>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 xml:space="preserve">AMALGAMATED FINANCIAL CORP. 2023 EQUITY INCENTIVE PLAN </w:t>
      </w:r>
      <w:r>
        <w:rPr>
          <w:rFonts w:ascii="Times New Roman" w:cs="Times New Roman" w:eastAsia="Times New Roman" w:hAnsi="Times New Roman"/>
          <w:sz w:val="20"/>
          <w:szCs w:val="20"/>
          <w:b w:val="1"/>
          <w:bCs w:val="1"/>
          <w:u w:val="single" w:color="auto"/>
          <w:color w:val="auto"/>
        </w:rPr>
        <w:t>PERFORMANCE UNIT AWARD</w:t>
      </w:r>
    </w:p>
    <w:p>
      <w:pPr>
        <w:spacing w:after="0" w:line="2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351" w:lineRule="exact"/>
        <w:rPr>
          <w:sz w:val="20"/>
          <w:szCs w:val="20"/>
          <w:color w:val="auto"/>
        </w:rPr>
      </w:pPr>
    </w:p>
    <w:p>
      <w:pPr>
        <w:jc w:val="both"/>
        <w:ind w:left="300" w:right="320"/>
        <w:spacing w:after="0" w:line="263" w:lineRule="auto"/>
        <w:rPr>
          <w:sz w:val="20"/>
          <w:szCs w:val="20"/>
          <w:color w:val="auto"/>
        </w:rPr>
      </w:pPr>
      <w:r>
        <w:rPr>
          <w:rFonts w:ascii="Times New Roman" w:cs="Times New Roman" w:eastAsia="Times New Roman" w:hAnsi="Times New Roman"/>
          <w:sz w:val="20"/>
          <w:szCs w:val="20"/>
          <w:color w:val="auto"/>
        </w:rPr>
        <w:t>Amalgamated Financial Corp. (the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hereby grants you restricted stock units through the Amalgamated Financial Corp. 2023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subject to certain restrictions as described herein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Performance Restricted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PRSUs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5623560" cy="3480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62356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360" w:right="3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The vesting and forfeiture provisions that apply to your Restricted Stock Units are described in the Plan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Terms and Conditions. You will vest in your Restricted Stock Units (in whole Shares, rounded down) based on the Bank’s achievement of the following Performance Measures during the designated Performance Periods so long as the following conditions are met as of the end of the applicable Performance Period: (a) you have not Separated from Service, (b) you have not provided notice to us of your resignation, and (c) we have not provided notice to you of your termination for Cause. Determination of the number of RSUs that vest based on achievement of each of the following Performance Measures is mutually exclusive.</w:t>
      </w:r>
    </w:p>
    <w:p>
      <w:pPr>
        <w:spacing w:after="0" w:line="221" w:lineRule="exact"/>
        <w:rPr>
          <w:sz w:val="20"/>
          <w:szCs w:val="20"/>
          <w:color w:val="auto"/>
        </w:rPr>
      </w:pPr>
    </w:p>
    <w:p>
      <w:pPr>
        <w:jc w:val="both"/>
        <w:ind w:left="620" w:hanging="329"/>
        <w:spacing w:after="0" w:line="254" w:lineRule="auto"/>
        <w:tabs>
          <w:tab w:leader="none" w:pos="56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 Value Growth RSUs.</w:t>
      </w:r>
      <w:r>
        <w:rPr>
          <w:rFonts w:ascii="Times New Roman" w:cs="Times New Roman" w:eastAsia="Times New Roman" w:hAnsi="Times New Roman"/>
          <w:sz w:val="20"/>
          <w:szCs w:val="20"/>
          <w:color w:val="auto"/>
        </w:rPr>
        <w:t xml:space="preserve"> RSUs (rounded down to the nearest whole Share) representing fifty percent (50%) of the total Fair Market Value of your Award on its Date of Grant (</w:t>
      </w:r>
      <w:r>
        <w:rPr>
          <w:rFonts w:ascii="Times New Roman" w:cs="Times New Roman" w:eastAsia="Times New Roman" w:hAnsi="Times New Roman"/>
          <w:sz w:val="20"/>
          <w:szCs w:val="20"/>
          <w:b w:val="1"/>
          <w:bCs w:val="1"/>
          <w:color w:val="auto"/>
        </w:rPr>
        <w:t>“Book Value Growth RSUs”</w:t>
      </w:r>
      <w:r>
        <w:rPr>
          <w:rFonts w:ascii="Times New Roman" w:cs="Times New Roman" w:eastAsia="Times New Roman" w:hAnsi="Times New Roman"/>
          <w:sz w:val="20"/>
          <w:szCs w:val="20"/>
          <w:color w:val="auto"/>
        </w:rPr>
        <w:t>) shall vest based on Adjusted Tangible Book Value Growth per Share over the Performance Period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200"/>
          </w:cols>
          <w:pgMar w:left="360" w:top="189" w:right="339" w:bottom="1440" w:gutter="0" w:footer="0" w:header="0"/>
        </w:sectPr>
      </w:pPr>
    </w:p>
    <w:bookmarkStart w:id="76" w:name="page77"/>
    <w:bookmarkEnd w:id="76"/>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904875</wp:posOffset>
            </wp:positionV>
            <wp:extent cx="4389120" cy="805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43891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280" w:type="dxa"/>
            <w:vAlign w:val="bottom"/>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62"/>
        </w:trPr>
        <w:tc>
          <w:tcPr>
            <w:tcW w:w="20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Goal</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Goal</w:t>
            </w:r>
          </w:p>
        </w:tc>
        <w:tc>
          <w:tcPr>
            <w:tcW w:w="1280" w:type="dxa"/>
            <w:vAlign w:val="bottom"/>
          </w:tcPr>
          <w:p>
            <w:pPr>
              <w:jc w:val="center"/>
              <w:ind w:left="321"/>
              <w:spacing w:after="0"/>
              <w:rPr>
                <w:sz w:val="20"/>
                <w:szCs w:val="20"/>
                <w:color w:val="auto"/>
              </w:rPr>
            </w:pPr>
            <w:r>
              <w:rPr>
                <w:rFonts w:ascii="Times New Roman" w:cs="Times New Roman" w:eastAsia="Times New Roman" w:hAnsi="Times New Roman"/>
                <w:sz w:val="20"/>
                <w:szCs w:val="20"/>
                <w:b w:val="1"/>
                <w:bCs w:val="1"/>
                <w:color w:val="auto"/>
              </w:rPr>
              <w:t>Goal</w:t>
            </w:r>
          </w:p>
        </w:tc>
      </w:tr>
    </w:tbl>
    <w:p>
      <w:pPr>
        <w:spacing w:after="0" w:line="200" w:lineRule="exact"/>
        <w:rPr>
          <w:sz w:val="20"/>
          <w:szCs w:val="20"/>
          <w:color w:val="auto"/>
        </w:rPr>
      </w:pPr>
    </w:p>
    <w:p>
      <w:pPr>
        <w:spacing w:after="0" w:line="2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Payout Level</w:t>
      </w:r>
    </w:p>
    <w:p>
      <w:pPr>
        <w:spacing w:after="0" w:line="351" w:lineRule="exact"/>
        <w:rPr>
          <w:sz w:val="20"/>
          <w:szCs w:val="20"/>
          <w:color w:val="auto"/>
        </w:rPr>
      </w:pPr>
    </w:p>
    <w:p>
      <w:pPr>
        <w:jc w:val="both"/>
        <w:ind w:left="940" w:right="300"/>
        <w:spacing w:after="0" w:line="260"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0"/>
          <w:szCs w:val="20"/>
          <w:b w:val="1"/>
          <w:bCs w:val="1"/>
          <w:color w:val="auto"/>
        </w:rPr>
        <w:t>Adjusted Tangible Book Value Growth</w:t>
      </w:r>
      <w:r>
        <w:rPr>
          <w:rFonts w:ascii="Times New Roman" w:cs="Times New Roman" w:eastAsia="Times New Roman" w:hAnsi="Times New Roman"/>
          <w:sz w:val="20"/>
          <w:szCs w:val="20"/>
          <w:color w:val="auto"/>
        </w:rPr>
        <w:t>” means stockholders’ equity, excluding minority interests, preferred stock, goodwill, core deposit intangibles, mergers and acquisitions, share repurchases, non-core items (such as tax adjustments), dividends paid on Bank stock, stock-based compensation expense, and other comprehensive income. The Performance Period for this measure will be [ ] to [ ] to align with the Bank’s fiscal year.</w:t>
      </w:r>
    </w:p>
    <w:p>
      <w:pPr>
        <w:spacing w:after="0" w:line="205" w:lineRule="exact"/>
        <w:rPr>
          <w:sz w:val="20"/>
          <w:szCs w:val="20"/>
          <w:color w:val="auto"/>
        </w:rPr>
      </w:pPr>
    </w:p>
    <w:p>
      <w:pPr>
        <w:ind w:left="860" w:right="680" w:hanging="2"/>
        <w:spacing w:after="0" w:line="273" w:lineRule="auto"/>
        <w:tabs>
          <w:tab w:leader="none" w:pos="11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TSR RSUs</w:t>
      </w:r>
      <w:r>
        <w:rPr>
          <w:rFonts w:ascii="Times New Roman" w:cs="Times New Roman" w:eastAsia="Times New Roman" w:hAnsi="Times New Roman"/>
          <w:sz w:val="20"/>
          <w:szCs w:val="20"/>
          <w:color w:val="auto"/>
        </w:rPr>
        <w:t>. The remainder of your RSUs (</w:t>
      </w:r>
      <w:r>
        <w:rPr>
          <w:rFonts w:ascii="Times New Roman" w:cs="Times New Roman" w:eastAsia="Times New Roman" w:hAnsi="Times New Roman"/>
          <w:sz w:val="20"/>
          <w:szCs w:val="20"/>
          <w:b w:val="1"/>
          <w:bCs w:val="1"/>
          <w:color w:val="auto"/>
        </w:rPr>
        <w:t>“Relative TSR RSUs”</w:t>
      </w:r>
      <w:r>
        <w:rPr>
          <w:rFonts w:ascii="Times New Roman" w:cs="Times New Roman" w:eastAsia="Times New Roman" w:hAnsi="Times New Roman"/>
          <w:sz w:val="20"/>
          <w:szCs w:val="20"/>
          <w:color w:val="auto"/>
        </w:rPr>
        <w:t>) shall vest based on Relative TSR over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173355</wp:posOffset>
            </wp:positionV>
            <wp:extent cx="4328795" cy="9601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4328795" cy="960120"/>
                    </a:xfrm>
                    <a:prstGeom prst="rect">
                      <a:avLst/>
                    </a:prstGeom>
                    <a:noFill/>
                  </pic:spPr>
                </pic:pic>
              </a:graphicData>
            </a:graphic>
          </wp:anchor>
        </w:drawing>
      </w:r>
    </w:p>
    <w:p>
      <w:pPr>
        <w:spacing w:after="0" w:line="253"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280" w:type="dxa"/>
            <w:vAlign w:val="bottom"/>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62"/>
        </w:trPr>
        <w:tc>
          <w:tcPr>
            <w:tcW w:w="198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Goal</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Goal</w:t>
            </w:r>
          </w:p>
        </w:tc>
        <w:tc>
          <w:tcPr>
            <w:tcW w:w="1280" w:type="dxa"/>
            <w:vAlign w:val="bottom"/>
          </w:tcPr>
          <w:p>
            <w:pPr>
              <w:jc w:val="center"/>
              <w:ind w:left="301"/>
              <w:spacing w:after="0"/>
              <w:rPr>
                <w:sz w:val="20"/>
                <w:szCs w:val="20"/>
                <w:color w:val="auto"/>
              </w:rPr>
            </w:pPr>
            <w:r>
              <w:rPr>
                <w:rFonts w:ascii="Times New Roman" w:cs="Times New Roman" w:eastAsia="Times New Roman" w:hAnsi="Times New Roman"/>
                <w:sz w:val="20"/>
                <w:szCs w:val="20"/>
                <w:b w:val="1"/>
                <w:bCs w:val="1"/>
                <w:color w:val="auto"/>
                <w:w w:val="97"/>
              </w:rPr>
              <w:t>Goal</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Award Payout Level</w:t>
      </w:r>
    </w:p>
    <w:p>
      <w:pPr>
        <w:spacing w:after="0" w:line="351" w:lineRule="exact"/>
        <w:rPr>
          <w:sz w:val="20"/>
          <w:szCs w:val="20"/>
          <w:color w:val="auto"/>
        </w:rPr>
      </w:pPr>
    </w:p>
    <w:p>
      <w:pPr>
        <w:jc w:val="both"/>
        <w:ind w:left="940" w:right="300"/>
        <w:spacing w:after="0" w:line="252"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0"/>
          <w:szCs w:val="20"/>
          <w:b w:val="1"/>
          <w:bCs w:val="1"/>
          <w:color w:val="auto"/>
        </w:rPr>
        <w:t>Relative TSR</w:t>
      </w:r>
      <w:r>
        <w:rPr>
          <w:rFonts w:ascii="Times New Roman" w:cs="Times New Roman" w:eastAsia="Times New Roman" w:hAnsi="Times New Roman"/>
          <w:sz w:val="20"/>
          <w:szCs w:val="20"/>
          <w:color w:val="auto"/>
        </w:rPr>
        <w:t xml:space="preserve">” means TSR (Share price appreciation plus accumulated dividends) measured relative to the S&amp;P’s Global Industry Classification Standard (GICS) industry code of “Banks” (industry code 401010) with total assets between $5B and $15B, including all of the compensation peers set forth on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Award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compensation peer is acquired, declares bankruptcy or becomes subject to a regulatory takeover during the Performance Period, such compensation peer shall be assumed to have the lowest TSR of all compensation peers during the Performance Period). The end-price for TSR will the average closing price during the 30-day period ending on the last day of the Performance Period. The starting price will be the closing price on the last business day immediately preceding the start of the Performance Period. The Performance Period for this measure will begin on [ ] and end on [ ] in order to align the accounting value, grant value, and starting price for Participants.</w:t>
      </w:r>
    </w:p>
    <w:p>
      <w:pPr>
        <w:spacing w:after="0" w:line="207" w:lineRule="exact"/>
        <w:rPr>
          <w:sz w:val="20"/>
          <w:szCs w:val="20"/>
          <w:color w:val="auto"/>
        </w:rPr>
      </w:pPr>
    </w:p>
    <w:p>
      <w:pPr>
        <w:jc w:val="both"/>
        <w:ind w:left="360" w:right="300"/>
        <w:spacing w:after="0" w:line="268" w:lineRule="auto"/>
        <w:rPr>
          <w:sz w:val="20"/>
          <w:szCs w:val="20"/>
          <w:color w:val="auto"/>
        </w:rPr>
      </w:pPr>
      <w:r>
        <w:rPr>
          <w:rFonts w:ascii="Times New Roman" w:cs="Times New Roman" w:eastAsia="Times New Roman" w:hAnsi="Times New Roman"/>
          <w:sz w:val="20"/>
          <w:szCs w:val="20"/>
          <w:color w:val="auto"/>
        </w:rPr>
        <w:t>The final number of Shares to be paid under your Award will be based on the extent to which each of the Performance Measures is achieved, with pro rata adjustment of Shares if achievement of Performance Measures exceeds the Threshold Goal and falls between the Threshold, Target and Maximum Goals.</w:t>
      </w:r>
    </w:p>
    <w:p>
      <w:pPr>
        <w:spacing w:after="0" w:line="171" w:lineRule="exact"/>
        <w:rPr>
          <w:sz w:val="20"/>
          <w:szCs w:val="20"/>
          <w:color w:val="auto"/>
        </w:rPr>
      </w:pPr>
    </w:p>
    <w:p>
      <w:pPr>
        <w:jc w:val="both"/>
        <w:ind w:left="360" w:right="30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Effect of Separation from Service. </w:t>
      </w:r>
      <w:r>
        <w:rPr>
          <w:rFonts w:ascii="Times New Roman" w:cs="Times New Roman" w:eastAsia="Times New Roman" w:hAnsi="Times New Roman"/>
          <w:sz w:val="20"/>
          <w:szCs w:val="20"/>
          <w:color w:val="auto"/>
        </w:rPr>
        <w:t>If you Separate from Service before the end of the Performance Periods for any reason you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forfeit all RSUs in which you have not yet vested as of your Separation from Service, unless:</w:t>
      </w:r>
    </w:p>
    <w:p>
      <w:pPr>
        <w:spacing w:after="0" w:line="169" w:lineRule="exact"/>
        <w:rPr>
          <w:sz w:val="20"/>
          <w:szCs w:val="20"/>
          <w:color w:val="auto"/>
        </w:rPr>
      </w:pPr>
    </w:p>
    <w:p>
      <w:pPr>
        <w:jc w:val="both"/>
        <w:ind w:left="620" w:hanging="328"/>
        <w:spacing w:after="0" w:line="258" w:lineRule="auto"/>
        <w:tabs>
          <w:tab w:leader="none" w:pos="60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Separation from Service is due to Disability, and no Cause exists, in which case the unvested portion of your RSUs will continue to vest based on actual achievement of Performance Measures at the end of the applicable Performance Period as if you had not Separated from Service, subject to pro-ration based on the number of full months that you worked during each Performance Period prior to your Separation from Service as a percentage of the total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180"/>
          </w:cols>
          <w:pgMar w:left="360" w:top="189" w:right="359" w:bottom="1440" w:gutter="0" w:footer="0" w:header="0"/>
        </w:sectPr>
      </w:pPr>
    </w:p>
    <w:bookmarkStart w:id="77" w:name="page78"/>
    <w:bookmarkEnd w:id="77"/>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940" w:right="320" w:hanging="325"/>
        <w:spacing w:after="0" w:line="251" w:lineRule="auto"/>
        <w:tabs>
          <w:tab w:leader="none" w:pos="92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Separation from Service is due to retirement (defined as age 65 with 5 continuous years of service with the Bank or its affiliates), and no Cause exists, in which case the unvested portion of your RSUs will continue to vest based on actual achievement of Performance Measures at the end of the applicable Performance Period as if you had not Separated from Service, but only if (i) you provide the Bank with at least 6 months’ written notice of your retirement (which notice period the Bank may shorten in its sole discretion and which shall not be deemed a termination without Cause) and (ii) for 12 months after the effective date of your retirement, you continue to consult with the Bank, at no additional cost to the Bank, with regard to any matters which relate to or arise out of the Bank’s business during the period and which the Board or the Bank’s Chief Executive Officer requests your assistance.</w:t>
      </w:r>
    </w:p>
    <w:p>
      <w:pPr>
        <w:spacing w:after="0" w:line="208" w:lineRule="exact"/>
        <w:rPr>
          <w:rFonts w:ascii="Times New Roman" w:cs="Times New Roman" w:eastAsia="Times New Roman" w:hAnsi="Times New Roman"/>
          <w:sz w:val="20"/>
          <w:szCs w:val="20"/>
          <w:color w:val="auto"/>
        </w:rPr>
      </w:pPr>
    </w:p>
    <w:p>
      <w:pPr>
        <w:jc w:val="both"/>
        <w:ind w:left="940" w:right="320" w:hanging="324"/>
        <w:spacing w:after="0" w:line="258" w:lineRule="auto"/>
        <w:tabs>
          <w:tab w:leader="none" w:pos="92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die and no Cause exists, or you Separate from Service due to an involuntary termination by the Bank without Cause or due to your voluntary resignation for Good Reason, in which case your RSUs will immediately vest based on target achievement of Performance Measures, subject to pro-ration based on the number of full months that you worked during each Performance Period prior to your Separation from Service as a percentage of the total Performance Period.</w:t>
      </w:r>
    </w:p>
    <w:p>
      <w:pPr>
        <w:spacing w:after="0" w:line="185" w:lineRule="exact"/>
        <w:rPr>
          <w:rFonts w:ascii="Times New Roman" w:cs="Times New Roman" w:eastAsia="Times New Roman" w:hAnsi="Times New Roman"/>
          <w:sz w:val="20"/>
          <w:szCs w:val="20"/>
          <w:color w:val="auto"/>
        </w:rPr>
      </w:pPr>
    </w:p>
    <w:p>
      <w:pPr>
        <w:jc w:val="both"/>
        <w:ind w:left="940" w:right="320" w:hanging="325"/>
        <w:spacing w:after="0" w:line="253" w:lineRule="auto"/>
        <w:tabs>
          <w:tab w:leader="none" w:pos="92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Separate from Service within one year following a Change in Control due to a Qualifying Termination (as defined in the Plan), in which case your RSUs will vest based on the Committee’s determination of actual performance and the Performance Measures will be determined as of (a) the most recent-completed fiscal quarter, for Adjusted Tangible Book Value Growth, and (b) as of the date of the Change in Control, for Relative TSR. If actual performance cannot be determined, your RSUs will vest based on achievement of Performance Measures at Target Goal, subject to pro-ration based on the number of full months that you worked during each Performance Period prior to your Separation from Service as a percentage of the total Performance Period.</w:t>
      </w:r>
    </w:p>
    <w:p>
      <w:pPr>
        <w:spacing w:after="0" w:line="193" w:lineRule="exact"/>
        <w:rPr>
          <w:sz w:val="20"/>
          <w:szCs w:val="20"/>
          <w:color w:val="auto"/>
        </w:rPr>
      </w:pPr>
    </w:p>
    <w:p>
      <w:pPr>
        <w:jc w:val="both"/>
        <w:ind w:left="360" w:right="320"/>
        <w:spacing w:after="0" w:line="253" w:lineRule="auto"/>
        <w:rPr>
          <w:sz w:val="20"/>
          <w:szCs w:val="20"/>
          <w:color w:val="auto"/>
        </w:rPr>
      </w:pPr>
      <w:r>
        <w:rPr>
          <w:rFonts w:ascii="Times New Roman" w:cs="Times New Roman" w:eastAsia="Times New Roman" w:hAnsi="Times New Roman"/>
          <w:sz w:val="20"/>
          <w:szCs w:val="20"/>
          <w:color w:val="auto"/>
        </w:rPr>
        <w:t>If the Committee determines, at any time, that Cause exists at the time of your Separation from Service, all of your rights under this RSU Award will terminate immediately, you will forfeit all RSUs that have not yet vested as of the date of your Separation from Service, and the Bank shall have the right to repurchase any Shares that you have already received as a result of RSUs that have already vested, at the lower of Fair Market Value or the price paid by you, all as described in the Plan. The existence of “Cause” will be determined in the sole discretion of the Committee (or if the Board has chosen to reserve such power, the Board).</w:t>
      </w:r>
    </w:p>
    <w:p>
      <w:pPr>
        <w:spacing w:after="0" w:line="219" w:lineRule="exact"/>
        <w:rPr>
          <w:sz w:val="20"/>
          <w:szCs w:val="20"/>
          <w:color w:val="auto"/>
        </w:rPr>
      </w:pPr>
    </w:p>
    <w:p>
      <w:pPr>
        <w:jc w:val="both"/>
        <w:ind w:left="360" w:right="340"/>
        <w:spacing w:after="0" w:line="269" w:lineRule="auto"/>
        <w:rPr>
          <w:sz w:val="20"/>
          <w:szCs w:val="20"/>
          <w:color w:val="auto"/>
        </w:rPr>
      </w:pPr>
      <w:r>
        <w:rPr>
          <w:rFonts w:ascii="Times New Roman" w:cs="Times New Roman" w:eastAsia="Times New Roman" w:hAnsi="Times New Roman"/>
          <w:sz w:val="20"/>
          <w:szCs w:val="20"/>
          <w:color w:val="auto"/>
        </w:rPr>
        <w:t>Note, however, that except where there is a Change in Control, or you die or become Disabled, you will not vest in any portion of your Award prior to the first anniversary after its Date of Grant.</w:t>
      </w:r>
    </w:p>
    <w:p>
      <w:pPr>
        <w:spacing w:after="0" w:line="186" w:lineRule="exact"/>
        <w:rPr>
          <w:sz w:val="20"/>
          <w:szCs w:val="20"/>
          <w:color w:val="auto"/>
        </w:rPr>
      </w:pPr>
    </w:p>
    <w:p>
      <w:pPr>
        <w:jc w:val="both"/>
        <w:ind w:left="360" w:right="320"/>
        <w:spacing w:after="0" w:line="269" w:lineRule="auto"/>
        <w:rPr>
          <w:sz w:val="20"/>
          <w:szCs w:val="20"/>
          <w:color w:val="auto"/>
        </w:rPr>
      </w:pPr>
      <w:r>
        <w:rPr>
          <w:rFonts w:ascii="Times New Roman" w:cs="Times New Roman" w:eastAsia="Times New Roman" w:hAnsi="Times New Roman"/>
          <w:sz w:val="20"/>
          <w:szCs w:val="20"/>
          <w:color w:val="auto"/>
        </w:rPr>
        <w:t>To the extent dividends are paid on Shares covered by your RSUs prior to the date they become vested, you will be entitled to receive those dividends upon the vesting of the applicable RSU.</w:t>
      </w:r>
    </w:p>
    <w:p>
      <w:pPr>
        <w:spacing w:after="0" w:line="196" w:lineRule="exact"/>
        <w:rPr>
          <w:sz w:val="20"/>
          <w:szCs w:val="20"/>
          <w:color w:val="auto"/>
        </w:rPr>
      </w:pPr>
    </w:p>
    <w:p>
      <w:pPr>
        <w:jc w:val="both"/>
        <w:ind w:left="360" w:right="320"/>
        <w:spacing w:after="0" w:line="263" w:lineRule="auto"/>
        <w:rPr>
          <w:sz w:val="20"/>
          <w:szCs w:val="20"/>
          <w:color w:val="auto"/>
        </w:rPr>
      </w:pPr>
      <w:r>
        <w:rPr>
          <w:rFonts w:ascii="Times New Roman" w:cs="Times New Roman" w:eastAsia="Times New Roman" w:hAnsi="Times New Roman"/>
          <w:sz w:val="20"/>
          <w:szCs w:val="20"/>
          <w:b w:val="1"/>
          <w:bCs w:val="1"/>
          <w:color w:val="auto"/>
        </w:rPr>
        <w:t>Additional Terms</w:t>
      </w:r>
      <w:r>
        <w:rPr>
          <w:rFonts w:ascii="Times New Roman" w:cs="Times New Roman" w:eastAsia="Times New Roman" w:hAnsi="Times New Roman"/>
          <w:sz w:val="20"/>
          <w:szCs w:val="20"/>
          <w:color w:val="auto"/>
        </w:rPr>
        <w:t>: Your rights and duties and those of the Bank under your Award are governed by the provisions of this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attached Terms and Conditions and Plan document, both of which are incorporated into this Award Agreement by reference. If there is any discrepancy between these documents, the Plan document will always govern.</w:t>
      </w:r>
    </w:p>
    <w:p>
      <w:pPr>
        <w:spacing w:after="0" w:line="206"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20"/>
          <w:szCs w:val="20"/>
          <w:color w:val="auto"/>
        </w:rPr>
        <w:t>This Award is designated as incentive compensation that is in addition to your regular cash wages. No amount of Common Stock or income received by you pursuant to this Award will be considered compensation for purposes of any severance or any pension, retirement, insurance or other employee benefit plan or program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200"/>
          </w:cols>
          <w:pgMar w:left="360" w:top="189" w:right="339" w:bottom="1440" w:gutter="0" w:footer="0" w:header="0"/>
        </w:sectPr>
      </w:pPr>
    </w:p>
    <w:bookmarkStart w:id="78" w:name="page79"/>
    <w:bookmarkEnd w:id="78"/>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20"/>
          <w:szCs w:val="20"/>
          <w:color w:val="auto"/>
        </w:rPr>
        <w:t>the Bank or its Subsidiaries. It will not be included in calculating any employment-related benefits to which you may be entitled from the Bank or any Subsidiary. Participation in the Plan is discretionary and voluntary, and the Plan can be terminated at any time. This Award does not create a right or entitlement to future awards, whether pursuant to the Plan or otherwise.</w:t>
      </w:r>
    </w:p>
    <w:p>
      <w:pPr>
        <w:spacing w:after="0" w:line="208" w:lineRule="exact"/>
        <w:rPr>
          <w:sz w:val="20"/>
          <w:szCs w:val="20"/>
          <w:color w:val="auto"/>
        </w:rPr>
      </w:pPr>
    </w:p>
    <w:p>
      <w:pPr>
        <w:jc w:val="both"/>
        <w:ind w:left="220" w:right="320"/>
        <w:spacing w:after="0" w:line="261" w:lineRule="auto"/>
        <w:rPr>
          <w:sz w:val="20"/>
          <w:szCs w:val="20"/>
          <w:color w:val="auto"/>
        </w:rPr>
      </w:pPr>
      <w:r>
        <w:rPr>
          <w:rFonts w:ascii="Times New Roman" w:cs="Times New Roman" w:eastAsia="Times New Roman" w:hAnsi="Times New Roman"/>
          <w:sz w:val="20"/>
          <w:szCs w:val="20"/>
          <w:color w:val="auto"/>
        </w:rPr>
        <w:t>The governing law for purposes of resolving any issue relating to this Award or the Plan shall be United States federal law and, where appropriate, the laws of the State of New York. Any dispute regarding this Award or the Plan shall be resolved by a court of law in the City of New York, State of New York.</w:t>
      </w:r>
    </w:p>
    <w:p>
      <w:pPr>
        <w:spacing w:after="0" w:line="204" w:lineRule="exact"/>
        <w:rPr>
          <w:sz w:val="20"/>
          <w:szCs w:val="20"/>
          <w:color w:val="auto"/>
        </w:rPr>
      </w:pPr>
    </w:p>
    <w:p>
      <w:pPr>
        <w:jc w:val="both"/>
        <w:ind w:left="220" w:right="3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any questions regarding your Award, please see the enclosed Terms and Conditions and Plan document,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contact our Human Resources department.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BY: AMALGAMATED FINANCIAL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200"/>
          </w:cols>
          <w:pgMar w:left="360" w:top="189" w:right="339" w:bottom="1440" w:gutter="0" w:footer="0" w:header="0"/>
        </w:sectPr>
      </w:pPr>
    </w:p>
    <w:bookmarkStart w:id="79" w:name="page80"/>
    <w:bookmarkEnd w:id="79"/>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AMALGAMATED FINANCIAL CORP. 2023 EQUITY INCENTIVE PLAN </w:t>
      </w:r>
      <w:r>
        <w:rPr>
          <w:rFonts w:ascii="Times New Roman" w:cs="Times New Roman" w:eastAsia="Times New Roman" w:hAnsi="Times New Roman"/>
          <w:sz w:val="20"/>
          <w:szCs w:val="20"/>
          <w:b w:val="1"/>
          <w:bCs w:val="1"/>
          <w:u w:val="single" w:color="auto"/>
          <w:color w:val="auto"/>
        </w:rPr>
        <w:t>PERFORMANCE UNIT TERMS AND</w:t>
      </w:r>
    </w:p>
    <w:p>
      <w:pPr>
        <w:spacing w:after="0" w:line="22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w:t>
      </w:r>
    </w:p>
    <w:p>
      <w:pPr>
        <w:spacing w:after="0" w:line="112" w:lineRule="exact"/>
        <w:rPr>
          <w:sz w:val="20"/>
          <w:szCs w:val="20"/>
          <w:color w:val="auto"/>
        </w:rPr>
      </w:pPr>
    </w:p>
    <w:p>
      <w:pPr>
        <w:jc w:val="both"/>
        <w:ind w:left="300" w:right="220"/>
        <w:spacing w:after="0" w:line="258" w:lineRule="auto"/>
        <w:rPr>
          <w:sz w:val="20"/>
          <w:szCs w:val="20"/>
          <w:color w:val="auto"/>
        </w:rPr>
      </w:pPr>
      <w:r>
        <w:rPr>
          <w:rFonts w:ascii="Times New Roman" w:cs="Times New Roman" w:eastAsia="Times New Roman" w:hAnsi="Times New Roman"/>
          <w:sz w:val="20"/>
          <w:szCs w:val="20"/>
          <w:color w:val="auto"/>
        </w:rPr>
        <w:t>This document is intended to provide you some background on the Amalgamated Financial Corp. 2023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to help you better understand the terms and conditions of the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granted to you under the Plan. References in this document to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are intended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refer to Amalgamated Financial Corp.</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1.  How are Award recipients chosen?</w:t>
      </w:r>
    </w:p>
    <w:p>
      <w:pPr>
        <w:spacing w:after="0" w:line="256" w:lineRule="exact"/>
        <w:rPr>
          <w:sz w:val="20"/>
          <w:szCs w:val="20"/>
          <w:color w:val="auto"/>
        </w:rPr>
      </w:pPr>
    </w:p>
    <w:p>
      <w:pPr>
        <w:jc w:val="both"/>
        <w:ind w:left="300" w:right="220"/>
        <w:spacing w:after="0" w:line="263" w:lineRule="auto"/>
        <w:rPr>
          <w:sz w:val="20"/>
          <w:szCs w:val="20"/>
          <w:color w:val="auto"/>
        </w:rPr>
      </w:pPr>
      <w:r>
        <w:rPr>
          <w:rFonts w:ascii="Times New Roman" w:cs="Times New Roman" w:eastAsia="Times New Roman" w:hAnsi="Times New Roman"/>
          <w:sz w:val="20"/>
          <w:szCs w:val="20"/>
          <w:color w:val="auto"/>
        </w:rPr>
        <w:t>Under our current process, the Compensation Committee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approves executive equity awards, although the Committee may delegate the power to make non-officer awards to an officer of the Bank and the Board has the authority to reserve these powers to the full Board with respect to some or all eligible individuals.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2.  What is the value of my Award?</w:t>
      </w:r>
    </w:p>
    <w:p>
      <w:pPr>
        <w:spacing w:after="0" w:line="260" w:lineRule="exact"/>
        <w:rPr>
          <w:sz w:val="20"/>
          <w:szCs w:val="20"/>
          <w:color w:val="auto"/>
        </w:rPr>
      </w:pPr>
    </w:p>
    <w:p>
      <w:pPr>
        <w:jc w:val="both"/>
        <w:ind w:left="300" w:right="220"/>
        <w:spacing w:after="0" w:line="283" w:lineRule="auto"/>
        <w:rPr>
          <w:sz w:val="20"/>
          <w:szCs w:val="20"/>
          <w:color w:val="auto"/>
        </w:rPr>
      </w:pPr>
      <w:r>
        <w:rPr>
          <w:rFonts w:ascii="Times New Roman" w:cs="Times New Roman" w:eastAsia="Times New Roman" w:hAnsi="Times New Roman"/>
          <w:sz w:val="20"/>
          <w:szCs w:val="20"/>
          <w:color w:val="auto"/>
        </w:rPr>
        <w:t>The value of each Share covered by your RSU Award is equal to the market price of one Share of Bank Common Stock, and will have the same value as established on the exchange on which the Shares are traded.</w:t>
      </w:r>
    </w:p>
    <w:p>
      <w:pPr>
        <w:spacing w:after="0" w:line="160" w:lineRule="exact"/>
        <w:rPr>
          <w:sz w:val="20"/>
          <w:szCs w:val="20"/>
          <w:color w:val="auto"/>
        </w:rPr>
      </w:pPr>
    </w:p>
    <w:p>
      <w:pPr>
        <w:jc w:val="both"/>
        <w:ind w:left="300" w:right="220"/>
        <w:spacing w:after="0" w:line="261" w:lineRule="auto"/>
        <w:rPr>
          <w:sz w:val="20"/>
          <w:szCs w:val="20"/>
          <w:color w:val="auto"/>
        </w:rPr>
      </w:pPr>
      <w:r>
        <w:rPr>
          <w:rFonts w:ascii="Times New Roman" w:cs="Times New Roman" w:eastAsia="Times New Roman" w:hAnsi="Times New Roman"/>
          <w:sz w:val="20"/>
          <w:szCs w:val="20"/>
          <w:color w:val="auto"/>
        </w:rPr>
        <w:t>Under current tax laws, you will be taxed on the market price of the Share(s) vesting under your RSU Award at the time the Shares (or in certain cases, their cash equivalent) are paid to you in settlement of your Award. We recommend that you consult your personal tax advisor to discuss the potential tax consequences to you of receiving this Award.</w:t>
      </w:r>
    </w:p>
    <w:p>
      <w:pPr>
        <w:spacing w:after="0" w:line="208" w:lineRule="exact"/>
        <w:rPr>
          <w:sz w:val="20"/>
          <w:szCs w:val="20"/>
          <w:color w:val="auto"/>
        </w:rPr>
      </w:pPr>
    </w:p>
    <w:p>
      <w:pPr>
        <w:jc w:val="both"/>
        <w:ind w:left="300" w:right="220"/>
        <w:spacing w:after="0" w:line="269" w:lineRule="auto"/>
        <w:rPr>
          <w:sz w:val="20"/>
          <w:szCs w:val="20"/>
          <w:color w:val="auto"/>
        </w:rPr>
      </w:pPr>
      <w:r>
        <w:rPr>
          <w:rFonts w:ascii="Times New Roman" w:cs="Times New Roman" w:eastAsia="Times New Roman" w:hAnsi="Times New Roman"/>
          <w:sz w:val="20"/>
          <w:szCs w:val="20"/>
          <w:color w:val="auto"/>
        </w:rPr>
        <w:t>Note that no amount of cash or Common Stock received by you pursuant to your Award will be considered compensation for purposes of any severance or any pension, retirement, insurance or other employee benefit plan of the Bank or its Subsidiaries.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3.  When will my Restricted Stock Units vest?</w:t>
      </w:r>
    </w:p>
    <w:p>
      <w:pPr>
        <w:spacing w:after="0" w:line="233" w:lineRule="exact"/>
        <w:rPr>
          <w:sz w:val="20"/>
          <w:szCs w:val="20"/>
          <w:color w:val="auto"/>
        </w:rPr>
      </w:pPr>
    </w:p>
    <w:p>
      <w:pPr>
        <w:ind w:left="300" w:right="180"/>
        <w:spacing w:after="0" w:line="269" w:lineRule="auto"/>
        <w:rPr>
          <w:sz w:val="20"/>
          <w:szCs w:val="20"/>
          <w:color w:val="auto"/>
        </w:rPr>
      </w:pPr>
      <w:r>
        <w:rPr>
          <w:rFonts w:ascii="Times New Roman" w:cs="Times New Roman" w:eastAsia="Times New Roman" w:hAnsi="Times New Roman"/>
          <w:sz w:val="20"/>
          <w:szCs w:val="20"/>
          <w:color w:val="auto"/>
        </w:rPr>
        <w:t>Generally, your Restricted Stock Units will vest (in whole Shares, rounded down) based on achievement of the Performance Measures during the Performance Periods, as set forth in your Award Agreement.</w:t>
      </w:r>
    </w:p>
    <w:p>
      <w:pPr>
        <w:spacing w:after="0" w:line="200" w:lineRule="exact"/>
        <w:rPr>
          <w:sz w:val="20"/>
          <w:szCs w:val="20"/>
          <w:color w:val="auto"/>
        </w:rPr>
      </w:pPr>
    </w:p>
    <w:p>
      <w:pPr>
        <w:ind w:left="300" w:right="480"/>
        <w:spacing w:after="0" w:line="283" w:lineRule="auto"/>
        <w:rPr>
          <w:sz w:val="20"/>
          <w:szCs w:val="20"/>
          <w:color w:val="auto"/>
        </w:rPr>
      </w:pPr>
      <w:r>
        <w:rPr>
          <w:rFonts w:ascii="Times New Roman" w:cs="Times New Roman" w:eastAsia="Times New Roman" w:hAnsi="Times New Roman"/>
          <w:sz w:val="20"/>
          <w:szCs w:val="20"/>
          <w:color w:val="auto"/>
        </w:rPr>
        <w:t>Your Award Agreement may provide for earlier vesting dates upon specific events. Please refer to your Award Agreement to see if special early vesting dates apply to your Restricted Stock.</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Committee may, in its sole discretion, choose to accelerate or extend the vesting of Awards in special circumstances.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4.  When do I receive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100"/>
          </w:cols>
          <w:pgMar w:left="360" w:top="189" w:right="439" w:bottom="1440" w:gutter="0" w:footer="0" w:header="0"/>
        </w:sectPr>
      </w:pPr>
    </w:p>
    <w:bookmarkStart w:id="80" w:name="page81"/>
    <w:bookmarkEnd w:id="80"/>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right="140"/>
        <w:spacing w:after="0" w:line="276" w:lineRule="auto"/>
        <w:rPr>
          <w:sz w:val="20"/>
          <w:szCs w:val="20"/>
          <w:color w:val="auto"/>
        </w:rPr>
      </w:pPr>
      <w:r>
        <w:rPr>
          <w:rFonts w:ascii="Times New Roman" w:cs="Times New Roman" w:eastAsia="Times New Roman" w:hAnsi="Times New Roman"/>
          <w:sz w:val="19"/>
          <w:szCs w:val="19"/>
          <w:color w:val="auto"/>
        </w:rPr>
        <w:t>As soon as administratively practical after the date the Performance Period applicable to your RSUs ends, as specified in your Award Agreement, the specified number of Shares of our Common Stock will be delivered to you for each RSU that vests. Delivery of Shares, either electronically or in certificate form (as we determine), will usually be made within approximately 30 days after such Performance Period end. Fractional shares will not be paid. In some cases, the Bank may instead pay the cash equivalent of Shares to you.</w:t>
      </w:r>
    </w:p>
    <w:p>
      <w:pPr>
        <w:spacing w:after="0" w:line="197" w:lineRule="exact"/>
        <w:rPr>
          <w:sz w:val="20"/>
          <w:szCs w:val="20"/>
          <w:color w:val="auto"/>
        </w:rPr>
      </w:pPr>
    </w:p>
    <w:p>
      <w:pPr>
        <w:jc w:val="both"/>
        <w:ind w:left="300" w:right="320"/>
        <w:spacing w:after="0" w:line="261" w:lineRule="auto"/>
        <w:rPr>
          <w:sz w:val="20"/>
          <w:szCs w:val="20"/>
          <w:color w:val="auto"/>
        </w:rPr>
      </w:pPr>
      <w:r>
        <w:rPr>
          <w:rFonts w:ascii="Times New Roman" w:cs="Times New Roman" w:eastAsia="Times New Roman" w:hAnsi="Times New Roman"/>
          <w:sz w:val="20"/>
          <w:szCs w:val="20"/>
          <w:color w:val="auto"/>
        </w:rPr>
        <w:t>By accepting this Award, you acknowledge that, except as may otherwise be provided in your Award Agreement, if you Separate from Service prior to the end of the Performance Periods, you will forfeit all of your unvested RSUs and any other rights associated with your unvested RSUs under the Plan.</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5.  Do I have to pay any tax in connection with this RSU Award?</w:t>
      </w:r>
    </w:p>
    <w:p>
      <w:pPr>
        <w:spacing w:after="0" w:line="247" w:lineRule="exact"/>
        <w:rPr>
          <w:sz w:val="20"/>
          <w:szCs w:val="20"/>
          <w:color w:val="auto"/>
        </w:rPr>
      </w:pPr>
    </w:p>
    <w:p>
      <w:pPr>
        <w:jc w:val="both"/>
        <w:ind w:left="300" w:right="320"/>
        <w:spacing w:after="0" w:line="251" w:lineRule="auto"/>
        <w:rPr>
          <w:sz w:val="20"/>
          <w:szCs w:val="20"/>
          <w:color w:val="auto"/>
        </w:rPr>
      </w:pPr>
      <w:r>
        <w:rPr>
          <w:rFonts w:ascii="Times New Roman" w:cs="Times New Roman" w:eastAsia="Times New Roman" w:hAnsi="Times New Roman"/>
          <w:sz w:val="20"/>
          <w:szCs w:val="20"/>
          <w:color w:val="auto"/>
        </w:rPr>
        <w:t>Yes, you are subject to federal (and in some cases, state and local) income taxes on the fair market value of your Restricted Stock Units in the year that you are paid Shares of Common Stock (or in certain cases, their cash equivalent) in settlement of your Award. If you are an employee, we are required under current federal (and some state and local) tax laws to withhold taxes from you. This may be accomplished by withholding whole Shares of Common Stock with an equivalent value. We will round down to the nearest whole Share. To the extent this Share withholding is not sufficient, or is prohibited or limited by applicable law, you will ultimately be responsible for any additional taxes due. If withholding is determined by us to be not possible or inadequate, we will have the right to require cash payment and/or make deductions from other payments due to you that are sufficient to satisfy these requirements.</w:t>
      </w:r>
    </w:p>
    <w:p>
      <w:pPr>
        <w:spacing w:after="0" w:line="222" w:lineRule="exact"/>
        <w:rPr>
          <w:sz w:val="20"/>
          <w:szCs w:val="20"/>
          <w:color w:val="auto"/>
        </w:rPr>
      </w:pPr>
    </w:p>
    <w:p>
      <w:pPr>
        <w:jc w:val="both"/>
        <w:ind w:left="300" w:right="320"/>
        <w:spacing w:after="0" w:line="269" w:lineRule="auto"/>
        <w:rPr>
          <w:sz w:val="20"/>
          <w:szCs w:val="20"/>
          <w:color w:val="auto"/>
        </w:rPr>
      </w:pPr>
      <w:r>
        <w:rPr>
          <w:rFonts w:ascii="Times New Roman" w:cs="Times New Roman" w:eastAsia="Times New Roman" w:hAnsi="Times New Roman"/>
          <w:sz w:val="20"/>
          <w:szCs w:val="20"/>
          <w:color w:val="auto"/>
        </w:rPr>
        <w:t>You may not rely on the Bank or any of its officers, directors or employees for tax or legal advice regarding this Award. We make no representations with respect to and hereby disclaim all responsibility as to the tax treatment of your Award.</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6.  What are my rights as a stockholder with respect to my Restricted Stock Units?</w:t>
      </w:r>
    </w:p>
    <w:p>
      <w:pPr>
        <w:spacing w:after="0" w:line="247" w:lineRule="exact"/>
        <w:rPr>
          <w:sz w:val="20"/>
          <w:szCs w:val="20"/>
          <w:color w:val="auto"/>
        </w:rPr>
      </w:pPr>
    </w:p>
    <w:p>
      <w:pPr>
        <w:jc w:val="both"/>
        <w:ind w:left="300" w:right="940"/>
        <w:spacing w:after="0" w:line="261" w:lineRule="auto"/>
        <w:rPr>
          <w:sz w:val="20"/>
          <w:szCs w:val="20"/>
          <w:color w:val="auto"/>
        </w:rPr>
      </w:pPr>
      <w:r>
        <w:rPr>
          <w:rFonts w:ascii="Times New Roman" w:cs="Times New Roman" w:eastAsia="Times New Roman" w:hAnsi="Times New Roman"/>
          <w:sz w:val="20"/>
          <w:szCs w:val="20"/>
          <w:color w:val="auto"/>
        </w:rPr>
        <w:t>Until you actually receive Shares (if any) in settlement of your Award, you will generally have no rights as a stockholder with respect to those Shares, such as the right to vote the Shares or the right to receive dividends, unless the Board has specifically provided otherwise in your Award Agreement.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7.  Are there restrictions on the transfer of my Restricted Stock Units?</w:t>
      </w:r>
    </w:p>
    <w:p>
      <w:pPr>
        <w:spacing w:after="0" w:line="233" w:lineRule="exact"/>
        <w:rPr>
          <w:sz w:val="20"/>
          <w:szCs w:val="20"/>
          <w:color w:val="auto"/>
        </w:rPr>
      </w:pPr>
    </w:p>
    <w:p>
      <w:pPr>
        <w:jc w:val="both"/>
        <w:ind w:left="300" w:right="320"/>
        <w:spacing w:after="0" w:line="257" w:lineRule="auto"/>
        <w:rPr>
          <w:sz w:val="20"/>
          <w:szCs w:val="20"/>
          <w:color w:val="auto"/>
        </w:rPr>
      </w:pPr>
      <w:r>
        <w:rPr>
          <w:rFonts w:ascii="Times New Roman" w:cs="Times New Roman" w:eastAsia="Times New Roman" w:hAnsi="Times New Roman"/>
          <w:sz w:val="20"/>
          <w:szCs w:val="20"/>
          <w:color w:val="auto"/>
        </w:rPr>
        <w:t>You may not sell, transfer, pledge, assign, or otherwise alienate or hypothecate your RSUs, whether voluntarily or involuntarily, by operation of law or otherwise, except upon your death or as otherwise specifically provided in the Plan. If you die, your beneficiary or the personal representative of your estate can act on your behalf. Once you receive any Share, you will normally be entitled to all rights of ownership to such Share. Under certain circumstances described in the Plan, however, these rights may be delayed or subject to additional limitations or restrictions.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8.  How do I designate my beneficiary or beneficiaries?</w:t>
      </w:r>
    </w:p>
    <w:p>
      <w:pPr>
        <w:spacing w:after="0" w:line="260" w:lineRule="exact"/>
        <w:rPr>
          <w:sz w:val="20"/>
          <w:szCs w:val="20"/>
          <w:color w:val="auto"/>
        </w:rPr>
      </w:pPr>
    </w:p>
    <w:p>
      <w:pPr>
        <w:jc w:val="both"/>
        <w:ind w:left="220"/>
        <w:spacing w:after="0" w:line="258" w:lineRule="auto"/>
        <w:rPr>
          <w:sz w:val="20"/>
          <w:szCs w:val="20"/>
          <w:color w:val="auto"/>
        </w:rPr>
      </w:pPr>
      <w:r>
        <w:rPr>
          <w:rFonts w:ascii="Times New Roman" w:cs="Times New Roman" w:eastAsia="Times New Roman" w:hAnsi="Times New Roman"/>
          <w:sz w:val="20"/>
          <w:szCs w:val="20"/>
          <w:color w:val="auto"/>
        </w:rPr>
        <w:t>You must obtain and file a completed beneficiary designation form with our Human Resources department. Each time you file a beneficiary designation form, all previously-filed beneficiary designation forms will be revoked and of no further force or effect. If you want to name multiple beneficiaries, all beneficiaries must be listed on a single beneficiary designation form (including attachments, if necessary). If you do not file a beneficiary designation form, benefits remaining unpaid at your death will be paid to your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200"/>
          </w:cols>
          <w:pgMar w:left="360" w:top="189" w:right="339" w:bottom="1440" w:gutter="0" w:footer="0" w:header="0"/>
        </w:sectPr>
      </w:pPr>
    </w:p>
    <w:bookmarkStart w:id="81" w:name="page82"/>
    <w:bookmarkEnd w:id="81"/>
    <w:p>
      <w:pPr>
        <w:ind w:left="798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9.  Are there restrictions on the delivery and sale of Shares?</w:t>
      </w:r>
    </w:p>
    <w:p>
      <w:pPr>
        <w:spacing w:after="0" w:line="260" w:lineRule="exact"/>
        <w:rPr>
          <w:sz w:val="20"/>
          <w:szCs w:val="20"/>
          <w:color w:val="auto"/>
        </w:rPr>
      </w:pPr>
    </w:p>
    <w:p>
      <w:pPr>
        <w:jc w:val="both"/>
        <w:ind w:left="300" w:right="320"/>
        <w:spacing w:after="0" w:line="253" w:lineRule="auto"/>
        <w:rPr>
          <w:sz w:val="20"/>
          <w:szCs w:val="20"/>
          <w:color w:val="auto"/>
        </w:rPr>
      </w:pPr>
      <w:r>
        <w:rPr>
          <w:rFonts w:ascii="Times New Roman" w:cs="Times New Roman" w:eastAsia="Times New Roman" w:hAnsi="Times New Roman"/>
          <w:sz w:val="20"/>
          <w:szCs w:val="20"/>
          <w:color w:val="auto"/>
        </w:rPr>
        <w:t>Shares issued to you upon the vesting of Restricted Stock Units are subject to federal securities laws. In some cases, state or local securities laws may also apply. If the Board determines that certain registrations or filings are needed or desired to comply with these various securities laws, then we may delay the delivery of your Shares until the necessary approvals or filings are obtained. In order for us to meet an exemption from securities registration requirements, we may also require you to provide us with certain information, representations and warranties before we will issue Shares to you.</w:t>
      </w:r>
    </w:p>
    <w:p>
      <w:pPr>
        <w:spacing w:after="0" w:line="219" w:lineRule="exact"/>
        <w:rPr>
          <w:sz w:val="20"/>
          <w:szCs w:val="20"/>
          <w:color w:val="auto"/>
        </w:rPr>
      </w:pPr>
    </w:p>
    <w:p>
      <w:pPr>
        <w:jc w:val="both"/>
        <w:ind w:left="300" w:right="320"/>
        <w:spacing w:after="0" w:line="269" w:lineRule="auto"/>
        <w:rPr>
          <w:sz w:val="20"/>
          <w:szCs w:val="20"/>
          <w:color w:val="auto"/>
        </w:rPr>
      </w:pPr>
      <w:r>
        <w:rPr>
          <w:rFonts w:ascii="Times New Roman" w:cs="Times New Roman" w:eastAsia="Times New Roman" w:hAnsi="Times New Roman"/>
          <w:sz w:val="20"/>
          <w:szCs w:val="20"/>
          <w:color w:val="auto"/>
        </w:rPr>
        <w:t>Where applicable, the certificates evidencing any Shares may contain wording (or otherwise as appropriate in electronic format) indicating that conditions, restrictions, rights and obligations apply.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10. Does the receipt of my Award guarantee continued service with the Bank?</w:t>
      </w:r>
    </w:p>
    <w:p>
      <w:pPr>
        <w:spacing w:after="0" w:line="247" w:lineRule="exact"/>
        <w:rPr>
          <w:sz w:val="20"/>
          <w:szCs w:val="20"/>
          <w:color w:val="auto"/>
        </w:rPr>
      </w:pPr>
    </w:p>
    <w:p>
      <w:pPr>
        <w:jc w:val="both"/>
        <w:ind w:left="300" w:right="320"/>
        <w:spacing w:after="0" w:line="283" w:lineRule="auto"/>
        <w:rPr>
          <w:sz w:val="20"/>
          <w:szCs w:val="20"/>
          <w:color w:val="auto"/>
        </w:rPr>
      </w:pPr>
      <w:r>
        <w:rPr>
          <w:rFonts w:ascii="Times New Roman" w:cs="Times New Roman" w:eastAsia="Times New Roman" w:hAnsi="Times New Roman"/>
          <w:sz w:val="20"/>
          <w:szCs w:val="20"/>
          <w:color w:val="auto"/>
        </w:rPr>
        <w:t>No. Neither the establishment of the Plan, your Award of RSUs, nor the issuance of Shares or other consideration in connection with your Award, gives you the right to continued employment or service with the Bank (or any of our Subsidiaries).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11. What events can trigger forfeiture of my Restricted Stock Units?</w:t>
      </w:r>
    </w:p>
    <w:p>
      <w:pPr>
        <w:spacing w:after="0" w:line="260" w:lineRule="exact"/>
        <w:rPr>
          <w:sz w:val="20"/>
          <w:szCs w:val="20"/>
          <w:color w:val="auto"/>
        </w:rPr>
      </w:pPr>
    </w:p>
    <w:p>
      <w:pPr>
        <w:jc w:val="both"/>
        <w:ind w:left="300" w:right="340"/>
        <w:spacing w:after="0" w:line="283" w:lineRule="auto"/>
        <w:rPr>
          <w:sz w:val="20"/>
          <w:szCs w:val="20"/>
          <w:color w:val="auto"/>
        </w:rPr>
      </w:pPr>
      <w:r>
        <w:rPr>
          <w:rFonts w:ascii="Times New Roman" w:cs="Times New Roman" w:eastAsia="Times New Roman" w:hAnsi="Times New Roman"/>
          <w:sz w:val="20"/>
          <w:szCs w:val="20"/>
          <w:color w:val="auto"/>
        </w:rPr>
        <w:t>Except as may otherwise be specifically provided in your Award Agreement, your unvested RSUs will normally be cancelled and forfeited upon your Separation from Service.</w:t>
      </w:r>
    </w:p>
    <w:p>
      <w:pPr>
        <w:spacing w:after="0" w:line="160" w:lineRule="exact"/>
        <w:rPr>
          <w:sz w:val="20"/>
          <w:szCs w:val="20"/>
          <w:color w:val="auto"/>
        </w:rPr>
      </w:pPr>
    </w:p>
    <w:p>
      <w:pPr>
        <w:jc w:val="both"/>
        <w:ind w:left="300" w:right="320"/>
        <w:spacing w:after="0" w:line="258" w:lineRule="auto"/>
        <w:rPr>
          <w:sz w:val="20"/>
          <w:szCs w:val="20"/>
          <w:color w:val="auto"/>
        </w:rPr>
      </w:pPr>
      <w:r>
        <w:rPr>
          <w:rFonts w:ascii="Times New Roman" w:cs="Times New Roman" w:eastAsia="Times New Roman" w:hAnsi="Times New Roman"/>
          <w:sz w:val="20"/>
          <w:szCs w:val="20"/>
          <w:color w:val="auto"/>
        </w:rPr>
        <w:t>In addition, your RSUs and any cash or Shares paid to you in settlement of your RSUs, and any profits from sale of such Shares, are subject to clawback, recoupment or repayment if you commit certain bad acts, you engage in certain practices injurious to the Bank or its Subsidiaries, or if the Bank experiences regulatory or capital issues. These clawback, recoupment and repayment provisions are set forth in detail in Section 8(j) of the Plan.</w:t>
      </w:r>
    </w:p>
    <w:p>
      <w:pPr>
        <w:spacing w:after="0" w:line="199" w:lineRule="exact"/>
        <w:rPr>
          <w:sz w:val="20"/>
          <w:szCs w:val="20"/>
          <w:color w:val="auto"/>
        </w:rPr>
      </w:pPr>
    </w:p>
    <w:p>
      <w:pPr>
        <w:jc w:val="both"/>
        <w:ind w:left="300" w:right="320"/>
        <w:spacing w:after="0" w:line="283" w:lineRule="auto"/>
        <w:rPr>
          <w:sz w:val="20"/>
          <w:szCs w:val="20"/>
          <w:color w:val="auto"/>
        </w:rPr>
      </w:pPr>
      <w:r>
        <w:rPr>
          <w:rFonts w:ascii="Times New Roman" w:cs="Times New Roman" w:eastAsia="Times New Roman" w:hAnsi="Times New Roman"/>
          <w:sz w:val="20"/>
          <w:szCs w:val="20"/>
          <w:color w:val="auto"/>
        </w:rPr>
        <w:t>The Committee may, in its discretion, accelerate the vesting of your Award in special circumstances, subject to certain provisions of the Plan and the law.</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12. What documents govern my Restricted Stock Units?</w:t>
      </w:r>
    </w:p>
    <w:p>
      <w:pPr>
        <w:spacing w:after="0" w:line="260"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20"/>
          <w:szCs w:val="20"/>
          <w:color w:val="auto"/>
        </w:rPr>
        <w:t>The Plan, your Award Agreement, and these Terms and Conditions express the entire understanding between you and the Bank with respect to your Restricted Stock Units. In the event of any conflict between these documents, the terms of the Plan will always govern. You should never rely on any oral description of the Plan or your Award Agreement because the written terms of the Plan will always govern. The Committee has the sole authority to interpret this document and the Plan. Any such interpretation will be binding on you, us, and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1200"/>
          </w:cols>
          <w:pgMar w:left="360" w:top="18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6"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0"/>
          <w:szCs w:val="20"/>
          <w:b w:val="1"/>
          <w:bCs w:val="1"/>
          <w:color w:val="auto"/>
        </w:rPr>
        <w:t>Relative TSR Comparator Group List (n=79)</w:t>
      </w:r>
    </w:p>
    <w:p>
      <w:pPr>
        <w:spacing w:after="0" w:line="200" w:lineRule="exact"/>
        <w:rPr>
          <w:sz w:val="20"/>
          <w:szCs w:val="20"/>
          <w:color w:val="auto"/>
        </w:rPr>
      </w:pPr>
    </w:p>
    <w:p>
      <w:pPr>
        <w:spacing w:after="0" w:line="34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0320"/>
          </w:cols>
          <w:pgMar w:left="360" w:top="189" w:right="12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 ID - 47211728.2</w:t>
      </w:r>
    </w:p>
    <w:p>
      <w:pPr>
        <w:sectPr>
          <w:pgSz w:w="11900" w:h="16838" w:orient="portrait"/>
          <w:cols w:equalWidth="0" w:num="1">
            <w:col w:w="10320"/>
          </w:cols>
          <w:pgMar w:left="360" w:top="189" w:right="1219" w:bottom="1440" w:gutter="0" w:footer="0" w:header="0"/>
        </w:sectPr>
      </w:pPr>
    </w:p>
    <w:bookmarkStart w:id="84" w:name="page85"/>
    <w:bookmarkEnd w:id="84"/>
    <w:p>
      <w:pPr>
        <w:spacing w:after="0" w:line="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color w:val="auto"/>
        </w:rPr>
        <w:t xml:space="preserve">AMALGAMATED FINANCIAL CORP. 2023 EQUITY INCENTIVE PLAN </w:t>
      </w:r>
      <w:r>
        <w:rPr>
          <w:rFonts w:ascii="Times New Roman" w:cs="Times New Roman" w:eastAsia="Times New Roman" w:hAnsi="Times New Roman"/>
          <w:sz w:val="20"/>
          <w:szCs w:val="20"/>
          <w:b w:val="1"/>
          <w:bCs w:val="1"/>
          <w:u w:val="single" w:color="auto"/>
          <w:color w:val="auto"/>
        </w:rPr>
        <w:t>PERFORMANCE UNIT AWARD</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121" w:lineRule="exact"/>
        <w:rPr>
          <w:sz w:val="20"/>
          <w:szCs w:val="20"/>
          <w:color w:val="auto"/>
        </w:rPr>
      </w:pPr>
    </w:p>
    <w:p>
      <w:pPr>
        <w:jc w:val="both"/>
        <w:ind w:left="200" w:right="200"/>
        <w:spacing w:after="0" w:line="263" w:lineRule="auto"/>
        <w:rPr>
          <w:sz w:val="20"/>
          <w:szCs w:val="20"/>
          <w:color w:val="auto"/>
        </w:rPr>
      </w:pPr>
      <w:r>
        <w:rPr>
          <w:rFonts w:ascii="Times New Roman" w:cs="Times New Roman" w:eastAsia="Times New Roman" w:hAnsi="Times New Roman"/>
          <w:sz w:val="20"/>
          <w:szCs w:val="20"/>
          <w:color w:val="auto"/>
        </w:rPr>
        <w:t>Amalgamated Financial Corp. (the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hereby grants you restricted stock units through the Amalgamated Financial Corp. 2023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subject to certain restrictions as described herein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Performance Restricted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PRSUs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349240" cy="25114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3492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00" w:right="20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The vesting and forfeiture provisions that apply to your Restricted Stock Units are described in the Plan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Terms and Conditions. You will vest in your Restricted Stock Units (in whole Shares, rounded down) based on the Bank’s achievement of the following Performance Measures during the designated Performance Periods so long as the following conditions are met as of the end of the applicable Performance Period: (a) you have not Separated from Service, (b) you have not provided notice to us of your resignation, and (c) we have not provided notice to you of your termination for Cause. Determination of the number of RSUs that vest based on achievement of each of the following Performance Measures is mutually exclusive.</w:t>
      </w:r>
    </w:p>
    <w:p>
      <w:pPr>
        <w:spacing w:after="0" w:line="191" w:lineRule="exact"/>
        <w:rPr>
          <w:sz w:val="20"/>
          <w:szCs w:val="20"/>
          <w:color w:val="auto"/>
        </w:rPr>
      </w:pPr>
    </w:p>
    <w:p>
      <w:pPr>
        <w:jc w:val="both"/>
        <w:ind w:left="840" w:right="200" w:hanging="315"/>
        <w:spacing w:after="0" w:line="261" w:lineRule="auto"/>
        <w:tabs>
          <w:tab w:leader="none" w:pos="83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 Value Growth RSUs.</w:t>
      </w:r>
      <w:r>
        <w:rPr>
          <w:rFonts w:ascii="Times New Roman" w:cs="Times New Roman" w:eastAsia="Times New Roman" w:hAnsi="Times New Roman"/>
          <w:sz w:val="20"/>
          <w:szCs w:val="20"/>
          <w:color w:val="auto"/>
        </w:rPr>
        <w:t xml:space="preserve"> RSUs (rounded down to the nearest whole Share) representing fifty percent (50%) of the total Fair Market Value of your Award on its Date of Grant (</w:t>
      </w:r>
      <w:r>
        <w:rPr>
          <w:rFonts w:ascii="Times New Roman" w:cs="Times New Roman" w:eastAsia="Times New Roman" w:hAnsi="Times New Roman"/>
          <w:sz w:val="20"/>
          <w:szCs w:val="20"/>
          <w:b w:val="1"/>
          <w:bCs w:val="1"/>
          <w:color w:val="auto"/>
        </w:rPr>
        <w:t>“Book Value Growth RSUs”</w:t>
      </w:r>
      <w:r>
        <w:rPr>
          <w:rFonts w:ascii="Times New Roman" w:cs="Times New Roman" w:eastAsia="Times New Roman" w:hAnsi="Times New Roman"/>
          <w:sz w:val="20"/>
          <w:szCs w:val="20"/>
          <w:color w:val="auto"/>
        </w:rPr>
        <w:t>) shall vest based on Adjusted Tangible Book Value Growth per Share over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180975</wp:posOffset>
            </wp:positionV>
            <wp:extent cx="4697730" cy="968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4697730" cy="968375"/>
                    </a:xfrm>
                    <a:prstGeom prst="rect">
                      <a:avLst/>
                    </a:prstGeom>
                    <a:noFill/>
                  </pic:spPr>
                </pic:pic>
              </a:graphicData>
            </a:graphic>
          </wp:anchor>
        </w:drawing>
      </w:r>
    </w:p>
    <w:p>
      <w:pPr>
        <w:spacing w:after="0" w:line="265"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70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400" w:type="dxa"/>
            <w:vAlign w:val="bottom"/>
          </w:tcPr>
          <w:p>
            <w:pPr>
              <w:jc w:val="center"/>
              <w:ind w:left="421"/>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62"/>
        </w:trPr>
        <w:tc>
          <w:tcPr>
            <w:tcW w:w="2060" w:type="dxa"/>
            <w:vAlign w:val="bottom"/>
          </w:tcPr>
          <w:p>
            <w:pPr>
              <w:spacing w:after="0"/>
              <w:rPr>
                <w:sz w:val="22"/>
                <w:szCs w:val="22"/>
                <w:color w:val="auto"/>
              </w:rPr>
            </w:pPr>
          </w:p>
        </w:tc>
        <w:tc>
          <w:tcPr>
            <w:tcW w:w="170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Goal</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Goal</w:t>
            </w:r>
          </w:p>
        </w:tc>
        <w:tc>
          <w:tcPr>
            <w:tcW w:w="1400" w:type="dxa"/>
            <w:vAlign w:val="bottom"/>
          </w:tcPr>
          <w:p>
            <w:pPr>
              <w:jc w:val="center"/>
              <w:ind w:left="421"/>
              <w:spacing w:after="0"/>
              <w:rPr>
                <w:sz w:val="20"/>
                <w:szCs w:val="20"/>
                <w:color w:val="auto"/>
              </w:rPr>
            </w:pPr>
            <w:r>
              <w:rPr>
                <w:rFonts w:ascii="Times New Roman" w:cs="Times New Roman" w:eastAsia="Times New Roman" w:hAnsi="Times New Roman"/>
                <w:sz w:val="20"/>
                <w:szCs w:val="20"/>
                <w:b w:val="1"/>
                <w:bCs w:val="1"/>
                <w:color w:val="auto"/>
                <w:w w:val="97"/>
              </w:rPr>
              <w:t>Goal</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Payout Level</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0"/>
          <w:szCs w:val="20"/>
          <w:b w:val="1"/>
          <w:bCs w:val="1"/>
          <w:color w:val="auto"/>
        </w:rPr>
        <w:t>Adjusted Tangible Book Value Growth</w:t>
      </w:r>
      <w:r>
        <w:rPr>
          <w:rFonts w:ascii="Times New Roman" w:cs="Times New Roman" w:eastAsia="Times New Roman" w:hAnsi="Times New Roman"/>
          <w:sz w:val="20"/>
          <w:szCs w:val="20"/>
          <w:color w:val="auto"/>
        </w:rPr>
        <w:t>” means stockholders’ equity, excluding minority interests, preferred stock, goodwill, core deposit intangibles, mergers and acquisitions, share repurchases, non-core items (such as tax adjustments), dividends paid on Bank</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3" w:lineRule="exact"/>
        <w:rPr>
          <w:sz w:val="20"/>
          <w:szCs w:val="20"/>
          <w:color w:val="auto"/>
        </w:rPr>
      </w:pPr>
    </w:p>
    <w:p>
      <w:pPr>
        <w:ind w:left="580"/>
        <w:spacing w:after="0" w:line="283" w:lineRule="auto"/>
        <w:rPr>
          <w:sz w:val="20"/>
          <w:szCs w:val="20"/>
          <w:color w:val="auto"/>
        </w:rPr>
      </w:pPr>
      <w:r>
        <w:rPr>
          <w:rFonts w:ascii="Times New Roman" w:cs="Times New Roman" w:eastAsia="Times New Roman" w:hAnsi="Times New Roman"/>
          <w:sz w:val="20"/>
          <w:szCs w:val="20"/>
          <w:color w:val="auto"/>
        </w:rPr>
        <w:t>stock, stock-based compensation expense, and other comprehensive income. The Performance Period for this measure will be [ ] to [ ] to align with the Bank’s fiscal year.</w:t>
      </w:r>
    </w:p>
    <w:p>
      <w:pPr>
        <w:spacing w:after="0" w:line="183" w:lineRule="exact"/>
        <w:rPr>
          <w:sz w:val="20"/>
          <w:szCs w:val="20"/>
          <w:color w:val="auto"/>
        </w:rPr>
      </w:pPr>
    </w:p>
    <w:p>
      <w:pPr>
        <w:ind w:left="580" w:right="840" w:hanging="315"/>
        <w:spacing w:after="0" w:line="273" w:lineRule="auto"/>
        <w:tabs>
          <w:tab w:leader="none" w:pos="5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Relative TSR RSUs</w:t>
      </w:r>
      <w:r>
        <w:rPr>
          <w:rFonts w:ascii="Times New Roman" w:cs="Times New Roman" w:eastAsia="Times New Roman" w:hAnsi="Times New Roman"/>
          <w:sz w:val="20"/>
          <w:szCs w:val="20"/>
          <w:color w:val="auto"/>
        </w:rPr>
        <w:t>. The remainder of your RSUs (</w:t>
      </w:r>
      <w:r>
        <w:rPr>
          <w:rFonts w:ascii="Times New Roman" w:cs="Times New Roman" w:eastAsia="Times New Roman" w:hAnsi="Times New Roman"/>
          <w:sz w:val="20"/>
          <w:szCs w:val="20"/>
          <w:b w:val="1"/>
          <w:bCs w:val="1"/>
          <w:color w:val="auto"/>
        </w:rPr>
        <w:t>“Relative TSR RSUs”</w:t>
      </w:r>
      <w:r>
        <w:rPr>
          <w:rFonts w:ascii="Times New Roman" w:cs="Times New Roman" w:eastAsia="Times New Roman" w:hAnsi="Times New Roman"/>
          <w:sz w:val="20"/>
          <w:szCs w:val="20"/>
          <w:color w:val="auto"/>
        </w:rPr>
        <w:t>) shall vest based on Relative TSR over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165100</wp:posOffset>
            </wp:positionV>
            <wp:extent cx="4637405" cy="8229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4637405" cy="822960"/>
                    </a:xfrm>
                    <a:prstGeom prst="rect">
                      <a:avLst/>
                    </a:prstGeom>
                    <a:noFill/>
                  </pic:spPr>
                </pic:pic>
              </a:graphicData>
            </a:graphic>
          </wp:anchor>
        </w:drawing>
      </w:r>
    </w:p>
    <w:p>
      <w:pPr>
        <w:spacing w:after="0" w:line="253"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6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1380" w:type="dxa"/>
            <w:vAlign w:val="bottom"/>
          </w:tcPr>
          <w:p>
            <w:pPr>
              <w:jc w:val="center"/>
              <w:ind w:left="401"/>
              <w:spacing w:after="0"/>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62"/>
        </w:trPr>
        <w:tc>
          <w:tcPr>
            <w:tcW w:w="2060" w:type="dxa"/>
            <w:vAlign w:val="bottom"/>
          </w:tcPr>
          <w:p>
            <w:pPr>
              <w:spacing w:after="0"/>
              <w:rPr>
                <w:sz w:val="22"/>
                <w:szCs w:val="22"/>
                <w:color w:val="auto"/>
              </w:rPr>
            </w:pPr>
          </w:p>
        </w:tc>
        <w:tc>
          <w:tcPr>
            <w:tcW w:w="16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rPr>
              <w:t>Goal</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Goal</w:t>
            </w:r>
          </w:p>
        </w:tc>
        <w:tc>
          <w:tcPr>
            <w:tcW w:w="1380" w:type="dxa"/>
            <w:vAlign w:val="bottom"/>
          </w:tcPr>
          <w:p>
            <w:pPr>
              <w:jc w:val="center"/>
              <w:ind w:left="401"/>
              <w:spacing w:after="0"/>
              <w:rPr>
                <w:sz w:val="20"/>
                <w:szCs w:val="20"/>
                <w:color w:val="auto"/>
              </w:rPr>
            </w:pPr>
            <w:r>
              <w:rPr>
                <w:rFonts w:ascii="Times New Roman" w:cs="Times New Roman" w:eastAsia="Times New Roman" w:hAnsi="Times New Roman"/>
                <w:sz w:val="20"/>
                <w:szCs w:val="20"/>
                <w:b w:val="1"/>
                <w:bCs w:val="1"/>
                <w:color w:val="auto"/>
                <w:w w:val="97"/>
              </w:rPr>
              <w:t>Goal</w:t>
            </w:r>
          </w:p>
        </w:tc>
      </w:tr>
    </w:tbl>
    <w:p>
      <w:pPr>
        <w:spacing w:after="0" w:line="200" w:lineRule="exact"/>
        <w:rPr>
          <w:sz w:val="20"/>
          <w:szCs w:val="20"/>
          <w:color w:val="auto"/>
        </w:rPr>
      </w:pPr>
    </w:p>
    <w:p>
      <w:pPr>
        <w:spacing w:after="0" w:line="28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b w:val="1"/>
          <w:bCs w:val="1"/>
          <w:color w:val="auto"/>
        </w:rPr>
        <w:t>Award Payout Level</w:t>
      </w:r>
    </w:p>
    <w:p>
      <w:pPr>
        <w:spacing w:after="0" w:line="378" w:lineRule="exact"/>
        <w:rPr>
          <w:sz w:val="20"/>
          <w:szCs w:val="20"/>
          <w:color w:val="auto"/>
        </w:rPr>
      </w:pPr>
    </w:p>
    <w:p>
      <w:pPr>
        <w:jc w:val="both"/>
        <w:ind w:left="580"/>
        <w:spacing w:after="0" w:line="252"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0"/>
          <w:szCs w:val="20"/>
          <w:b w:val="1"/>
          <w:bCs w:val="1"/>
          <w:color w:val="auto"/>
        </w:rPr>
        <w:t>Relative TSR</w:t>
      </w:r>
      <w:r>
        <w:rPr>
          <w:rFonts w:ascii="Times New Roman" w:cs="Times New Roman" w:eastAsia="Times New Roman" w:hAnsi="Times New Roman"/>
          <w:sz w:val="20"/>
          <w:szCs w:val="20"/>
          <w:color w:val="auto"/>
        </w:rPr>
        <w:t xml:space="preserve">” means TSR (Share price appreciation plus accumulated dividends) measured relative to the S&amp;P’s Global Industry Classification Standard (GICS) industry code of “Banks” (industry code 401010) with total assets between $5B and $15B, including all of the compensation peers set forth on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Award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compensation peer is acquired, declares bankruptcy or becomes subject to a regulatory takeover during the Performance Period, such compensation peer shall be assumed to have the lowest TSR of all compensation peers during the Performance Period). The end-price for TSR will the average closing price during the 30-day period ending on the last day of the Performance Period. The starting price will be the closing price on the last business day immediately preceding the start of the Performance Period. The Performance Period for this measure will begin on [ ] and end on [ ] in order to align the accounting value, grant value, and starting price for Participants.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final number of Shares to be paid under your Award will be based on the extent to which each of the Performance Measures is achieved, with pro rata adjustment of Shares if achievement of Performance Measures exceeds the Threshold Goal and falls between the Threshold, Target and Maximum Goals.</w:t>
      </w: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Effect of Separation from Service. </w:t>
      </w:r>
      <w:r>
        <w:rPr>
          <w:rFonts w:ascii="Times New Roman" w:cs="Times New Roman" w:eastAsia="Times New Roman" w:hAnsi="Times New Roman"/>
          <w:sz w:val="20"/>
          <w:szCs w:val="20"/>
          <w:color w:val="auto"/>
        </w:rPr>
        <w:t>If you Separate from Service before the end of the Performance Periods for any reason you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forfeit all RSUs in which you have not yet vested as of your Separation from Service, unless:</w:t>
      </w:r>
    </w:p>
    <w:p>
      <w:pPr>
        <w:spacing w:after="0" w:line="156" w:lineRule="exact"/>
        <w:rPr>
          <w:sz w:val="20"/>
          <w:szCs w:val="20"/>
          <w:color w:val="auto"/>
        </w:rPr>
      </w:pPr>
    </w:p>
    <w:p>
      <w:pPr>
        <w:jc w:val="both"/>
        <w:ind w:left="580" w:hanging="315"/>
        <w:spacing w:after="0" w:line="253" w:lineRule="auto"/>
        <w:tabs>
          <w:tab w:leader="none" w:pos="5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Separation from Service is due to Disability or retirement (defined as age 65 with 5 continuous years of service with the Bank or its affiliates), and no Cause exists, in which case the unvested portion of your RSUs will continue to vest based on actual achievement of Performance Measures at the end of the applicable Performance Period as if you had not Separated from Service, subject to pro-ration based on the number of full months that you worked during each Performance Period prior to your Separation from Service as a percentage of the total Performance Period.</w:t>
      </w:r>
    </w:p>
    <w:p>
      <w:pPr>
        <w:spacing w:after="0" w:line="218" w:lineRule="exact"/>
        <w:rPr>
          <w:rFonts w:ascii="Times New Roman" w:cs="Times New Roman" w:eastAsia="Times New Roman" w:hAnsi="Times New Roman"/>
          <w:sz w:val="20"/>
          <w:szCs w:val="20"/>
          <w:color w:val="auto"/>
        </w:rPr>
      </w:pPr>
    </w:p>
    <w:p>
      <w:pPr>
        <w:jc w:val="both"/>
        <w:ind w:left="580" w:hanging="315"/>
        <w:spacing w:after="0" w:line="258" w:lineRule="auto"/>
        <w:tabs>
          <w:tab w:leader="none" w:pos="5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die and no Cause exists, or you Separate from Service due to an involuntary termination by the Bank without Cause or due to your voluntary resignation for Good Reason, in which case your RSUs will immediately vest based on target achievement of Performance Measures, subject to pro-ration based on the number of full months that you worked during each Performance Period prior to your Separation from Service as a percentage of the total Performance Period.</w:t>
      </w:r>
    </w:p>
    <w:p>
      <w:pPr>
        <w:spacing w:after="0" w:line="185" w:lineRule="exact"/>
        <w:rPr>
          <w:rFonts w:ascii="Times New Roman" w:cs="Times New Roman" w:eastAsia="Times New Roman" w:hAnsi="Times New Roman"/>
          <w:sz w:val="20"/>
          <w:szCs w:val="20"/>
          <w:color w:val="auto"/>
        </w:rPr>
      </w:pPr>
    </w:p>
    <w:p>
      <w:pPr>
        <w:jc w:val="both"/>
        <w:ind w:left="580" w:hanging="315"/>
        <w:spacing w:after="0" w:line="225" w:lineRule="auto"/>
        <w:tabs>
          <w:tab w:leader="none" w:pos="56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Separate from Service within one year following a Change in Control due to a Qualifying Termination (as defined in the Plan), in which case your RSUs will vest based on the Committee’s determination of actual performance and the Performance Measures will be determined as of (a) the most recent-completed fiscal quarter, for Adjusted Tangible Book Value Growth, and</w:t>
      </w:r>
    </w:p>
    <w:p>
      <w:pPr>
        <w:spacing w:after="0" w:line="1"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as of the date of the Change in Control, for Relative TSR. If actual performance cannot be determined, your RSUs</w:t>
      </w:r>
    </w:p>
    <w:p>
      <w:pPr>
        <w:sectPr>
          <w:pgSz w:w="11900" w:h="16838" w:orient="portrait"/>
          <w:cols w:equalWidth="0" w:num="1">
            <w:col w:w="10780"/>
          </w:cols>
          <w:pgMar w:left="580" w:top="1440" w:right="539" w:bottom="1440" w:gutter="0" w:footer="0" w:header="0"/>
        </w:sectPr>
      </w:pPr>
    </w:p>
    <w:bookmarkStart w:id="86" w:name="page87"/>
    <w:bookmarkEnd w:id="86"/>
    <w:p>
      <w:pPr>
        <w:spacing w:after="0" w:line="203" w:lineRule="exact"/>
        <w:rPr>
          <w:sz w:val="20"/>
          <w:szCs w:val="20"/>
          <w:color w:val="auto"/>
        </w:rPr>
      </w:pPr>
    </w:p>
    <w:p>
      <w:pPr>
        <w:jc w:val="both"/>
        <w:ind w:left="580"/>
        <w:spacing w:after="0" w:line="268" w:lineRule="auto"/>
        <w:rPr>
          <w:sz w:val="20"/>
          <w:szCs w:val="20"/>
          <w:color w:val="auto"/>
        </w:rPr>
      </w:pPr>
      <w:r>
        <w:rPr>
          <w:rFonts w:ascii="Times New Roman" w:cs="Times New Roman" w:eastAsia="Times New Roman" w:hAnsi="Times New Roman"/>
          <w:sz w:val="20"/>
          <w:szCs w:val="20"/>
          <w:color w:val="auto"/>
        </w:rPr>
        <w:t>will vest based on achievement of Performance Measures at Target Goal, subject to pro-ration based on the number of full months that you worked during each Performance Period prior to your Separation from Service as a percentage of the total Performance Period.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If the Committee determines, at any time, that Cause exists at the time of your Separation from Service, all of your rights under this RSU Award will terminate immediately, you will forfeit all RSUs that have not yet vested as of the date of your Separation from Service, and the Bank shall have the right to repurchase any Shares that you have already received as a result of RSUs that have already vested, at the lower of Fair Market Value or the price paid by you, all as described in the Plan. The existence of “Cause” will be determined in the sole discretion of the Committee (or if the Board has chosen to reserve such power, the Board).</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Note, however, that except where there is a Change in Control, or you die or become Disabled, you will not vest in any portion of your Award prior to the first anniversary after its Date of Grant.</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To the extent dividends are paid on Shares covered by your RSUs prior to the date they become vested, you will be entitled to receive those dividends upon the vesting of the applicable RSU.</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Additional Terms</w:t>
      </w:r>
      <w:r>
        <w:rPr>
          <w:rFonts w:ascii="Times New Roman" w:cs="Times New Roman" w:eastAsia="Times New Roman" w:hAnsi="Times New Roman"/>
          <w:sz w:val="20"/>
          <w:szCs w:val="20"/>
          <w:color w:val="auto"/>
        </w:rPr>
        <w:t>: Your rights and duties and those of the Bank under your Award are governed by the provisions of this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attached Terms and Conditions and Plan document, both of which are incorporated into this Award Agreement by reference. If there is any discrepancy between these documents, the Plan document will always govern.</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Award is designated as incentive compensation that is in addition to your regular cash wages. No amount of Common Stock or income received by you pursuant to this Award will be considered compensation for purposes of any severance or any pension, retirement, insurance or other employee benefit plan or program of the Bank or its Subsidiaries. It will not be included in calculating any employment-related benefits to which you may be entitled from the Bank or any Subsidiary. Participation in the Plan is discretionary and voluntary, and the Plan can be terminated at any time. This Award does not create a right or entitlement to future awards, whether pursuant to the Plan or otherwise.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governing law for purposes of resolving any issue relating to this Award or the Plan shall be United States federal law and, where appropriate, the laws of the State of New York. Any dispute regarding this Award or the Plan shall be resolved by a court of law in the City of New York, State of New York.</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any questions regarding your Award, please see the enclosed Terms and Conditions and Plan document,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contact our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AMALGAMATED FINANCIAL CORP.</w:t>
      </w:r>
    </w:p>
    <w:p>
      <w:pPr>
        <w:spacing w:after="0" w:line="36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-8255</wp:posOffset>
            </wp:positionV>
            <wp:extent cx="1257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Priscilla Sims Brown</w:t>
      </w:r>
    </w:p>
    <w:p>
      <w:pPr>
        <w:ind w:left="49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0780"/>
          </w:cols>
          <w:pgMar w:left="580" w:top="1440" w:right="539" w:bottom="1440" w:gutter="0" w:footer="0" w:header="0"/>
        </w:sectPr>
      </w:pPr>
    </w:p>
    <w:bookmarkStart w:id="87" w:name="page88"/>
    <w:bookmarkEnd w:id="87"/>
    <w:p>
      <w:pPr>
        <w:spacing w:after="0" w:line="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b w:val="1"/>
          <w:bCs w:val="1"/>
          <w:color w:val="auto"/>
        </w:rPr>
        <w:t xml:space="preserve">AMALGAMATED FINANCIAL CORP. 2023 EQUITY INCENTIVE PLAN </w:t>
      </w:r>
      <w:r>
        <w:rPr>
          <w:rFonts w:ascii="Times New Roman" w:cs="Times New Roman" w:eastAsia="Times New Roman" w:hAnsi="Times New Roman"/>
          <w:sz w:val="19"/>
          <w:szCs w:val="19"/>
          <w:b w:val="1"/>
          <w:bCs w:val="1"/>
          <w:u w:val="single" w:color="auto"/>
          <w:color w:val="auto"/>
        </w:rPr>
        <w:t>PERFORMANCE UNIT TERMS AND</w:t>
      </w:r>
    </w:p>
    <w:p>
      <w:pPr>
        <w:spacing w:after="0" w:line="24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w:t>
      </w:r>
    </w:p>
    <w:p>
      <w:pPr>
        <w:spacing w:after="0" w:line="125"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This document is intended to provide you some background on the Amalgamated Financial Corp. 2023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to help you better understand the terms and conditions of the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Restricted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granted to you under the Plan. References in this document to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are intended to refer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Amalgamated Financial Corp.</w:t>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How are Award recipients chosen?</w:t>
      </w:r>
    </w:p>
    <w:p>
      <w:pPr>
        <w:spacing w:after="0" w:line="25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0"/>
          <w:szCs w:val="20"/>
          <w:color w:val="auto"/>
        </w:rPr>
        <w:t>Under our current process, the Compensation Committee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approves executive equity awards, although the Committee may delegate the power to make non-officer awards to an officer of the Bank and the Board has the authority to reserve these powers to the full Board with respect to some or all eligible individuals.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What is the value of my Award?</w:t>
      </w:r>
    </w:p>
    <w:p>
      <w:pPr>
        <w:spacing w:after="0" w:line="247"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20"/>
          <w:szCs w:val="20"/>
          <w:color w:val="auto"/>
        </w:rPr>
        <w:t>The value of each Share covered by your RSU Award is equal to the market price of one Share of Bank Common Stock, and will have the same value as established on the exchange on which the Shares are traded.</w:t>
      </w:r>
    </w:p>
    <w:p>
      <w:pPr>
        <w:spacing w:after="0" w:line="16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Under current tax laws, you will be taxed on the market price of the Share(s) vesting under your RSU Award at the time the Shares (or in certain cases, their cash equivalent) are paid to you in settlement of your Award. We recommend that you consult your personal tax advisor to discuss the potential tax consequences to you of receiving this Award.</w:t>
      </w:r>
    </w:p>
    <w:p>
      <w:pPr>
        <w:spacing w:after="0" w:line="208"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20"/>
          <w:szCs w:val="20"/>
          <w:color w:val="auto"/>
        </w:rPr>
        <w:t>Note that no amount of cash or Common Stock received by you pursuant to your Award will be considered compensation for purposes of any severance or any pension, retirement, insurance or other employee benefit plan of the Bank or its Subsidiaries.</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When will my Restricted Stock Units vest?</w:t>
      </w:r>
    </w:p>
    <w:p>
      <w:pPr>
        <w:spacing w:after="0" w:line="247" w:lineRule="exact"/>
        <w:rPr>
          <w:sz w:val="20"/>
          <w:szCs w:val="20"/>
          <w:color w:val="auto"/>
        </w:rPr>
      </w:pPr>
    </w:p>
    <w:p>
      <w:pPr>
        <w:jc w:val="both"/>
        <w:ind w:right="120"/>
        <w:spacing w:after="0" w:line="283" w:lineRule="auto"/>
        <w:rPr>
          <w:sz w:val="20"/>
          <w:szCs w:val="20"/>
          <w:color w:val="auto"/>
        </w:rPr>
      </w:pPr>
      <w:r>
        <w:rPr>
          <w:rFonts w:ascii="Times New Roman" w:cs="Times New Roman" w:eastAsia="Times New Roman" w:hAnsi="Times New Roman"/>
          <w:sz w:val="20"/>
          <w:szCs w:val="20"/>
          <w:color w:val="auto"/>
        </w:rPr>
        <w:t>Generally, your Restricted Stock Units will vest (in whole Shares, rounded down) based on achievement of the Performance Measures during the Performance Periods, as set forth in your Award Agreement.</w:t>
      </w:r>
    </w:p>
    <w:p>
      <w:pPr>
        <w:spacing w:after="0" w:line="160"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20"/>
          <w:szCs w:val="20"/>
          <w:color w:val="auto"/>
        </w:rPr>
        <w:t>Your Award Agreement may provide for earlier vesting dates upon specific events. Please refer to your Award Agreement to see if special early vesting dates apply to your Restricted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may, in its sole discretion, choose to accelerate or extend the vesting of Awards in special circumstances.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When do I receive payment?</w:t>
      </w:r>
    </w:p>
    <w:p>
      <w:pPr>
        <w:spacing w:after="0" w:line="260"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9"/>
          <w:szCs w:val="19"/>
          <w:color w:val="auto"/>
        </w:rPr>
        <w:t>As soon as administratively practical after the date the Performance Period applicable to your RSUs ends, as specified in your Award Agreement, the specified number of Shares of our Common Stock will be delivered to you for each RSU that vests. Delivery of Shares, either electronically or in certificate form (as we determine), will usually be made within approximately 30 days after such Performance Period end. Fractional shares will not be paid. In some cases, the Bank may instead pay the cash equivalent of Shares to you.</w:t>
      </w:r>
    </w:p>
    <w:p>
      <w:pPr>
        <w:sectPr>
          <w:pgSz w:w="11900" w:h="16838" w:orient="portrait"/>
          <w:cols w:equalWidth="0" w:num="1">
            <w:col w:w="10940"/>
          </w:cols>
          <w:pgMar w:left="520" w:top="1440" w:right="439" w:bottom="1440" w:gutter="0" w:footer="0" w:header="0"/>
        </w:sectPr>
      </w:pPr>
    </w:p>
    <w:bookmarkStart w:id="88" w:name="page89"/>
    <w:bookmarkEnd w:id="88"/>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accepting this Award, you acknowledge that, except as may otherwise be provided in your Award Agreement, if you Separate from Service prior to the end of the Performance Periods, you will forfeit all of your unvested RSUs and any other rights associated with your unvested RSUs under the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Do I have to pay any tax in connection with this RSU Award?</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Yes, you are subject to federal (and in some cases, state and local) income taxes on the fair market value of your Restricted Stock Units in the year that you are paid Shares of Common Stock (or in certain cases, their cash equivalent) in settlement of your Award. If you are an employee, we are required under current federal (and some state and local) tax laws to withhold taxes from you. This may be accomplished by withholding whole Shares of Common Stock with an equivalent value. We will round down to the nearest whole Share. To the extent this Share withholding is not sufficient, or is prohibited or limited by applicable law, you will ultimately be responsible for any additional taxes due. If withholding is determined by us to be not possible or inadequate, we will have the right to require cash payment and/or make deductions from other payments due to you that are sufficient to satisfy these requirements.</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You may not rely on the Bank or any of its officers, directors or employees for tax or legal advice regarding this Award. We make no representations with respect to and hereby disclaim all responsibility as to the tax treatment of your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What are my rights as a stockholder with respect to my Restricted Stock Units?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Until you actually receive Shares (if any) in settlement of your Award, you will generally have no rights as a stockholder with respect to those Shares, such as the right to vote the Shares or the right to receive dividends, unless the Board has specifically provided otherwise in your Award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Are there restrictions on the transfer of my Restricted Stock Units?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 may not sell, transfer, pledge, assign, or otherwise alienate or hypothecate your RSUs, whether voluntarily or involuntarily, by operation of law or otherwise, except upon your death or as otherwise specifically provided in the Plan. If you die, your beneficiary or the personal representative of your estate can act on your behalf. Once you receive any Share, you will normally be entitled to all rights of ownership to such Share. Under certain circumstances described in the Plan, however, these rights may be delayed or subject to additional limitations or restrictions.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How do I designate my beneficiary or beneficiaries?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must obtain and file a completed beneficiary designation form with our Human Resources department. Each time you file a beneficiary designation form, all previously-filed beneficiary designation forms will be revoked and of no further force or effect. If you want to name multiple beneficiaries, all beneficiaries must be listed on a single beneficiary designation form (including attachments, if necessary). If you do not file a beneficiary designation form, benefits remaining unpaid at your death will be paid to your estate.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Are there restrictions on the delivery and sale of Shares?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Shares issued to you upon the vesting of Restricted Stock Units are subject to federal securities laws. In some cases, state or local securities laws may also apply. If the Board determines that certain registrations or filings are needed or desired to comply with these various securities laws, then we may delay the delivery of your Shares until the necessary approvals or filings are obtained. In order for us to meet an exemption from securities registration requirements, we may also require you to provide us with certain information, representations and warranties before we will issue Shares to you.</w:t>
      </w:r>
    </w:p>
    <w:p>
      <w:pPr>
        <w:sectPr>
          <w:pgSz w:w="11900" w:h="16838" w:orient="portrait"/>
          <w:cols w:equalWidth="0" w:num="1">
            <w:col w:w="10840"/>
          </w:cols>
          <w:pgMar w:left="520" w:top="1440" w:right="539" w:bottom="1440" w:gutter="0" w:footer="0" w:header="0"/>
        </w:sectPr>
      </w:pPr>
    </w:p>
    <w:bookmarkStart w:id="89" w:name="page90"/>
    <w:bookmarkEnd w:id="89"/>
    <w:p>
      <w:pPr>
        <w:jc w:val="both"/>
        <w:spacing w:after="0" w:line="283" w:lineRule="auto"/>
        <w:rPr>
          <w:sz w:val="20"/>
          <w:szCs w:val="20"/>
          <w:color w:val="auto"/>
        </w:rPr>
      </w:pPr>
      <w:r>
        <w:rPr>
          <w:rFonts w:ascii="Times New Roman" w:cs="Times New Roman" w:eastAsia="Times New Roman" w:hAnsi="Times New Roman"/>
          <w:sz w:val="20"/>
          <w:szCs w:val="20"/>
          <w:color w:val="auto"/>
        </w:rPr>
        <w:t>Where applicable, the certificates evidencing any Shares may contain wording (or otherwise as appropriate in electronic format) indicating that conditions, restrictions, rights and obligations apply.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Does the receipt of my Award guarantee continued service with the Bank?</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 Neither the establishment of the Plan, your Award of RSUs, nor the issuance of Shares or other consideration in connection with your Award, gives you the right to continued employment or service with the Bank (or any of our Subsidiaries).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What events can trigger forfeiture of my Restricted Stock Units?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 as may otherwise be specifically provided in your Award Agreement, your unvested RSUs will normally be cancelled and forfeited upon your Separation from Service.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your RSUs and any cash or Shares paid to you in settlement of your RSUs, and any profits from sale of such Shares, are subject to clawback, recoupment or repayment if you commit certain bad acts, you engage in certain practices injurious to the Bank or its Subsidiaries, or if the Bank experiences regulatory or capital issues. These clawback, recoupment and repayment provisions are set forth in detail in Section 8(j) of the Plan.</w:t>
      </w:r>
    </w:p>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Committee may, in its discretion, accelerate the vesting of your Award in special circumstances, subject to certain provisions of the Plan and the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What documents govern my Restricted Stock Units?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your Award Agreement, and these Terms and Conditions express the entire understanding between you and the Bank with respect to your Restricted Stock Units. In the event of any conflict between these documents, the terms of the Plan will always govern. You should never rely on any oral description of the Plan or your Award Agreement because the written terms of the Plan will always govern. The Committee has the sole authority to interpret this document and the Plan. Any such interpretation will be binding on you, us, and other persons.</w:t>
      </w:r>
    </w:p>
    <w:p>
      <w:pPr>
        <w:sectPr>
          <w:pgSz w:w="11900" w:h="16838" w:orient="portrait"/>
          <w:cols w:equalWidth="0" w:num="1">
            <w:col w:w="10840"/>
          </w:cols>
          <w:pgMar w:left="520" w:top="1332" w:right="5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Relative TSR Comparator Group List (n=79)</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[redacted]</w:t>
      </w:r>
    </w:p>
    <w:p>
      <w:pPr>
        <w:sectPr>
          <w:pgSz w:w="11900" w:h="16838" w:orient="portrait"/>
          <w:cols w:equalWidth="0" w:num="1">
            <w:col w:w="9019"/>
          </w:cols>
          <w:pgMar w:left="1440" w:top="1395" w:right="1440" w:bottom="1440" w:gutter="0" w:footer="0" w:header="0"/>
        </w:sectPr>
      </w:pPr>
    </w:p>
    <w:bookmarkStart w:id="91" w:name="page92"/>
    <w:bookmarkEnd w:id="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Accounting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Veluswamy,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Leslie Veluswamy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Leslie Veluswamy, Chief Accounting Officer</w:t>
      </w:r>
    </w:p>
    <w:p>
      <w:pPr>
        <w:sectPr>
          <w:pgSz w:w="11900" w:h="16838" w:orient="portrait"/>
          <w:cols w:equalWidth="0" w:num="1">
            <w:col w:w="11240"/>
          </w:cols>
          <w:pgMar w:left="320" w:top="110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March 31, 2026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5, 2026</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5, 2026</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9"/>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1"/>
    </w:lvl>
  </w:abstractNum>
  <w:abstractNum w:abstractNumId="6">
    <w:nsid w:val="25E45D32"/>
    <w:multiLevelType w:val="hybridMultilevel"/>
    <w:lvl w:ilvl="0">
      <w:lvlJc w:val="left"/>
      <w:lvlText w:val="%1."/>
      <w:numFmt w:val="decimal"/>
      <w:start w:val="12"/>
    </w:lvl>
  </w:abstractNum>
  <w:abstractNum w:abstractNumId="7">
    <w:nsid w:val="519B500D"/>
    <w:multiLevelType w:val="hybridMultilevel"/>
    <w:lvl w:ilvl="0">
      <w:lvlJc w:val="left"/>
      <w:lvlText w:val="%1."/>
      <w:numFmt w:val="decimal"/>
      <w:start w:val="13"/>
    </w:lvl>
  </w:abstractNum>
  <w:abstractNum w:abstractNumId="8">
    <w:nsid w:val="431BD7B7"/>
    <w:multiLevelType w:val="hybridMultilevel"/>
    <w:lvl w:ilvl="0">
      <w:lvlJc w:val="left"/>
      <w:lvlText w:val="%1."/>
      <w:numFmt w:val="decimal"/>
      <w:start w:val="1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5"/>
    </w:lvl>
  </w:abstractNum>
  <w:abstractNum w:abstractNumId="11">
    <w:nsid w:val="257130A3"/>
    <w:multiLevelType w:val="hybridMultilevel"/>
    <w:lvl w:ilvl="0">
      <w:lvlJc w:val="left"/>
      <w:lvlText w:val="(%1)"/>
      <w:numFmt w:val="decimal"/>
      <w:start w:val="6"/>
    </w:lvl>
  </w:abstractNum>
  <w:abstractNum w:abstractNumId="12">
    <w:nsid w:val="62BBD95A"/>
    <w:multiLevelType w:val="hybridMultilevel"/>
    <w:lvl w:ilvl="0">
      <w:lvlJc w:val="left"/>
      <w:lvlText w:val="(%1)"/>
      <w:numFmt w:val="lowerRoman"/>
      <w:start w:val="4"/>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2"/>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jpe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04" Type="http://schemas.openxmlformats.org/officeDocument/2006/relationships/hyperlink" Target="https://www.sec.gov/Archives/edgar/data/1823608/000119312521062425/d132716dex31.htm" TargetMode="External"/><Relationship Id="rId105"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2026-05-05T07:51:43Z</dcterms:created>
  <dcterms:modified xsi:type="dcterms:W3CDTF">2026-05-05T07:51:43Z</dcterms:modified>
</cp:coreProperties>
</file>