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30"/>
              <w:spacing w:after="0"/>
              <w:rPr>
                <w:sz w:val="20"/>
                <w:szCs w:val="20"/>
                <w:color w:val="auto"/>
              </w:rPr>
            </w:pPr>
            <w:r>
              <w:rPr>
                <w:rFonts w:ascii="Times New Roman" w:cs="Times New Roman" w:eastAsia="Times New Roman" w:hAnsi="Times New Roman"/>
                <w:sz w:val="18"/>
                <w:szCs w:val="18"/>
                <w:color w:val="auto"/>
              </w:rPr>
              <w:t>For the quarterly period ended June 30, 2024</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5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74"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600"/>
        <w:spacing w:after="0" w:line="179" w:lineRule="exact"/>
        <w:rPr>
          <w:sz w:val="20"/>
          <w:szCs w:val="20"/>
          <w:color w:val="auto"/>
        </w:rPr>
      </w:pPr>
      <w:r>
        <w:rPr>
          <w:rFonts w:ascii="MS PGothic" w:cs="MS PGothic" w:eastAsia="MS PGothic" w:hAnsi="MS PGothic"/>
          <w:sz w:val="19"/>
          <w:szCs w:val="19"/>
          <w:color w:val="auto"/>
        </w:rPr>
        <w:t>☐</w:t>
      </w:r>
    </w:p>
    <w:p>
      <w:pPr>
        <w:spacing w:after="0" w:line="259"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6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August 5, 2024, the registrant had 30,643,596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June 30, 2024 and December 31,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and Six Months Ended June 30, 2024 and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Six Months Ended June 30, 2024 and 2023</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 Months Ended June 30, 2024 and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June 30, 2024 and 2023</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48</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74</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75</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2">
            <w:col w:w="10120" w:space="720"/>
            <w:col w:w="36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“approximately,” “will,” “anticipate,” “should,” “would,” “believe,” “contemplate,” “expect,” “estimate,” “continue,” “plan,” “possible,” and “intend,” or the negative thereof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w:t>
      </w:r>
    </w:p>
    <w:p>
      <w:pPr>
        <w:spacing w:after="0" w:line="1" w:lineRule="exact"/>
        <w:rPr>
          <w:sz w:val="20"/>
          <w:szCs w:val="20"/>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our core markets, which may have an adverse impact on our business, operations and financial performance;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credit losses and provisions for those losses;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line="23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deposits, including an increase in uninsured deposits;</w:t>
      </w:r>
    </w:p>
    <w:p>
      <w:pPr>
        <w:ind w:left="660" w:hanging="328"/>
        <w:spacing w:after="0" w:line="24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 to meet our deposit and debt obligations as they come due, which may require that we sell investment securities at a loss, negatively impacting our net income, earnings and capital;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our stock price and the value of our investments;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unanticipated changes in the interest rate environment including changes in net interest margin or changes in the yield curve that affect investments, loans or deposits;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our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regulation, public policies, or administrative practices impacting the banking industry, including increased minimum capital requirements and other regulation in the aftermath of recent bank failures;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loan portfolio, including any concentration in industries or sectors that may experience unanticipated or anticipated adverse conditions greater than other industries or sectors in the national or local economies in which we operate;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we make and policies that we implement in establishing our allowance for credit losses,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our results, including as a result of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our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exposure from the use of “big data” techniques, machine learning, and artificial intelligence;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 in our credit rating;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us and our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we operate;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our business and the businesses that we finance;</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our shares through our common stock repurchase program;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Item 1. – Financial Statements</w:t>
      </w:r>
    </w:p>
    <w:p>
      <w:pPr>
        <w:ind w:left="20"/>
        <w:spacing w:after="0" w:line="214" w:lineRule="auto"/>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53,912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87,714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1,581,338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1,429,739</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112,923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53,303</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1,694,261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1,483,042</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 net of allowance for credit losses of $53 and $54, respectively</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606,013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620,232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$655 and $667, respectively</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1,054,569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1,076,602</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1,660,582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1,696,834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costs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4,471,839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4,411,319</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4,408,395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4,345,628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137,461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55,484</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105,528</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56,603</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26,214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25,371</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8,250,704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7,972,324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7,448,988</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7,011,988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68,117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70,546</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234,381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53,568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39,399</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7,604,592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7,386,960</w:t>
            </w:r>
          </w:p>
        </w:tc>
        <w:tc>
          <w:tcPr>
            <w:tcW w:w="0" w:type="dxa"/>
            <w:vAlign w:val="bottom"/>
          </w:tcPr>
          <w:p>
            <w:pPr>
              <w:spacing w:after="0"/>
              <w:rPr>
                <w:sz w:val="1"/>
                <w:szCs w:val="1"/>
                <w:color w:val="auto"/>
              </w:rPr>
            </w:pPr>
          </w:p>
        </w:tc>
      </w:tr>
      <w:tr>
        <w:trPr>
          <w:trHeight w:val="203"/>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30,743,666 and 30,736,141 shares issued, respectively, and</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3"/>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30,630,386 and 30,428,359 shares outstanding, respectively)</w:t>
            </w:r>
          </w:p>
        </w:tc>
        <w:tc>
          <w:tcPr>
            <w:tcW w:w="2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288,232</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435,202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388,033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Treasury stock, at cost (113,280 and 307,782 shares, respectively)</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Amalgamated Financial Corp. stockholders'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645,979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585,231</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646,112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585,364</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8,250,704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7,972,324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r>
      <w:tr>
        <w:trPr>
          <w:trHeight w:val="225"/>
        </w:trPr>
        <w:tc>
          <w:tcPr>
            <w:tcW w:w="5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103,245</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90,166</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79,018</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170,857</w:t>
            </w: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r>
      <w:tr>
        <w:trPr>
          <w:trHeight w:val="229"/>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40,593</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130,264</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r>
      <w:tr>
        <w:trPr>
          <w:trHeight w:val="223"/>
        </w:trPr>
        <w:tc>
          <w:tcPr>
            <w:tcW w:w="5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121,365</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Gains on sale of loans,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43,180</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r>
      <w:tr>
        <w:trPr>
          <w:trHeight w:val="223"/>
        </w:trPr>
        <w:tc>
          <w:tcPr>
            <w:tcW w:w="56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76,156</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58,359</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w:t>
            </w:r>
          </w:p>
        </w:tc>
      </w:tr>
      <w:tr>
        <w:trPr>
          <w:trHeight w:val="223"/>
        </w:trPr>
        <w:tc>
          <w:tcPr>
            <w:tcW w:w="5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42,976</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5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42,976</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benefits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securities available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176"/>
        </w:trPr>
        <w:tc>
          <w:tcPr>
            <w:tcW w:w="5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 to held-to-</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30"/>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46,469</w:t>
            </w: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5"/>
                <w:szCs w:val="15"/>
                <w:color w:val="auto"/>
              </w:rPr>
            </w:pP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21"/>
                <w:szCs w:val="21"/>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2024</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30,510,393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616,938</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$0.12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30,630,386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286,021</w:t>
            </w: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435,202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645,979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646,112</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80" w:type="dxa"/>
            <w:vAlign w:val="bottom"/>
          </w:tcPr>
          <w:p>
            <w:pPr>
              <w:spacing w:after="0"/>
              <w:rPr>
                <w:sz w:val="16"/>
                <w:szCs w:val="16"/>
                <w:color w:val="auto"/>
              </w:rPr>
            </w:pPr>
          </w:p>
        </w:tc>
        <w:tc>
          <w:tcPr>
            <w:tcW w:w="10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30,428,359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288,232</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585,364</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$0.22 stock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30,630,386</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286,021</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435,202</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(73,579)</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645,979</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646,112</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2023</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30,642,299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$287,514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$330,673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(97,317)</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519,158</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$0.10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net of taxes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30,572,606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286,877</w:t>
            </w: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349,204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(105,214)</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528,614</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2023</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80" w:type="dxa"/>
            <w:vAlign w:val="bottom"/>
          </w:tcPr>
          <w:p>
            <w:pPr>
              <w:spacing w:after="0"/>
              <w:rPr>
                <w:sz w:val="16"/>
                <w:szCs w:val="16"/>
                <w:color w:val="auto"/>
              </w:rPr>
            </w:pPr>
          </w:p>
        </w:tc>
        <w:tc>
          <w:tcPr>
            <w:tcW w:w="10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30,700,198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$286,947</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508,955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adoption of ASU No.</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2016-13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2023 adjusted for change</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accounting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30,700,198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286,947</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491,130</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$0.20 stock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30,572,606</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286,877</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349,204</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(105,214)</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528,481</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528,614</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w:t>
            </w:r>
          </w:p>
        </w:tc>
      </w:tr>
      <w:tr>
        <w:trPr>
          <w:trHeight w:val="229"/>
        </w:trPr>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amortization on loan fees, costs, premiums, and discounts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on securities premiums, discounts, and deferred costs on subordinated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redemption of bank-owned life insurance</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accrued interest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62,113</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(147,407)</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(40,169)</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(155,502)</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174,537</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82,988</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41,781</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resell agreements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FHLBNY stock,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25,415</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854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299,614</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subordinated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issued under Employee Stock Purchase Plan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495"/>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63,540</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0" w:type="dxa"/>
            <w:vAlign w:val="bottom"/>
          </w:tcPr>
          <w:p>
            <w:pPr>
              <w:spacing w:after="0"/>
              <w:rPr>
                <w:sz w:val="1"/>
                <w:szCs w:val="1"/>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transferred from held-for-sale</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transferred to held-for-sale</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 net not settled</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six months ended June 30, 2024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2023 (the “2023 Annual Report”). A more detailed description of our accounting policies is included in the 2023 Annual Report, which remain significantly unchanged except for the addition of accounting policies related to derivatives: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 The Company’s derivative instruments are carried at fair value in the Company’s financial statements as part of Other assets for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positive fair values and Other liabilities for derivatives with negative fair values. The accounting for changes in the fair value of a derivative instrument is dependent upon whether or not it qualifies and has been designated as a hedge for accounting purposes, and further, by the type of hedging relationship.</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inception of a derivative contract, the Company designates the derivative as one of three types based on the 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cash flow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 When hedge accounting is discontinued on a fair value hedge that no longer qualifies as an effective hedge, the derivative continues to be reported at fair value in the statement of condition, but the carrying amount of the hedged item is no longer adjusted for future changes in fair value. The adjustment to the carrying amount of the hedged item that existed at the date hedge accounting is discontinued is amortized over the remaining life of the hedged item into earnings.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condition or to specific firm commitments or forecasted transactions.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significant changes to our accounting policies, or the estimates made pursuant to those policies as described in our 2023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2016-13, Financial Instruments - Credit Losses (Topic 326) - Measurement of Credit Losses on Financial Instruments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adopted ASU No. 2016-13 on a modified retrospective basis with a cumulative-effect adjustment to retained earnings as of the adoption date and, accordingly, the Company recorded a net of tax decrease of $17.8 million to retained earnings as of January 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The below table illustrates the impact of the adoption of ASU 2016-13.</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 2023</w:t>
            </w: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Adjustment</w:t>
            </w: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Tax Impact</w:t>
            </w:r>
          </w:p>
        </w:tc>
        <w:tc>
          <w:tcPr>
            <w:tcW w:w="162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Net Adjustment to</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held-to-maturity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off-balance sheet credit exposures</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Day 1 Adjustment for Adoption of ASU 2016-13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 however such reclassifications did not change stockholders' equity or net income.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summary of the accumulated comprehensive income (loss) balances, net of income taxes: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24"/>
                <w:szCs w:val="24"/>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as of June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2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80" w:type="dxa"/>
            <w:vAlign w:val="bottom"/>
          </w:tcPr>
          <w:p>
            <w:pPr>
              <w:spacing w:after="0"/>
              <w:rPr>
                <w:sz w:val="19"/>
                <w:szCs w:val="19"/>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30, 2024</w:t>
            </w:r>
          </w:p>
        </w:tc>
        <w:tc>
          <w:tcPr>
            <w:tcW w:w="0" w:type="dxa"/>
            <w:vAlign w:val="bottom"/>
          </w:tcPr>
          <w:p>
            <w:pPr>
              <w:spacing w:after="0"/>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Benefit Plans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(62,844)</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Unaccreted unrealized loss on securities transferred to held-to-</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24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23"/>
                <w:szCs w:val="23"/>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as of June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24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80" w:type="dxa"/>
            <w:vAlign w:val="bottom"/>
          </w:tcPr>
          <w:p>
            <w:pPr>
              <w:spacing w:after="0"/>
              <w:rPr>
                <w:sz w:val="21"/>
                <w:szCs w:val="21"/>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30, 2023</w:t>
            </w:r>
          </w:p>
        </w:tc>
        <w:tc>
          <w:tcPr>
            <w:tcW w:w="0" w:type="dxa"/>
            <w:vAlign w:val="bottom"/>
          </w:tcPr>
          <w:p>
            <w:pPr>
              <w:spacing w:after="0"/>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Benefit Plans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(92,807)</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Unaccreted unrealized loss on securities transferred to held-to-</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2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6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6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75"/>
        </w:trPr>
        <w:tc>
          <w:tcPr>
            <w:tcW w:w="6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prior service expense included in compensation and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620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w:t>
            </w: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other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other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available for 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realized in loss on sale of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available for 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cash flow hedges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6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June 30, 2024 are as follows: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residential CMOs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(36,049)</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597,486</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194,582</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676,781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108,569</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1,581,338</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1,694,261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6"/>
                <w:szCs w:val="16"/>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9"/>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172,327</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69,108</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266,565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563,074</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222,254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714,879</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1,055,224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(118,091)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937,133</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held-to-maturity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1,500,207</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available for sale securities with a fair value of $1.32 billion and held-to-maturity securities with a fair value of $535.4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2023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521,101</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1,429,739</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1,483,042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271,261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575,418</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229,095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744,996</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1,077,269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974,091</w:t>
            </w: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1,697,555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1,549,509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six months ended June 30, 2024, or the three or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June 30, 2024.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161,263</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573,557</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1,088,375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902,193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1,258,772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available for sale securities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0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159"/>
        </w:trPr>
        <w:tc>
          <w:tcPr>
            <w:tcW w:w="436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219,170</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held-to-maturity securities during the three or six months ended June 30, 2024 or the three months or six ended June 30,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June 30, 2024 and June 30, 2023, there were no holdings of securities of any one issuer, other than the U.S. Government and its agencies, in an amount greater than 10% of stockholders' equity.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June 30, 2024 and December 31, 2023,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8"/>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411,314</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460,239</w:t>
            </w:r>
          </w:p>
        </w:tc>
        <w:tc>
          <w:tcPr>
            <w:tcW w:w="2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1,308,596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discussed in Note 1, upon adoption of the Current Expected Credit Losses ("CECL") standard, no allowance for credit losses was recorded on available for sale securities. During the three and six months ended June 30, 2023, the Company charged-off an unrealized loss position of $1.2 million related to a corporate bond related to Silicon Valley Bank following credit concerns over the issuer, and the sale of the security resulted in an immaterial additional loss.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June 30, 2024, none of the Company’s available-for-sale debt securities were in an unrealized loss position due to credit quality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June 30, 2024,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these securities were rated investment grade by at least one nationally recognized statistical rating organization with no ratings below investment grade. All issues were current as to their interest payments. There have been no significant losses on PACE assessments that we have invested in given the low loan-to-value position and the superior lien position on the property. Management considers that the temporary impairment of these investments as of June 30, 2024 is primarily due to an increase in interest rates and spreads since the time these investments were acquired.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$31.2 million and $35.1 million at June 30, 2024 and December 31, 2023, respectively, was included in other assets in the consolidated balance sheet and excluded from the amortized cost and estimated fair value totals in the table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June 30, 2024:</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June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six months ended June 30, 2024:</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six months ended June 30,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22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8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4,408,395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4,345,628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$202.4 million at June 30, 2024 and $225.6 million at December 31, 2023. Due to these loans being fully guaranteed by the United States government, no allowance for credit losses is recorded in relation to these loans at June 30, 2024 and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June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40" w:type="dxa"/>
            <w:vAlign w:val="bottom"/>
          </w:tcPr>
          <w:p>
            <w:pPr>
              <w:spacing w:after="0"/>
              <w:rPr>
                <w:sz w:val="14"/>
                <w:szCs w:val="14"/>
                <w:color w:val="auto"/>
              </w:rPr>
            </w:pPr>
          </w:p>
        </w:tc>
        <w:tc>
          <w:tcPr>
            <w:tcW w:w="9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60-89 Days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1,012,400</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1,230,545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2,643,683</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1,404,624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385,567</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37,965</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1,807,342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1,828,156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4,426,239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4,471,839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and six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5"/>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344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Term Extension</w:t>
            </w:r>
          </w:p>
        </w:tc>
      </w:tr>
      <w:tr>
        <w:trPr>
          <w:trHeight w:val="214"/>
        </w:trPr>
        <w:tc>
          <w:tcPr>
            <w:tcW w:w="3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of Portfolio</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bl>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and six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r>
      <w:tr>
        <w:trPr>
          <w:trHeight w:val="223"/>
        </w:trPr>
        <w:tc>
          <w:tcPr>
            <w:tcW w:w="350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0.7 years to the life of the modified loan.</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0.3 years to the life of the modified loan.</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0.5 years to the life of the modified loan.</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r>
      <w:tr>
        <w:trPr>
          <w:trHeight w:val="223"/>
        </w:trPr>
        <w:tc>
          <w:tcPr>
            <w:tcW w:w="350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0.7 years to the life of the modified loan.</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0.3 years to the life of the modified loan.</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0.5 years to the life of the modified loan.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and six months ended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5"/>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344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Term Extension</w:t>
            </w:r>
          </w:p>
        </w:tc>
      </w:tr>
      <w:tr>
        <w:trPr>
          <w:trHeight w:val="214"/>
        </w:trPr>
        <w:tc>
          <w:tcPr>
            <w:tcW w:w="3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of Portfolio</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r>
      <w:tr>
        <w:trPr>
          <w:trHeight w:val="223"/>
        </w:trPr>
        <w:tc>
          <w:tcPr>
            <w:tcW w:w="350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2023</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1.0 years to the life of the modified loan.</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1.0 years to the life of the modified loan.</w:t>
            </w:r>
          </w:p>
        </w:tc>
      </w:tr>
      <w:tr>
        <w:trPr>
          <w:trHeight w:val="535"/>
        </w:trPr>
        <w:tc>
          <w:tcPr>
            <w:tcW w:w="3500" w:type="dxa"/>
            <w:vAlign w:val="bottom"/>
          </w:tcPr>
          <w:p>
            <w:pPr>
              <w:spacing w:after="0"/>
              <w:rPr>
                <w:sz w:val="24"/>
                <w:szCs w:val="24"/>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r>
      <w:tr>
        <w:trPr>
          <w:trHeight w:val="223"/>
        </w:trPr>
        <w:tc>
          <w:tcPr>
            <w:tcW w:w="350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2023</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1.0 years to the life of the modified loan.</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1.0 years to the life of the modified loan.</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Modifications added a weighted average 0.8 years to the life of the modified loans.</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Modifications added a weighted average 0.8 years to the life of the modified loans.</w:t>
            </w:r>
          </w:p>
        </w:tc>
      </w:tr>
    </w:tbl>
    <w:p>
      <w:pPr>
        <w:spacing w:after="0" w:line="1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prior twelve months, eight loan modifications were made to borrowers experiencing financial difficulty. One loan that was modified during this period had a payment default during the three and six months ended June 30, 2024.</w:t>
      </w: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w:t>
      </w:r>
    </w:p>
    <w:p>
      <w:pPr>
        <w:spacing w:after="0" w:line="1" w:lineRule="exact"/>
        <w:rPr>
          <w:sz w:val="20"/>
          <w:szCs w:val="20"/>
          <w:color w:val="auto"/>
        </w:rPr>
      </w:pPr>
    </w:p>
    <w:p>
      <w:pPr>
        <w:jc w:val="both"/>
        <w:ind w:firstLine="8"/>
        <w:spacing w:after="0" w:line="255" w:lineRule="auto"/>
        <w:tabs>
          <w:tab w:leader="none" w:pos="3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June 30, 2024:</w:t>
      </w:r>
    </w:p>
    <w:p>
      <w:pPr>
        <w:spacing w:after="0" w:line="2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 &amp; Prior</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40" w:type="dxa"/>
            <w:vAlign w:val="bottom"/>
          </w:tcPr>
          <w:p>
            <w:pPr>
              <w:spacing w:after="0"/>
              <w:rPr>
                <w:sz w:val="12"/>
                <w:szCs w:val="12"/>
                <w:color w:val="auto"/>
              </w:rPr>
            </w:pPr>
          </w:p>
        </w:tc>
        <w:tc>
          <w:tcPr>
            <w:tcW w:w="10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79,732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196,949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190,751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232,178</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135,154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958,544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17,311</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36,545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202,632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212,749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253,754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139,657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1,012,400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96,876</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224,569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375,639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478,983</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1,219,954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8,321</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8,321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96,876</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224,569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375,639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489,574</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1,230,545</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58,761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174,869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369,517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3,736</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58,761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182,836</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377,484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12,135</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11,119</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23,254</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132,794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412,248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310,226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511,331</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1,396,984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132,794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414,237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312,586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514,622</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1,404,624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124,545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131,720</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383,010</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99,481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125,249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132,546</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385,567</w:t>
            </w:r>
          </w:p>
        </w:tc>
        <w:tc>
          <w:tcPr>
            <w:tcW w:w="0" w:type="dxa"/>
            <w:vAlign w:val="bottom"/>
          </w:tcPr>
          <w:p>
            <w:pPr>
              <w:spacing w:after="0"/>
              <w:rPr>
                <w:sz w:val="1"/>
                <w:szCs w:val="1"/>
                <w:color w:val="auto"/>
              </w:rPr>
            </w:pP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13,747</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37,592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11,422</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37,965</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266,058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553,239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1,138,933</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728,629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1,546,390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144,487</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4,377,736</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12,401</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29,368</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64,735</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266,154</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553,341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1,147,631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753,896</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1,590,708</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160,109</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4,471,839</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5,901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2023:</w:t>
      </w:r>
    </w:p>
    <w:p>
      <w:pPr>
        <w:spacing w:after="0" w:line="2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2019 &amp; Prior</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9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130,568</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220,552</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192,682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117,966</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141,542</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138,003</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941,313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16,927</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21,072</w:t>
            </w:r>
          </w:p>
        </w:tc>
        <w:tc>
          <w:tcPr>
            <w:tcW w:w="90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130,568</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221,272</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209,374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127,084</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159,403</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163,297</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1,010,998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193,827</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382,652</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45,287</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377,554</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1,137,453</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193,827</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382,652</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45,287</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388,221</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1,148,120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73,089</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42,824</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36,478</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140,674</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345,145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73,089</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42,824</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38,336</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147,103</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353,432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12,460</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16,365</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23,626</w:t>
            </w: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413,962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328,952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403,508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1,418,384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417,194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329,955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135,194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406,086</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1,425,596</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104,633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131,008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405,849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67,319</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408,260</w:t>
            </w: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41,287</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567,793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1,179,430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758,419</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500,122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1,149,363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146,660</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4,301,787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13,104</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567,798</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1,183,947</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777,257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512,024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1,187,173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183,120</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4,411,319</w:t>
            </w:r>
          </w:p>
        </w:tc>
      </w:tr>
      <w:tr>
        <w:trPr>
          <w:trHeight w:val="188"/>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8" w:right="55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June 30, 2024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June 30, 2023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67,323</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six months ended June 30, 2024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six months ended June 30, 2023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ALLL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45,031</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Adoption of ASU No. 2016-13</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21,229</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66,260</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June 30, 2024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June 30,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c>
          <w:tcPr>
            <w:tcW w:w="0" w:type="dxa"/>
            <w:vAlign w:val="bottom"/>
          </w:tcPr>
          <w:p>
            <w:pPr>
              <w:spacing w:after="0"/>
              <w:rPr>
                <w:sz w:val="1"/>
                <w:szCs w:val="1"/>
                <w:color w:val="auto"/>
              </w:rPr>
            </w:pPr>
          </w:p>
        </w:tc>
      </w:tr>
      <w:tr>
        <w:trPr>
          <w:trHeight w:val="238"/>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r>
      <w:tr>
        <w:trPr>
          <w:trHeight w:val="19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mortgage loans with an unpaid principal balance of $2.45 billion and $2.35 billion, respectively, were pledged to the FHLBNY to secure outstanding advances and letters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$1.6 million in related party loans outstanding as of June 30, 2024 compared to $1.7 million related party loans as of December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non-performing loans included in the balance of Loans held for sale on the Consolidated Statements of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$1.0 million and $1.0 million such loans as of June 30, 2024 and December 31, 2023, respectively.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3,445,068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2,940,398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192,452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3,093,644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3,100,681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336,943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340,860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227,437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certificates of deposit ("CDs")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242,210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7,448,988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7,011,988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and brokered CDs as of June 30, 2024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159,294</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99,340</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39,956</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26,885</w:t>
            </w:r>
          </w:p>
        </w:tc>
      </w:tr>
      <w:tr>
        <w:trPr>
          <w:trHeight w:val="229"/>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380,881</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$43.3 million as of June 30, 2024 and $42.2 million as of December 31,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FDIC insurance to bank customers with balances in excess of FDIC insurance limits. CDARS deposits totaled approximately $96.5 million and $63.1 million as of June 30, 2024 and December 31, 2023, respectively, and are included in Time deposits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$63.7 million as of June 30, 2024 and $56.4 million as of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$61.8 million and $51.9 million as of June 30, 2024 and December 31, 2023, respectively. Such deposits are secured by letters of credit issued by the FHLBNY or by securities pledged with the FHLBNY.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BORROWED FUNDS</w:t>
      </w:r>
    </w:p>
    <w:p>
      <w:pPr>
        <w:spacing w:after="0" w:line="2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to collateral capacity. As of June 30, 2024, the value of the other eligible assets had an estimated market value net of haircut totaling $2.21 billion (comprised of securities of $522.8 million and mortgage loans of $2.4 billion). The fair value of assets pledged to the FHLBNY is required to be not less than 110% of the outstanding advances. There were $9.1 million outstanding FHLB advances as of June 30, 2024 and $4.4 million in outstanding FHLBNY advances as of December 31, 2023. The current FHLBNY advances are through the 0% Development Advance Program that provides members with subsidized funding in the form of interest rate credits to assist in originating loans or purchasing loans or investments that meet one of the eligibility criteria. The Company pledged PACE assessments which qualified under the Climate Development Advance and therefore will receive interest rate credits and will not incur any interest expense related to the current outstanding advances. For the three months ended June 30, 2024, and 2023, interest expense on FHLBNY advances was zero and $1.4 million, respectively. For the six months ended June 30, 2024, and 2023, interest expense on FHLBNY advances was zero million and $4.4 million, respectively.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June 30, 2024, and December 31, 2023 there was no outstanding balance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During the quarter ended June 30, 2024, the outstanding balance of $230 million with a weighted average interest rate of 4.5% related to the BTFP was paid off at maturity. For the three months ended June 30, 2024, and 2023, interest expense on other borrowings was $0.3 million and $2.1 million, respectively. For the six months ended June 30, 2024, and 2023, interest expense on other borrowings was $2.7 million and $2.3 million,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SUBORDINATED DEBT</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subordinated debt for the three months ended June 30, 2024 and 2023 was $0.6 million and $0.6 million, respectively. Interest expense on subordinated debt for the six months ended June 30, 2024 and 2023 was $1.2 million and $1.2 million,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the Company repurchased subordinated notes with a par value of $2.5 million for cash paid of $2.1 million. During the three months ended June 30, 2023 the Company did not repurchase any subordinated notes. During the six months ended June 30, 2024 and June 30, 2023, subordinated notes with a par value of $2.5 million and $4.0 million were repurchased for cash paid of $2.1 million, and $3.2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Gains on repurchases of subordinated debt for the three and six months ended June 30, 2024 were $0.4 million. Gains on repurchases of subordinated debt for the three and six months ended June 30, 2023 were zero and $0.8 million, respectively. All gains are recorded in Non-interest income - other on the consolidated statements of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For the three months ended June 30, 2024 and June 30, 2023, we had 1 thousand and 74 thousand anti-dilutive shares, respectively. For the six months ended June 30, 2024 and June 30, 2023, we had 5 thousand and 84 thousand anti-dilutive shares,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60" w:type="dxa"/>
            <w:vAlign w:val="bottom"/>
          </w:tcPr>
          <w:p>
            <w:pPr>
              <w:spacing w:after="0"/>
              <w:rPr>
                <w:sz w:val="17"/>
                <w:szCs w:val="17"/>
                <w:color w:val="auto"/>
              </w:rPr>
            </w:pPr>
          </w:p>
        </w:tc>
        <w:tc>
          <w:tcPr>
            <w:tcW w:w="22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Amalgamated Financial Corp.</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6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0" w:type="dxa"/>
            <w:vAlign w:val="bottom"/>
          </w:tcPr>
          <w:p>
            <w:pPr>
              <w:spacing w:after="0"/>
              <w:rPr>
                <w:sz w:val="1"/>
                <w:szCs w:val="1"/>
                <w:color w:val="auto"/>
              </w:rPr>
            </w:pPr>
          </w:p>
        </w:tc>
      </w:tr>
      <w:tr>
        <w:trPr>
          <w:trHeight w:val="24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June 30, 2024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0" w:type="dxa"/>
            <w:vAlign w:val="bottom"/>
            <w:gridSpan w:val="2"/>
          </w:tcPr>
          <w:p>
            <w:pPr>
              <w:jc w:val="center"/>
              <w:ind w:righ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3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4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June 30, 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$11.00 to $14.65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three and six months ended June 30, 2024 or for the three and six months ended June 30, 2023 as all options had been fully expensed as of December 31, 2020. The fair value of all awards outstanding as of June 30, 2024 and December 31, 2023 was $2.6 million and $4.7 million, respectively. No cash was received for options exercised in the three and six months ended June 30, 2024 or for the three and six months ended June 30,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85,759 shares and 3,999 shares for options exercised in the six months ended June 30, 2024 and June 30,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2021 Equity Incentive Plan (the “Equity Plan”) provides for the grant of stock-based incentive awards to employees and directors of the Company. The number of shares of common stock of the Company available for stock-based awards in the Equity Plan is 1,300,000 of which 874,398 shares were available for issuance as of June 30,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for the six months ended June 30, 2024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291,762</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June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322,768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vesting RSUs for the six months ended June 30, 2024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125,963</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June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36,737 and 29,654 performance-based RSUs at a fair value of $23.20 and $23.18 per share, respectively,which vest subject to the achievement of the Company’s corporate goal for the three-year period from January 1, 2024 to December 31, 2026. The corporate goal is based on the Company achieving a target increase in Tangible Book Value, adjusted for certain factors. The minimum and maximum awards that are achievable are 0 and 99,587 shares,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69,343 market-based RSUs at a fair value of $22.21 per share which vest subject to the Bank’s relative total shareholder return compared to a group of peer banks over a three-year period from March 1, 2024 to February 28, 2027. The minimum and maximum awards that are achievable are 0 and 104,015 shares,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4,423 shares at a fair value of $14.97 per share, respectively, related to the vesting of performance-based RSUs to satisfy the achievement of corporate goals above target. Compensation expense attributable to the vesting of these shares was $66 thousand.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 reserved 363,360 shares for issuance upon vesting of performance-based RSUs assuming the Company’s employees achieve the maximum share payout.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54,079 shares and 45,130 shares for RSUs vested in the six months ended June 30, 2024 and 2023,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565,008 unvested RSUs and PSUs on June 30, 2024, the minimum units that will vest, solely due to a service test, are 322,768. The maximum units that will vest, assuming the highest payout on performance and market-based units, are 686,128.</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expense attributable to RSUs and PSUs was $1.4 million and $2.3 million for the three and six months ended June 30, 2024, and $1.1 million and $2.0 million for the three and six months ended June 30, 2023. The company recorded an expense of $0.1 million and $0.3 million attributable to RSUs granted to directors for the three and six months ended June 30, 2024 and $0.1 million and $0.2 million for the three and six June 30, 2023. As of June 30, 2024, there was $13.4 million of total unrecognized compensation cost related to the non-vested RSUs and PSUs granted. This expense may increase or decrease depending on the expected number of performance-based shares to be issued. This expense is expected to be recognized over 1.6 years.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 below following summarizes the shares purchased under the ESPP since the inception of the plan: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purchase at December 31, 2023</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424,848</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during the three months ended:</w:t>
            </w:r>
          </w:p>
        </w:tc>
        <w:tc>
          <w:tcPr>
            <w:tcW w:w="2260" w:type="dxa"/>
            <w:vAlign w:val="bottom"/>
          </w:tcPr>
          <w:p>
            <w:pPr>
              <w:spacing w:after="0"/>
              <w:rPr>
                <w:sz w:val="19"/>
                <w:szCs w:val="19"/>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2024</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r>
      <w:tr>
        <w:trPr>
          <w:trHeight w:val="229"/>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June 30, 2024</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Year-to-date purchases</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shares available for purchase at June 30, 2024</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407,148</w:t>
            </w:r>
          </w:p>
        </w:tc>
      </w:tr>
      <w:tr>
        <w:trPr>
          <w:trHeight w:val="20"/>
        </w:trPr>
        <w:tc>
          <w:tcPr>
            <w:tcW w:w="58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 related to the discount on purchased shares for the three months ended June 30, 2024 and June 30, 2023 was $30.9 thousand and $18.9 thousand, respectively, and is recorded within compensation and employee benefits expense on the Consolidated Statements of Income. The expense for the six months ended June 30, 2024 and June 30, 2023 was $67.6 thousand and $77.0 thousand, respectively.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Derivatives represent interest rate option contracts and interest rate swaps and estimated fair values are based on valuation models using observable market data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597,486</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194,582</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676,781</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108,569</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112,923</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70"/>
        </w:trPr>
        <w:tc>
          <w:tcPr>
            <w:tcW w:w="5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1,581,963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1,695,084</w:t>
            </w:r>
          </w:p>
        </w:tc>
      </w:tr>
      <w:tr>
        <w:trPr>
          <w:trHeight w:val="270"/>
        </w:trPr>
        <w:tc>
          <w:tcPr>
            <w:tcW w:w="5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Cash flow hedges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53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11"/>
        </w:trPr>
        <w:tc>
          <w:tcPr>
            <w:tcW w:w="5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53,303</w:t>
            </w:r>
          </w:p>
        </w:tc>
      </w:tr>
      <w:tr>
        <w:trPr>
          <w:trHeight w:val="257"/>
        </w:trPr>
        <w:tc>
          <w:tcPr>
            <w:tcW w:w="53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1,483,042</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three months ended June 30, 2024 and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tc>
        <w:tc>
          <w:tcPr>
            <w:tcW w:w="0" w:type="dxa"/>
            <w:vAlign w:val="bottom"/>
          </w:tcPr>
          <w:p>
            <w:pPr>
              <w:spacing w:after="0"/>
              <w:rPr>
                <w:sz w:val="1"/>
                <w:szCs w:val="1"/>
                <w:color w:val="auto"/>
              </w:rPr>
            </w:pPr>
          </w:p>
        </w:tc>
      </w:tr>
      <w:tr>
        <w:trPr>
          <w:trHeight w:val="2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holding gains/losses included in other comprehensive income</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June 30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June 30, 2024 and December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7.0%-25.0% (18.2%)</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reported at the fair value of the underlying collateral if repayment is expected solely from the collateral.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5"/>
                <w:szCs w:val="15"/>
                <w:color w:val="auto"/>
              </w:rPr>
            </w:pPr>
          </w:p>
        </w:tc>
        <w:tc>
          <w:tcPr>
            <w:tcW w:w="1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500" w:type="dxa"/>
            <w:vAlign w:val="bottom"/>
            <w:gridSpan w:val="3"/>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there were no individually analyzed collateral-dependent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footnote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included in the Annual Report on Form 10-K for the year ended December 31, 2023.</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3"/>
                <w:szCs w:val="13"/>
                <w:color w:val="auto"/>
              </w:rPr>
            </w:pP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57,993</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1,660,582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1,500,207</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4,408,395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4,121,111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137,461</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52,575</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7,068,107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7,068,107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 and brokered CDs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378,565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57,900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1,696,834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1,549,509</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4,345,628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4,029,142</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55,484</w:t>
            </w:r>
          </w:p>
        </w:tc>
        <w:tc>
          <w:tcPr>
            <w:tcW w:w="0" w:type="dxa"/>
            <w:vAlign w:val="bottom"/>
          </w:tcPr>
          <w:p>
            <w:pPr>
              <w:spacing w:after="0"/>
              <w:rPr>
                <w:sz w:val="1"/>
                <w:szCs w:val="1"/>
                <w:color w:val="auto"/>
              </w:rPr>
            </w:pPr>
          </w:p>
        </w:tc>
      </w:tr>
      <w:tr>
        <w:trPr>
          <w:trHeight w:val="259"/>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 and brokered CDs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428,116</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borrowings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56,790</w:t>
            </w:r>
          </w:p>
        </w:tc>
        <w:tc>
          <w:tcPr>
            <w:tcW w:w="0" w:type="dxa"/>
            <w:vAlign w:val="bottom"/>
          </w:tcPr>
          <w:p>
            <w:pPr>
              <w:spacing w:after="0"/>
              <w:rPr>
                <w:sz w:val="1"/>
                <w:szCs w:val="1"/>
                <w:color w:val="auto"/>
              </w:rPr>
            </w:pPr>
          </w:p>
        </w:tc>
      </w:tr>
      <w:tr>
        <w:trPr>
          <w:trHeight w:val="234"/>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59"/>
        </w:trPr>
        <w:tc>
          <w:tcPr>
            <w:tcW w:w="2700" w:type="dxa"/>
            <w:vAlign w:val="bottom"/>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514,206</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545,884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allowance, which is included in other liabilities, amounted to approximately $6.3 million as of June 30, 2024, compared to an allowance of $4.2 million as of December 31, 2023. The provision for credit losses related to off balance sheet credit commitments was $1.4 million and $2.1 million for the three and six months ended June 30, 2024, and $0.8 million and $0.9 million for the three and six months ended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which operates Home Run Financing, for the purchase of PACE assessment securities until January 2025. As of June 30, 2024, the Company had purchased $781.6 million of these obligations and had an estimated remaining commitment of $106.6 million. These investments are currently held in the Company's available for sale and held-to-maturity investment portfolio. The Company evaluates these obligations for credit risk and the recorded reserve is immaterial.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VIE projects, we also have commitments to provide financing, which are included in footnote 14.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June 30, 2024.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19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59"/>
        </w:trPr>
        <w:tc>
          <w:tcPr>
            <w:tcW w:w="6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Sublease income and variable income or expense considered immaterial</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June 30, 2024 and June 30, 2023 was 2.6 years and 3.3 years,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used for the operating lease liability was 3.13% and 3.23% at June 30, 2024 and June 30, 2023,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June 30,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June 30, 2024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2024 and estimates and assumptions that the Company believes most appropriate for the analysis. Based on the qualitative analysis performed in accordance with ASC 350, the Company determined it more likely than not that goodwill was not impaired as of June 30, 2024. During the three and six months ended June 30, 2024,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the carrying amount of goodwill was $12.9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carrying amount of the core deposit intangible was $9.1 million, and the accumulated amortization of the core deposit intangible was $7.3 million and $6.9 million as of June 30, 2024 and December 31, 2023, respectively. At June 30, 2024 and December 31, 2023, the carrying amount of the core deposit intangible was $1.9 million and $2.2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$0.2 million and $0.2 million for the three months ended June 30, 2024 and June 30, 2023, respectively, and $0.4 million and $0.4 million for the six months ended June 30, 2024 and June 30, 2023,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June 30, 2024, the Company's maximum exposure to loss is $60.2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51,216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1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23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6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and other tax benefits recognized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DERIVATIVES AND HEDGING ACTIVITIES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manage its exposure to interest rate movements and to add stability to net interest income. To accomplish this objective, the Company has entered into interest rate cash flow hedges as part of its interest rate risk management strategy. As of June 30, 2024, the Company had one interest rate swap with a notional value of $100.0 million and one interest rate option contract with a floor with a notional value of $80.0 million, both hedging floating-rate available for 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fair value of the Company’s derivative assets and liabilities as of June 30, 2024 and December 31, 2023.</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20" w:type="dxa"/>
            <w:vAlign w:val="bottom"/>
          </w:tcPr>
          <w:p>
            <w:pPr>
              <w:spacing w:after="0"/>
              <w:rPr>
                <w:sz w:val="20"/>
                <w:szCs w:val="20"/>
                <w:color w:val="auto"/>
              </w:rPr>
            </w:pPr>
          </w:p>
        </w:tc>
        <w:tc>
          <w:tcPr>
            <w:tcW w:w="22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Fair Value Assets</w:t>
            </w:r>
          </w:p>
        </w:tc>
        <w:tc>
          <w:tcPr>
            <w:tcW w:w="180" w:type="dxa"/>
            <w:vAlign w:val="bottom"/>
          </w:tcPr>
          <w:p>
            <w:pPr>
              <w:spacing w:after="0"/>
              <w:rPr>
                <w:sz w:val="19"/>
                <w:szCs w:val="19"/>
                <w:color w:val="auto"/>
              </w:rPr>
            </w:pPr>
          </w:p>
        </w:tc>
        <w:tc>
          <w:tcPr>
            <w:tcW w:w="15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Fair Value Assets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5"/>
        </w:trPr>
        <w:tc>
          <w:tcPr>
            <w:tcW w:w="5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20" w:type="dxa"/>
            <w:vAlign w:val="bottom"/>
          </w:tcPr>
          <w:p>
            <w:pPr>
              <w:spacing w:after="0"/>
              <w:rPr>
                <w:sz w:val="24"/>
                <w:szCs w:val="24"/>
                <w:color w:val="auto"/>
              </w:rPr>
            </w:pPr>
          </w:p>
        </w:tc>
        <w:tc>
          <w:tcPr>
            <w:tcW w:w="22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4"/>
                <w:szCs w:val="14"/>
                <w:color w:val="auto"/>
              </w:rPr>
            </w:pP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120" w:type="dxa"/>
            <w:vAlign w:val="bottom"/>
            <w:tcBorders>
              <w:top w:val="single" w:sz="8" w:color="auto"/>
            </w:tcBorders>
          </w:tcPr>
          <w:p>
            <w:pPr>
              <w:ind w:left="30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vMerge w:val="continue"/>
          </w:tcPr>
          <w:p>
            <w:pPr>
              <w:spacing w:after="0"/>
              <w:rPr>
                <w:sz w:val="21"/>
                <w:szCs w:val="21"/>
                <w:color w:val="auto"/>
              </w:rPr>
            </w:pPr>
          </w:p>
        </w:tc>
        <w:tc>
          <w:tcPr>
            <w:tcW w:w="148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0" w:type="dxa"/>
            <w:vAlign w:val="bottom"/>
            <w:gridSpan w:val="3"/>
            <w:vMerge w:val="continue"/>
          </w:tcPr>
          <w:p>
            <w:pPr>
              <w:spacing w:after="0"/>
              <w:rPr>
                <w:sz w:val="21"/>
                <w:szCs w:val="21"/>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the Consolidated Statements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six months ended June 30, 2024 and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0" w:type="dxa"/>
            <w:vAlign w:val="bottom"/>
          </w:tcPr>
          <w:p>
            <w:pPr>
              <w:spacing w:after="0"/>
              <w:rPr>
                <w:sz w:val="1"/>
                <w:szCs w:val="1"/>
                <w:color w:val="auto"/>
              </w:rPr>
            </w:pPr>
          </w:p>
        </w:tc>
      </w:tr>
      <w:tr>
        <w:trPr>
          <w:trHeight w:val="169"/>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14"/>
                <w:szCs w:val="14"/>
                <w:color w:val="auto"/>
              </w:rPr>
            </w:pPr>
          </w:p>
        </w:tc>
        <w:tc>
          <w:tcPr>
            <w:tcW w:w="108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43"/>
        </w:trPr>
        <w:tc>
          <w:tcPr>
            <w:tcW w:w="5780" w:type="dxa"/>
            <w:vAlign w:val="bottom"/>
            <w:vMerge w:val="continue"/>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relationships:</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5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0" w:type="dxa"/>
            <w:vAlign w:val="bottom"/>
          </w:tcPr>
          <w:p>
            <w:pPr>
              <w:spacing w:after="0"/>
              <w:rPr>
                <w:sz w:val="1"/>
                <w:szCs w:val="1"/>
                <w:color w:val="auto"/>
              </w:rPr>
            </w:pPr>
          </w:p>
        </w:tc>
      </w:tr>
      <w:tr>
        <w:trPr>
          <w:trHeight w:val="169"/>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14"/>
                <w:szCs w:val="14"/>
                <w:color w:val="auto"/>
              </w:rPr>
            </w:pPr>
          </w:p>
        </w:tc>
        <w:tc>
          <w:tcPr>
            <w:tcW w:w="108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43"/>
        </w:trPr>
        <w:tc>
          <w:tcPr>
            <w:tcW w:w="5780" w:type="dxa"/>
            <w:vAlign w:val="bottom"/>
            <w:vMerge w:val="continue"/>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relationships:</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securities. During the next twelve months, the Company estimates that an additional $0.2 million will be reclassified as a reduction in interest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terminate any derivatives during the three and six months ended June 30, 2024 and June 30, 2023,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198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6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in other comprehensive income (loss)</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reclassified from other comprehensive income into interest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Statements of Financial Condition.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1" w:name="page52"/>
    <w:bookmarkEnd w:id="51"/>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June 30, 2024, as compared to December 31, 2023, and our results of operations for the three and six month periods ended June 30, 2024 and June 30, 2023.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2023 (the “2023 Annual Report”), filed with the Securities and Exchange Commission on March 7, 2024. Historical results of operations and the percentage relationships among any amounts included, and any trends that may appear, may not indicate results of operations for any future periods.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41% of our equity as of June 30, 2024. As of June 30, 2024, our total assets were $8.25 billion, our total loans, net of allowance for credit losses were $4.41 billion, our total deposits were $7.45 billion, and our stockholders' equity was $646.1 million. As of June 30, 2024, our trust business held $34.60 billion in assets under custody and $14.00 billion in assets under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2023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addition of accounting policies related to derivatives, there have been no significant changes to our significant accounting policies, or the estimates made pursuant to those policies as described in our 2023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2023, we adopted the CECL Standard, which requires that loans held for investment be accounted for under the current expected credit losses model. 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for loans that share similar risk characteristics. For a loan that does not share risk characteristics with other loans, the Company will evaluate the loan on an individual basis. Within the model, assumptions are made in the determination of baseline loss rates, severity rates, reasonable and supportable economic forecasts, and prepayment rates.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assesses the sensitivity of key assumptions at least annually by stressing the assumptions to understand the impact on the model. While management utilizes its best judgment and information available, the ultimate adequacy of our allowance is dependent upon a variety of factors beyond our control which are inherently difficult to predict, the most significant being the macroeconomic forecasts. The Company's forecast of economic conditions considers baseline, favorable, and adverse scenarios.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Changes in economic forecasts may not occur in the same direction or magnitude across all segments of our loan portfolio and deterioration in some quantitative inputs may offset improvement in others. The Company selects the economic forecast that is most reflective of expectations at that point in time, and changes could significantly impact the calculated estimated credit losses.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segments that rely on a peer group to develop baseline loss rates, statistical regression is utilized to relate historical macro-economic variables to historical credit loss experience of a peer group of banks. These models are then utilized to forecast future expected credit losses based on expected future behavior of the same macro-economic variables. Adjustments to the quantitative results are made using qualitative factors. These factors include: (1) borrower's financial condition; (2) borrower's ability to pay; (3) nature and volume of financial assets; (4) value of the underlying collateral; (5) lending policies and procedures; (6) quality of</w:t>
      </w:r>
    </w:p>
    <w:p>
      <w:pPr>
        <w:sectPr>
          <w:pgSz w:w="11900" w:h="16838" w:orient="portrait"/>
          <w:cols w:equalWidth="0" w:num="1">
            <w:col w:w="11240"/>
          </w:cols>
          <w:pgMar w:left="320" w:top="1440"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the loan review system; (7) the experience, ability, and depth of staff; (8) regulatory and legal environment; (9) changes in market conditions; and (10) changes in economic conditions.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within the CECL policy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Effective in 2024 and onward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This ASU is effective for fiscal years beginning after December 15, 2023, and interim periods within fiscal years beginning after December 15, 2024. Early adoption is permitted. The Company is currently evaluating the impact of this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 Improvements to Income Tax Disclosures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Improvements to Income Tax Disclosures, which is intended to enhance the transparency and decision usefulness of income tax disclosures. The amendments in ASU 2023-09 address investor requests for enhanced income tax information primarily through changes to the rate reconciliation and income taxes paid information. The update will be effective for annual periods beginning after December 15, 2024, and early adoption is permitted. The Company is currently evaluating the impact of this standard on our consolidated financial statements and related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second quarter of 2024 was $26.8 million, or $0.87 per diluted share, compared to $21.6 million, or $0.70 per diluted share, for the second quarter of 2023. The $5.2 million increase was primarily due to a $5.9 million increase in interest income on loans, a $5.5 million increase in interest income on securities, a $1.6 million increase in interest on interest-bearing deposits in banks, a $1.4 million increase in non-interest income, and a $0.7 million decrease in provision for credit losses, offset by a $6.9 million increase in interest expense primarily related to deposits, an increase in non-interest expense of $2.0 million, and a $1.2 million increase in income tax expense.</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income for the six months ended June 30, 2024 was $54.0 million, or $1.75 per diluted share, compared to $43.0 million, or $1.39 per diluted share, for the same period in 2023. The $11.0 million increase was primarily due to a $13.0 increase in interest income on loans, a $8.4 million increase in interest income on securities, a $3.6 million increase in interest income from interest-bearing deposits in banks,a $6.3 million increase in non-interest income primary due to increase in service charges on deposit accounts and a $4.2 million decrease in the provision for credit losses, offset by a $18.1 million increase in interest expense, a $1.5 million increase in non-interest expense, and $4.9 million increase in income tax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Federal Home Loan Bank of New York ("FHLBNY") advances, federal funds purchased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920" w:type="dxa"/>
            <w:vAlign w:val="bottom"/>
            <w:tcBorders>
              <w:bottom w:val="single" w:sz="8" w:color="auto"/>
            </w:tcBorders>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r>
      <w:tr>
        <w:trPr>
          <w:trHeight w:val="189"/>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213,725</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3,308,881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3,259,797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4,406,843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4,202,911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8,052,067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7,582,288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208,944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8,276,016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7,796,266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3,729,858</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3,203,681</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411,510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4,096,509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3,774,183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371,004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4,201,069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4,145,187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3,390,941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7,652,992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7,268,667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527,599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8,276,016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7,796,266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23"/>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3,850,998</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3,437,101</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37"/>
        </w:trPr>
        <w:tc>
          <w:tcPr>
            <w:tcW w:w="3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deposits / total cost of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7,487,450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6,829,953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funding / total cost of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7,592,010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7,200,957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bl>
    <w:p>
      <w:pPr>
        <w:spacing w:after="0" w:line="66"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2Q2024 and 2Q2023 of $0 and $0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$69.2 million for the second quarter of 2024, compared to $63.0 million for the second quarter of 2023. The $6.2 million increase, or 9.8% increase from the second quarter of 2023 was primarily attributable to higher yields and average balances on interest-earning assets, partially offset by higher costs and average balances on interest-bearing liabilities.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spread was 2.09% for the three months ended June 30, 2024, compared to 2.33% for the same period in 2023, a decrease of 24 basis points. Our net interest margin was 3.46% for the second quarter of 2024, an increase of 13 basis points from 3.33% in the second quarter of 2023. This was largely due to increases in yields and average balances on interest-bearing assets, offset by increases in cost of funds on interest-bearing liabilities.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4.94% for the three months ended June 30, 2024, compared to 4.55% for the same period in 2023, an increase of 39 basis points. This increase was driven primarily by the current rate environment resulting in increased yields across securities and loan portfolios.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2.85% for the three months ended June 30, 2024, an increase of 63 basis points from the same period in 2023, which was primarily due to the rising rate environment that led to an increase in interest expense paid for deposits, particularly in savings, NOW, and money market deposits and time deposits. Non-interest-bearing deposits represented 45.3% of average deposits for the three months ended June 30, 2024, compared to 44.7% for the three months ended June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25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5"/>
          </w:tcPr>
          <w:p>
            <w:pPr>
              <w:jc w:val="center"/>
              <w:ind w:right="120"/>
              <w:spacing w:after="0" w:line="185"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5"/>
          </w:tcPr>
          <w:p>
            <w:pPr>
              <w:jc w:val="center"/>
              <w:ind w:right="80"/>
              <w:spacing w:after="0" w:line="185"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9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 /</w:t>
            </w:r>
          </w:p>
        </w:tc>
        <w:tc>
          <w:tcPr>
            <w:tcW w:w="9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Yield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 /</w:t>
            </w:r>
          </w:p>
        </w:tc>
        <w:tc>
          <w:tcPr>
            <w:tcW w:w="9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Yield /</w:t>
            </w:r>
          </w:p>
        </w:tc>
        <w:tc>
          <w:tcPr>
            <w:tcW w:w="0" w:type="dxa"/>
            <w:vAlign w:val="bottom"/>
          </w:tcPr>
          <w:p>
            <w:pPr>
              <w:spacing w:after="0"/>
              <w:rPr>
                <w:sz w:val="1"/>
                <w:szCs w:val="1"/>
                <w:color w:val="auto"/>
              </w:rPr>
            </w:pPr>
          </w:p>
        </w:tc>
      </w:tr>
      <w:tr>
        <w:trPr>
          <w:trHeight w:val="112"/>
        </w:trPr>
        <w:tc>
          <w:tcPr>
            <w:tcW w:w="3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9"/>
                <w:szCs w:val="9"/>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4,398,665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4,166,389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7,591,502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0" w:type="dxa"/>
            <w:vAlign w:val="bottom"/>
          </w:tcPr>
          <w:p>
            <w:pPr>
              <w:spacing w:after="0"/>
              <w:rPr>
                <w:sz w:val="1"/>
                <w:szCs w:val="1"/>
                <w:color w:val="auto"/>
              </w:rPr>
            </w:pPr>
          </w:p>
        </w:tc>
      </w:tr>
      <w:tr>
        <w:trPr>
          <w:trHeight w:val="22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212,960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7,808,989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3,660,704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3,147,765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389,718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3,691,912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borrowings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359,505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4,229,498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4,051,417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3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3,170,729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7,564,397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515,111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7,808,989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3,719,147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3,540,085</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 / total cost of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7,297,762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6,862,641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 total cost of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7,222,146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FHLBNY stock in the average balance, and dividend income on FHLBNY stock in interest income.</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prepayment penalty interest income in June YTD 2024 and June YTD 2023 of $18 and $0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$137.2 million for the six months ended June 30, 2024, compared to $130.3 million for the same period in 2023. The year-over-year increase of $6.9 million, or 5.3%, was primarily attributable to higher yields and average balances on interest-earning assets, partially offset by higher costs and average balances on interest-bearing liabilities.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interest spread was 2.17% for the six months ended June 30, 2024, compared to 2.52% for the same period in 2023, a decrease of 35 basis points. Our net interest margin was 3.47% for the six months ended June 30, 2024, an increase of 1 basis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points from 3.46% in the same period of 2023. This was largely due to increases in yields on interest-bearing assets, offset by increases in cost of funds on interest-bearing liabilities.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4.96% for the six months ended June 30, 2024, compared to 4.54% for the same period in 2023, an increase of 42 basis points. This increase was driven primarily by the current rate environment resulting in increased yields across securities and loan portfolios.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rate on interest-bearing liabilities was 2.79% for the six months ended June 30, 2024, an increase of 77 basis points from the same period in 2023, which was primarily due to the rising rate environment that led to an increase in interest expense paid for deposits. Non-interest-bearing deposits represented 44.7% of average deposits for the six months ended June 30, 2024, compared to 46.2% for the same period in 2023.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June 30, 2024 over June 30, 2023</w:t>
            </w:r>
          </w:p>
        </w:tc>
        <w:tc>
          <w:tcPr>
            <w:tcW w:w="180" w:type="dxa"/>
            <w:vAlign w:val="bottom"/>
          </w:tcPr>
          <w:p>
            <w:pPr>
              <w:spacing w:after="0"/>
              <w:rPr>
                <w:sz w:val="20"/>
                <w:szCs w:val="20"/>
                <w:color w:val="auto"/>
              </w:rPr>
            </w:pPr>
          </w:p>
        </w:tc>
        <w:tc>
          <w:tcPr>
            <w:tcW w:w="328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2024 over June 30, 2023</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120"/>
              <w:spacing w:after="0" w:line="171" w:lineRule="exact"/>
              <w:rPr>
                <w:sz w:val="20"/>
                <w:szCs w:val="20"/>
                <w:color w:val="auto"/>
              </w:rPr>
            </w:pPr>
            <w:r>
              <w:rPr>
                <w:rFonts w:ascii="Times New Roman" w:cs="Times New Roman" w:eastAsia="Times New Roman" w:hAnsi="Times New Roman"/>
                <w:sz w:val="18"/>
                <w:szCs w:val="18"/>
                <w:b w:val="1"/>
                <w:bCs w:val="1"/>
                <w:color w:val="auto"/>
              </w:rPr>
              <w:t>Changes Due</w:t>
            </w:r>
          </w:p>
        </w:tc>
        <w:tc>
          <w:tcPr>
            <w:tcW w:w="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20"/>
              <w:spacing w:after="0" w:line="171" w:lineRule="exact"/>
              <w:rPr>
                <w:sz w:val="20"/>
                <w:szCs w:val="20"/>
                <w:color w:val="auto"/>
              </w:rPr>
            </w:pPr>
            <w:r>
              <w:rPr>
                <w:rFonts w:ascii="Times New Roman" w:cs="Times New Roman" w:eastAsia="Times New Roman" w:hAnsi="Times New Roman"/>
                <w:sz w:val="18"/>
                <w:szCs w:val="18"/>
                <w:b w:val="1"/>
                <w:bCs w:val="1"/>
                <w:color w:val="auto"/>
              </w:rPr>
              <w:t>Changes Due</w:t>
            </w:r>
          </w:p>
        </w:tc>
        <w:tc>
          <w:tcPr>
            <w:tcW w:w="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Pr>
          <w:p>
            <w:pPr>
              <w:spacing w:after="0"/>
              <w:rPr>
                <w:sz w:val="15"/>
                <w:szCs w:val="15"/>
                <w:color w:val="auto"/>
              </w:rPr>
            </w:pPr>
          </w:p>
        </w:tc>
        <w:tc>
          <w:tcPr>
            <w:tcW w:w="98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4"/>
              </w:rPr>
              <w:t>To</w:t>
            </w: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20" w:type="dxa"/>
            <w:vAlign w:val="bottom"/>
          </w:tcPr>
          <w:p>
            <w:pPr>
              <w:spacing w:after="0"/>
              <w:rPr>
                <w:sz w:val="15"/>
                <w:szCs w:val="15"/>
                <w:color w:val="auto"/>
              </w:rPr>
            </w:pPr>
          </w:p>
        </w:tc>
        <w:tc>
          <w:tcPr>
            <w:tcW w:w="9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85"/>
              </w:rPr>
              <w:t>To</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52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18.073</w:t>
            </w: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2023, we adopted the CECL standard for calculating the allowance for credit losses and the provision for credit losses. We establish an allowance for credit losses through a provision for credit losses charged as an expense in our Consolidated Statements of Income. For further discussion of the methodology under the CECL standard, refer to Note 1 to the Consolidated Financial Statements in Item 1 of this Form 10-Q.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credit losses totaled an expense of $3.2 million for the second quarter of 2024 compared to an expense of $3.9 million for the same period in 2023. The provision for credit losses on loans totaled an expense of $1.8 million, the provision for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credit losses on securities was a recovery of $2 thousand, and the provision for credit losses on off-balance sheet credit exposures was an expense of $1.4 million. Overall, the provision expense on loans was primarily driven by charge-offs on the solar loan portfolio and an increase in reserve for solar loans given the level of continued losses, offset by improvements in macro-economic forecasts used in the CECL model.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Six Months Ended June 30, 2024 and </w:t>
      </w:r>
      <w:r>
        <w:rPr>
          <w:rFonts w:ascii="Times New Roman" w:cs="Times New Roman" w:eastAsia="Times New Roman" w:hAnsi="Times New Roman"/>
          <w:sz w:val="18"/>
          <w:szCs w:val="18"/>
          <w:color w:val="auto"/>
        </w:rPr>
        <w:t>2023</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credit losses totaled an expense of $4.7 million for the six months ended June 30, 2024 compared to an expense of $8.9 million for the same period in 2023. The provision for credit losses on loans totaled $2.7 million, the provision for credit losses on securities was a recovery of $13 thousand, and the provision for credit losses on off-balance sheet credit exposures was $2.1 million. Overall, the provision expense on loans was primarily driven by increases in specific loan reserves, charge-offs on the solar loan portfolio, an increase in reserve for solar loans given the level of continued losses, and an increase in reserve for multifamily loans to reflect the current market repricing conditions, offset by improvements in macro-economic forecasts used in the CECL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gain or loss on sales of loans, income or losses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8"/>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sale of loans,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3"/>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was $9.3 million for the second quarter of 2024, compared to $7.9 million for the second quarter in 2023. The increase of $1.4 million in the second quarter of 2024 compared to the corresponding quarter in 2023 was primarily due to a $5.9 million increase in service charges on deposit accounts primarily due to increases in ICS One-Way Sell income, partially offset by a $2.4 million increase in losses on sale of securities and a decrease in income from equity investments of $2.2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Department fees consist of fees we receive in connection with our investment advisory and custodial management services of investment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Trust Department fees were $3.7 million in the second quarter of 2024, compared to $4.0 million in the same period in 2023.</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was $19.5 million for the six months ended June 30, 2024, compared to $13.2 million for the six months ended June 30, 2023. The increase of $6.3 million was primarily due to $9.6 million in increased service charges on deposit accounts primarily due to increases in ICS One-Way Sell income, partially offset by a $2.1 million increase in losses on sale of securities, a decrease in other income of $0.6 million primarily attributed to a gain on the repurchase of subordinated debt, and a $0.4 million decrease in Trust Department fees.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Trust Department fees consist of fees we receive in connection with our investment advisory and custodial management services of investment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Trust Department fees were $7.5 million for the six months of 2024, compared to $7.9 million in the same period in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data processing, office maintenance and depreciation, amortization of intangible assets, advertising and promotion, federal deposit insurance premiums, and other expenses. The following table presents non-interest expense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r>
      <w:tr>
        <w:trPr>
          <w:trHeight w:val="223"/>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76,156</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second quarter of 2024 was $39.5 million, an increase of $2.0 million from $37.5 million for the second quarter of 2023. The increase was driven by a $1.8 million increase in compensation and benefits expense related to an expected increase in compensation due to increased headcount and corporate incentive payments, and a $0.7 million increase in data processing. This was partially offset by a $0.5 million decrease in professional fees.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six months ended June 30, 2024 was $77.7 million, an increase of $1.5 million from $76.2 million for six months ended June 30, 2023. The increase was driven by a $2.1 million increase in compensation and benefits expense related to an expected increase in compensation due to increased headcount, corporate incentive payments, and temporary personnel costs, and a $0.8 million increase in data processing expense. This was partially offset by a $0.5 million decrease in occupancy and depreciation expense due to a gain from settlement of a lease termination, a $0.4 million decrease in other expense, a $0.3 million decrease in professional fees and a $0.2 million decrease in office maintenance and depreciation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$9.0 million for the second quarter of 2024, compared to $7.8 million for the second quarter of 2023. Our effective tax rate for the second quarter of 2024 was 25.2% compared to 26.5% for the second quarter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a provision for income tax expense of $20.3 million for the six months ended June 30, 2024, compared to $15.4 million for same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the six months ended June 30, 2024 was 27.3%, compared to 26.4% for the same period in 2023.</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assets were $8.25 billion at June 30, 2024, compared to $7.97 billion at December 31, 2023. Notable changes within individual balance sheet line items include a $437.0 million increase in deposits, a $174.9 million increase in securities, a $87.5 million increase in resell agreements, a $62.8 million increase in loans receivable, net, a $230.0 million decrease in other borrowings, and a decrease in cash of $32.6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June 30, 2024 or at December 31, 2023.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we had available for sale securities of $1.69 billion and $1.48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our held-to-maturity securities portfolio primarily consisted of PACE assessments, tax-exempt municipal securities, GSE commercial and residential certificates and other debt. We carry these securities at amortized cost. We had held-to-maturity securities of $1.66 billion at June 30, 2024, and $1.70 billion at December 31,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we purchased a total of $568.5 million securities consisting of both available for sale and held-to-maturity and sold available for sale securities resulting in proceeds of $219.2 million and a net realized loss of $5.5 million. During the six months ended June 30, 2023 we purchased a total of $195.7 million securities consisting of both available for sale and held-to-maturity and sold available for sale securities resulting in proceeds of $174.5 million and a net realized loss of $3.4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$18.1 million at June 30, 2024 and $22.5 million at December 31, 2023, and is excluded from the estimate of credit losses, as accrued interest receivable is reversed for securities placed on nonaccrual status. The allowance for credit losses for held-to-maturity securities at June 30, 2024 was $0.7 million compared to $0.7 million at December 31, 2023. The provision for credit losses for held-to-maturity securities was a recovery of $2.0 thousand and $13.0 thousand for the three and six months ended June 30, 2024, compared to an expense of $20.0 thousand and $65.0 thousand for the three and six months ended June 30, 2023, respectfully.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55" w:lineRule="auto"/>
        <w:rPr>
          <w:sz w:val="20"/>
          <w:szCs w:val="20"/>
          <w:color w:val="auto"/>
        </w:rPr>
      </w:pPr>
      <w:r>
        <w:rPr>
          <w:rFonts w:ascii="Times New Roman" w:cs="Times New Roman" w:eastAsia="Times New Roman" w:hAnsi="Times New Roman"/>
          <w:sz w:val="18"/>
          <w:szCs w:val="18"/>
          <w:color w:val="auto"/>
        </w:rPr>
        <w:t>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reversal).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available-for-sale debt securities totaled $13.1 million at June 30, 2024 and $12.6 million at December 31, 2023, and is excluded from the estimate of credit losses, as accrued interest receivable is reversed for securities placed on nonaccrual status.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top w:val="single" w:sz="8" w:color="auto"/>
            </w:tcBorders>
          </w:tcPr>
          <w:p>
            <w:pPr>
              <w:jc w:val="center"/>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3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597,486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1,483,042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818,963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held-to-maturity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1,697,555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3,355,551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3,180,597</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Contractual Maturity as of June 30, 2024</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3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20" w:type="dxa"/>
            <w:vAlign w:val="bottom"/>
          </w:tcPr>
          <w:p>
            <w:pPr>
              <w:spacing w:after="0"/>
              <w:rPr>
                <w:sz w:val="21"/>
                <w:szCs w:val="21"/>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60,563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533,205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190,851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475,561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6"/>
        </w:trPr>
        <w:tc>
          <w:tcPr>
            <w:tcW w:w="2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798,561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56"/>
        </w:trPr>
        <w:tc>
          <w:tcPr>
            <w:tcW w:w="20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514,977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2,789,772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6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at carrying value based on the fair value of available for sale securities and amortized cost of held-to-maturity securities as of June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Credit Ratings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2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7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800" w:type="dxa"/>
            <w:vAlign w:val="bottom"/>
            <w:vMerge w:val="continue"/>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 AAA</w:t>
            </w:r>
          </w:p>
        </w:tc>
        <w:tc>
          <w:tcPr>
            <w:tcW w:w="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 AA</w:t>
            </w: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 A</w:t>
            </w: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Floating</w:t>
            </w:r>
          </w:p>
        </w:tc>
        <w:tc>
          <w:tcPr>
            <w:tcW w:w="8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CLO Commercial &amp;</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570,130</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7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182,927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30 %</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34 %</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6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115,758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3"/>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80,474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35 %</w:t>
            </w: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8"/>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949,289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10 %</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6 %</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PACE assessments. All non-agency securities, composed of non-agency commercial</w:t>
      </w:r>
    </w:p>
    <w:p>
      <w:pPr>
        <w:sectPr>
          <w:pgSz w:w="11900" w:h="16838" w:orient="portrait"/>
          <w:cols w:equalWidth="0" w:num="1">
            <w:col w:w="11240"/>
          </w:cols>
          <w:pgMar w:left="320" w:top="1053"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mortgage-backed securities, collateralized loan obligations, non-agency mortgage-backed securities, and asset-backed securities, are senior tranche and approximately 87% carry AAA credit ratings and 13% carry A credit ratings or higher. Approximately 50% of this portfolio is classified as “available for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Lending-related income is the most important component of our net interest income and is the main driver of our results of operations. Total loans, net of deferred origination fees and allowance for credit losses, were $4.41 billion as of June 30, 2024 compared to $4.35 billion as of December 31, 2023. Within our commercial loan portfolio, our primary focus has been on C&amp;I, multifamily and CRE lending. Within our retail loan portfolio, our primary focus has been on residential 1-4 family (1st lien) mortgages. We intend to focus any organic growth in our loan portfolio on these lending areas as part of our strategic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June 30, 2024 and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338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Pr>
          <w:p>
            <w:pPr>
              <w:spacing w:after="0"/>
              <w:rPr>
                <w:sz w:val="20"/>
                <w:szCs w:val="20"/>
                <w:color w:val="auto"/>
              </w:rPr>
            </w:pPr>
          </w:p>
        </w:tc>
        <w:tc>
          <w:tcPr>
            <w:tcW w:w="318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1,230,545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mortgages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2,643,683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1,404,624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1,828,156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2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4,471,839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4,408,395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4,345,628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loan portfolio comprised 59.0% of our total loan portfolio at June 30, 2024 and 57.5% of our total loan portfolio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categories of our commercial loan portfolio are discussed below:</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June 30, 2024 by exposure was $4.0 million with a median size of $0.6 million. We have shifted our lending strategy to focus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C&amp;I loans totaled $1.01 billion at June 30, 2024, which comprised 22.6% of our total loan portfolio. During the six months ended June 30, 2024, the C&amp;I loan portfolio was largely unchanged from $1.01 billion at December 31, 2023.</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65% of their exposure in New York City. Our multifamily loans have been underwritten under stringent guidelines on loan-to-value and debt service coverage ratios that are designed to mitigate credit and concentration risk in this loan category. The average current LTV of our multifamily loans is approximately 55%.</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multifamily loans totaled $1.23 billion at June 30, 2024, which comprised 27.5% of our total loan portfolio. During the six months ended June 30, 2024, the multifamily loan portfolio increased by 7.2% from $1.15 billion at December 31, 2023.</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totaled $377.5 million at June 30, 2024, which comprised 8.4% of our total loan portfolio. During the six months ended June 30, 2024, the CRE loan portfolio increased by 6.8% from $353.4 million at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41.0% of our total loan portfolio at June 30, 2024 and 42.5% of our loan portfolio at December 31, 2023. The major categories of our retail loan portfolio are discussed below.</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1-4 family mortgage loans are residential mortgages that are primarily secured by single-family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owner occupied or investor owned. These loans are either originated by our loan officers or purchased from other originators with the servicing generally retained by such originators. Our residential real estate lending portfolio is 99% first mortgage loans and 1% second mortgage loans. As of June 30, 2024, approximately 80% of our residential 1-4 family mortgage loans were either originated by our loan officers or were acquired in our acquisition of New Resource Bank, and 20% were purchased or acquired. Our residential real estate lending loans totaled $1.40 billion at June 30, 2024, which comprised 76.8% of our retail loan portfolio and 31.4% of our total loan portfolio. As of June 30, 2024, our residential real estate lending loans decreased by 1.5% from $1.43 billion at December 31, 2023.</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("UCC")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Our consumer solar loans totaled $385.6 million at June 30, 2024, which comprised 8.6% of our total loan portfolio, compared to $408.3 million, or 9.3% of our total loan portfolio, at December 31, 2023.</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and other loans totaled $38.0 million at June 30, 2024, which comprised 1.0% of our total loan portfolio, compared to $41.3 million, or 0.9% of our total loan portfolio, at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1,012,400</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1,230,545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1,404,624</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385,567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37,965</w:t>
            </w:r>
          </w:p>
        </w:tc>
        <w:tc>
          <w:tcPr>
            <w:tcW w:w="0" w:type="dxa"/>
            <w:vAlign w:val="bottom"/>
          </w:tcPr>
          <w:p>
            <w:pPr>
              <w:spacing w:after="0"/>
              <w:rPr>
                <w:sz w:val="1"/>
                <w:szCs w:val="1"/>
                <w:color w:val="auto"/>
              </w:rPr>
            </w:pPr>
          </w:p>
        </w:tc>
      </w:tr>
      <w:tr>
        <w:trPr>
          <w:trHeight w:val="22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4,471,839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June 30,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Adjustable</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550,643</w:t>
            </w:r>
          </w:p>
        </w:tc>
        <w:tc>
          <w:tcPr>
            <w:tcW w:w="120" w:type="dxa"/>
            <w:vAlign w:val="bottom"/>
          </w:tcPr>
          <w:p>
            <w:pPr>
              <w:spacing w:after="0"/>
              <w:rPr>
                <w:sz w:val="19"/>
                <w:szCs w:val="19"/>
                <w:color w:val="auto"/>
              </w:rPr>
            </w:pP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302,838</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853,481</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1,008,615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1,044,296</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269,934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280,403</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70"/>
        </w:trPr>
        <w:tc>
          <w:tcPr>
            <w:tcW w:w="3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758,763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1,404,619</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385,470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385,470</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37,250</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3,012,104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4,007,086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maintain the allowance at a level we believe is sufficient to absorb current expected credit losses in our loan portfolio. For further discussion of the adoption of and methodology under the CECL standard, refer to refer to Note 1 to the Consolidated Financial Statements in Item 1 of this Form 10-Q.</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credit losses for the three and six months ended June 30, 2024 and June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8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14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67,323</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4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w:t>
            </w: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67,431</w:t>
            </w: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the allowance for credit losses on loans decreased $1.0 million to $63.4 million at June 30, 2024 from $64.4 million at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allowance to total loans was 1.42% at June 30, 2024 and 1.46% at March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allowance for credit losses on held-to-maturity securities was $0.7 million, compared to $0.7 million at March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loans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220" w:type="dxa"/>
            <w:vAlign w:val="bottom"/>
          </w:tcPr>
          <w:p>
            <w:pPr>
              <w:spacing w:after="0"/>
              <w:rPr>
                <w:sz w:val="20"/>
                <w:szCs w:val="20"/>
                <w:color w:val="auto"/>
              </w:rPr>
            </w:pPr>
          </w:p>
        </w:tc>
        <w:tc>
          <w:tcPr>
            <w:tcW w:w="2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At December 31, 2023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56"/>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8.6 % 33.1 %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3"/>
        </w:trPr>
        <w:tc>
          <w:tcPr>
            <w:tcW w:w="4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57"/>
        </w:trPr>
        <w:tc>
          <w:tcPr>
            <w:tcW w:w="4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26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June 30,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28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28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35,720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34,203</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7,533</w:t>
            </w: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4,490</w:t>
            </w:r>
          </w:p>
        </w:tc>
      </w:tr>
      <w:tr>
        <w:trPr>
          <w:trHeight w:val="230"/>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11,166</w:t>
            </w:r>
          </w:p>
        </w:tc>
      </w:tr>
      <w:tr>
        <w:trPr>
          <w:trHeight w:val="223"/>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50"/>
        </w:trPr>
        <w:tc>
          <w:tcPr>
            <w:tcW w:w="6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7,218</w:t>
            </w: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28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2,673</w:t>
            </w: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48"/>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33,183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net charge-offs to average loans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$35.7 million, or 0.43% of period-end total assets at June 30, 2024, an increase of $1.5 million, compared with $34.2 million, or 0.43% of period-end total assets at December 31, 2023. The increase in non-performing assets at June 30, 2024 compared to December 31, 2023 assets was primarily driven by a $0.9 million and a $0.6 million increase in residential real estate nonaccrual loans and commercial and industrial nonaccrual loans,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retail loans 30-89 days past due. Potential problem loans are not included in the nonperforming assets table above and totaled $69.6 million, or 0.8% of total assets, at June 30, 2024, as follows: $59.8 million are commercial loans currently in workout that management expects will be rehabilitated; $5.1 million are residential real estate loans at 30-89 days delinquent, and $4.7 million are consumer loans at 30-89 days delinquent.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we have entered into $137.5 million of short term investments of resell agreements backed by residential first-lien mortgage loans, with a weighted average interest rate of 6.61%. As of December 31, 2023, we have entered into $50.0</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million of short term investments of resell agreements backed by residential first-lien mortgage loans, with a weighted interest rate of 6.34%.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$47.7 million at June 30, 2024 and $56.6 million at December 31, 2023. As of June 30, 2024,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$7.45 billion at June 30, 2024, compared to $7.01 billion at December 31, 2023.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Insured Cash Sweep accounts, Certificate of Deposit Account Registry Service accounts, and brokered certificates of deposit. We bank politically active customers, such as campaigns, PACs ("political action committees"), and state and national party committees, which we refer to as political deposits. These deposits exhibit seasonality based on election cycles. As of June 30, 2024 and December 31, 2023, we had approximately $1.73 billion and $1.19 billion, respectively, in political deposits on- and off-balance sheet which are primarily in demand deposits.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utilize a custodial deposit transference structure through the IntraFi ICS ("Insured Cash Sweep") network for certain deposit programs whereby we, acting as custodian of account holder funds, places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These off-balance sheet deposits totaled $1.06 billion at June 30, 2024 and $303.1 million at December 31, 2023. In return for record keeping services at Program Banks, the Company receives a servicing fee. For the three and six months ended June 30, 2024, the Company recognized $4.9 million and $9.0 million in servicing fee income. No servicing fee income was recognized during the three and six months ended June 30,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uninsured deposits at June 30, 2024 and December 31, 2023 were $4.49 billion and $4.04 billion,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June 30, 2024 are summarized as follows:</w:t>
      </w:r>
    </w:p>
    <w:p>
      <w:pPr>
        <w:spacing w:after="0" w:line="26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Maturities as of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23"/>
        </w:trPr>
        <w:tc>
          <w:tcPr>
            <w:tcW w:w="3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43,341</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Company's policies, the Company may enter into derivative transactions to hedge against interest rate risk. The impact of existing derivative contracts are included in the simulation analysis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June 30, 2024 are presented in the following table. The projections assume immediate, parallel shifts downward of the yield curve of 100, 200, 300 and 400 basis points and immediate, parallel shifts upward of the yield curve of 100, 200 and 300 basis points.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900" w:type="dxa"/>
            <w:vAlign w:val="bottom"/>
          </w:tcPr>
          <w:p>
            <w:pPr>
              <w:spacing w:after="0"/>
              <w:rPr>
                <w:sz w:val="18"/>
                <w:szCs w:val="18"/>
                <w:color w:val="auto"/>
              </w:rPr>
            </w:pPr>
          </w:p>
        </w:tc>
        <w:tc>
          <w:tcPr>
            <w:tcW w:w="4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900" w:type="dxa"/>
            <w:vAlign w:val="bottom"/>
          </w:tcPr>
          <w:p>
            <w:pPr>
              <w:spacing w:after="0"/>
              <w:rPr>
                <w:sz w:val="21"/>
                <w:szCs w:val="21"/>
                <w:color w:val="auto"/>
              </w:rPr>
            </w:pPr>
          </w:p>
        </w:tc>
        <w:tc>
          <w:tcPr>
            <w:tcW w:w="4020" w:type="dxa"/>
            <w:vAlign w:val="bottom"/>
            <w:gridSpan w:val="2"/>
            <w:vMerge w:val="continue"/>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1900" w:type="dxa"/>
            <w:vAlign w:val="bottom"/>
            <w:tcBorders>
              <w:top w:val="single" w:sz="8" w:color="auto"/>
            </w:tcBorders>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w w:val="98"/>
              </w:rPr>
              <w:t>Year 1 Net Interest</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9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Income ($)</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-17.0%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(243,215)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(15,105)</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-9.5%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(136,098)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(4,597)</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(46,234)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1,142</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0.5%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7,197</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(5,820)</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-3.1%</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(43,787)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(14,059)</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-14.8%</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(211,299)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(23,755)</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-37.0%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(528,030)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(40,699)</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Liquidity management is made more complicated because different balance sheet components are subject to varying degrees of management control.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2024, our cash and equivalents, which consist of cash and amounts due from banks and interest-bearing deposits in other financial institutions, amounted to $58.0 million, or 0.7% of total assets, compared to $90.6 million, or 1.1% of total assets at December 31, 2023. The $32.6 million, or 36.0%, decrease is due to normal business activity, paydowns of borrowings, and strategic investment securities purchases, offset by investments in resell agreements. Our available for sale securities at June 30, 2024 were $1.69 billion, or 20.5% of total assets, compared to $1.48 billion, or 18.6% of total assets at December 31, 2023. Investment securities with an aggregate fair value of $1.32 billion at June 30, 2024 were pledged to secure outstanding advances, letters of credit, provide additional borrowing potential, and collateralize municipal deposits. Additionally, mortgage loans with an unpaid principal balance of $2.4 billion and $2.3 billion respectfully, were pledged to the FHLBNY to secure outstanding advances, letters of credit and to provide additional borrowing potential.</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June 30, 2024, we had $9.14 million advances from the FHLBNY and a remaining credit availability of $2.21 billion. In addition, we maintain borrowing capacity of approximately $971.3 million with the Federal Reserve’s discount window that is secured by certain securities from our portfolio which are not pledged for other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$68.1 million in subordinated debt, net of issuance costs. Our cash, off-balance sheet deposits, and borrowing capacity totaled $4.28 billion of immediately available funds, in addition to unpledged securities with two-day availability of $241.0 million for total liquidity within two-days of $4.52 billion, which provided coverage for 101%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stockholders’ equity at June 30, 2024 was $646.1 million, compared to $585.4 million at December 31, 2023, an increase of $60.7 million. The increase was primarily driven by $54.0 million of net income and a $12.4 improvement in accumulated other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due to the tax effected mark-to-market on our securities portfolio, offset by $6.8 million in dividends paid at $0.22 per outstanding share, and $0.3 million of common stock repurchases.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4"/>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417,832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334,583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235,031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Bank:</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522,278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313,367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417,823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334,573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418,216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339,481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504,083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403,266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405,643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327,654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June 30, 2024, the Bank was categorized as “well capitalized” under the prompt corrective action measures and met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as of June 30,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5"/>
                <w:szCs w:val="15"/>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20" w:type="dxa"/>
            <w:vAlign w:val="bottom"/>
          </w:tcPr>
          <w:p>
            <w:pPr>
              <w:spacing w:after="0"/>
              <w:rPr>
                <w:sz w:val="15"/>
                <w:szCs w:val="15"/>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68,117</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agreements with Pace Funding Group LLC, which operates Home Run Financing, for the purchase of PACE assessments until the end of January 2025. These investments are to be held in the Company's available for sale and held-to-maturity investment portfolio. As of June 30, 2024, the Company had purchased $781.6 million of these obligations and had an estimated remaining commitment of $106.6 million. The PACE assessments have equal-lien priority with property taxes and generally rank senior to first lien mortgages. The Company anticipates these commitments will be funded by means of normal cash flows, a reduction in cash and cash equivalents, or by pay-downs and maturities of loans and other investments.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 changes in our market risk as of June 30, 2024 from that presented in the 2023 Annual Report are described in Part II, Item 1A of this Form 10-Q below. Our interest rate sensitivity position at June 30, 2024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June 30, 2024.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implemented new internal controls in response to entering into derivative transactions. There was no change in our internal control over financial reporting (as such term is defined in Exchange Act Rule 13a-15(f)) that occurred during the quarter ended June 30, 2024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2023, as filed with the SEC on March 7, 2024,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June 30, 2024 by or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 purchaser” as defined in Rule 10b-18(a)(3) under the Exchange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 through April 30, 2024</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through May 31,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through June 30, 2024</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 as</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30"/>
        </w:trPr>
        <w:tc>
          <w:tcPr>
            <w:tcW w:w="18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19,549,731</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19,549,731</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19,549,731</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92,195</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17.84</w:t>
            </w:r>
          </w:p>
        </w:tc>
        <w:tc>
          <w:tcPr>
            <w:tcW w:w="2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-333375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27" w:right="339" w:bottom="1440" w:gutter="0" w:footer="0" w:header="0"/>
          <w:type w:val="continuous"/>
        </w:sectPr>
      </w:pPr>
    </w:p>
    <w:p>
      <w:pPr>
        <w:spacing w:after="0" w:line="115" w:lineRule="exact"/>
        <w:rPr>
          <w:sz w:val="20"/>
          <w:szCs w:val="20"/>
          <w:color w:val="auto"/>
        </w:rPr>
      </w:pPr>
    </w:p>
    <w:p>
      <w:pPr>
        <w:ind w:firstLine="8"/>
        <w:spacing w:after="0" w:line="282" w:lineRule="auto"/>
        <w:tabs>
          <w:tab w:leader="none" w:pos="21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58,421 shares withheld by the Company for options exercises, 33,774 shares withheld for taxes related to the exercise or vesting of options and stock awards, as well as 0 shares repurchased pursuant to the share repurchase program described in footnote (2).</w:t>
      </w:r>
    </w:p>
    <w:p>
      <w:pPr>
        <w:spacing w:after="0" w:line="202" w:lineRule="exact"/>
        <w:rPr>
          <w:rFonts w:ascii="Times New Roman" w:cs="Times New Roman" w:eastAsia="Times New Roman" w:hAnsi="Times New Roman"/>
          <w:sz w:val="14"/>
          <w:szCs w:val="14"/>
          <w:color w:val="auto"/>
        </w:rPr>
      </w:pPr>
    </w:p>
    <w:p>
      <w:pPr>
        <w:jc w:val="both"/>
        <w:ind w:firstLine="8"/>
        <w:spacing w:after="0" w:line="272" w:lineRule="auto"/>
        <w:tabs>
          <w:tab w:leader="none" w:pos="2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25, 2022, the Company’s Board of Directors approved an increase to the share repurchase program authorizing the repurchase of an aggregate amount up to $40 million of the Company's outstanding common stock. The authorization did not require the Company to acquire any specified number of shares and can be suspended or discontinued without prior notice. Under this authorization, no common stock was purchased during the second quarter of 2024. The approximate dollar value that may yet to be purchased under the plans or programs is $19.5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7" w:name="page78"/>
    <w:bookmarkEnd w:id="7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directors of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Corp.’s Current Report on Form 8-K filed with the SEC on April 8, 2024).</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66" w:lineRule="exact"/>
        <w:rPr>
          <w:sz w:val="20"/>
          <w:szCs w:val="20"/>
          <w:color w:val="auto"/>
        </w:rPr>
      </w:pP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June 30, 2024, formatted in iXBRL (Inline eXtensible Business Reporting Language): (i) Consolidated</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Statements of Financial Condition at June 30, 2024 and December 31, 2023, (ii) Consolidated Statements of Income for the quarters ended June 30, 2024 and 2023, (iii) Consolidated Statements of Comprehensive Income for the quarters ended June 30, 2024 and 2023, (iv) Consolidated Statements of Changes in</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Shareholders’ Equity for the quarters ended June 30, 2024 and 2023, (v) Consolidated Statements of Cash Flows for the quarters ended June 30, 2024 and 2023 and (vi) Notes to Consolidated Financial Statements (unaudited).</w:t>
      </w:r>
    </w:p>
    <w:p>
      <w:pPr>
        <w:spacing w:after="0" w:line="226" w:lineRule="exact"/>
        <w:rPr>
          <w:sz w:val="20"/>
          <w:szCs w:val="20"/>
          <w:color w:val="auto"/>
        </w:rPr>
      </w:pPr>
    </w:p>
    <w:p>
      <w:pPr>
        <w:jc w:val="both"/>
        <w:ind w:right="53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June 30, 2024, formatted in iXBRL (included with the Exhibit 101 attachments).</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79" w:name="page80"/>
    <w:bookmarkEnd w:id="79"/>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August 6, 2024</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August 6, 2024</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50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August 6, 2024</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Veluswamy</w:t>
            </w:r>
          </w:p>
        </w:tc>
      </w:tr>
      <w:tr>
        <w:trPr>
          <w:trHeight w:val="218"/>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Veluswamy</w:t>
            </w:r>
          </w:p>
        </w:tc>
      </w:tr>
      <w:tr>
        <w:trPr>
          <w:trHeight w:val="228"/>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6"/>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48"/>
        </w:trPr>
        <w:tc>
          <w:tcPr>
            <w:tcW w:w="16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June 30, 2024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August 6, 2024</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August 6, 2024</w:t>
      </w:r>
    </w:p>
    <w:sectPr>
      <w:pgSz w:w="11900" w:h="16838" w:orient="portrait"/>
      <w:cols w:equalWidth="0" w:num="1">
        <w:col w:w="11100"/>
      </w:cols>
      <w:pgMar w:left="320" w:top="88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0"/>
    </w:lvl>
  </w:abstractNum>
  <w:abstractNum w:abstractNumId="5">
    <w:nsid w:val="1F16E9E8"/>
    <w:multiLevelType w:val="hybridMultilevel"/>
    <w:lvl w:ilvl="0">
      <w:lvlJc w:val="left"/>
      <w:lvlText w:val="%1."/>
      <w:numFmt w:val="decimal"/>
      <w:start w:val="11"/>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1."/>
      <w:numFmt w:val="decimal"/>
      <w:start w:val="13"/>
    </w:lvl>
  </w:abstractNum>
  <w:abstractNum w:abstractNumId="8">
    <w:nsid w:val="140E0F76"/>
    <w:multiLevelType w:val="hybridMultilevel"/>
    <w:lvl w:ilvl="0">
      <w:lvlJc w:val="left"/>
      <w:lvlText w:val="%1."/>
      <w:numFmt w:val="decimal"/>
      <w:start w:val="14"/>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06" Type="http://schemas.openxmlformats.org/officeDocument/2006/relationships/hyperlink" Target="https://www.sec.gov/Archives/edgar/data/1823608/000119312521062425/d132716dex31.htm" TargetMode="External"/><Relationship Id="rId107" Type="http://schemas.openxmlformats.org/officeDocument/2006/relationships/hyperlink" Target="https://www.sec.gov/Archives/edgar/data/1823608/000182360824000098/bylawsofamalgamated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2024-08-06T07:32:51Z</dcterms:created>
  <dcterms:modified xsi:type="dcterms:W3CDTF">2024-08-06T07:32:51Z</dcterms:modified>
</cp:coreProperties>
</file>