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58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840" w:type="dxa"/>
            <w:vAlign w:val="bottom"/>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80"/>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QUARTERLY REPORT PURSUANT TO SECTION 13 OR 15(d) OF</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r>
      <w:tr>
        <w:trPr>
          <w:trHeight w:val="363"/>
        </w:trPr>
        <w:tc>
          <w:tcPr>
            <w:tcW w:w="460" w:type="dxa"/>
            <w:vAlign w:val="bottom"/>
          </w:tcPr>
          <w:p>
            <w:pPr>
              <w:spacing w:after="0"/>
              <w:rPr>
                <w:sz w:val="24"/>
                <w:szCs w:val="24"/>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color w:val="auto"/>
              </w:rPr>
              <w:t>For the quarterly period ended September 30, 2022</w:t>
            </w:r>
          </w:p>
        </w:tc>
      </w:tr>
      <w:tr>
        <w:trPr>
          <w:trHeight w:val="234"/>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5"/>
              </w:rPr>
              <w:t>OR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312"/>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TRANSITION REPORT PURSUANT TO SECTION 13 OR 15(d) OF THE</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313"/>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For transition period from</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10"/>
              <w:spacing w:after="0"/>
              <w:rPr>
                <w:sz w:val="20"/>
                <w:szCs w:val="20"/>
                <w:color w:val="auto"/>
              </w:rPr>
            </w:pPr>
            <w:r>
              <w:rPr>
                <w:rFonts w:ascii="Times New Roman" w:cs="Times New Roman" w:eastAsia="Times New Roman" w:hAnsi="Times New Roman"/>
                <w:sz w:val="18"/>
                <w:szCs w:val="18"/>
                <w:b w:val="1"/>
                <w:bCs w:val="1"/>
                <w:color w:val="auto"/>
              </w:rPr>
              <w:t>Commission File Number: 001-40136</w:t>
            </w:r>
          </w:p>
        </w:tc>
      </w:tr>
      <w:tr>
        <w:trPr>
          <w:trHeight w:val="427"/>
        </w:trPr>
        <w:tc>
          <w:tcPr>
            <w:tcW w:w="460" w:type="dxa"/>
            <w:vAlign w:val="bottom"/>
          </w:tcPr>
          <w:p>
            <w:pPr>
              <w:spacing w:after="0"/>
              <w:rPr>
                <w:sz w:val="24"/>
                <w:szCs w:val="24"/>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32"/>
                <w:szCs w:val="32"/>
                <w:b w:val="1"/>
                <w:bCs w:val="1"/>
                <w:color w:val="auto"/>
              </w:rPr>
              <w:t>Amalgamated Financial Corp.</w:t>
            </w:r>
          </w:p>
        </w:tc>
      </w:tr>
      <w:tr>
        <w:trPr>
          <w:trHeight w:val="234"/>
        </w:trPr>
        <w:tc>
          <w:tcPr>
            <w:tcW w:w="460" w:type="dxa"/>
            <w:vAlign w:val="bottom"/>
          </w:tcPr>
          <w:p>
            <w:pPr>
              <w:spacing w:after="0"/>
              <w:rPr>
                <w:sz w:val="20"/>
                <w:szCs w:val="20"/>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51"/>
        </w:trPr>
        <w:tc>
          <w:tcPr>
            <w:tcW w:w="460" w:type="dxa"/>
            <w:vAlign w:val="bottom"/>
          </w:tcPr>
          <w:p>
            <w:pPr>
              <w:spacing w:after="0"/>
              <w:rPr>
                <w:sz w:val="24"/>
                <w:szCs w:val="24"/>
                <w:color w:val="auto"/>
              </w:rPr>
            </w:pPr>
          </w:p>
        </w:tc>
        <w:tc>
          <w:tcPr>
            <w:tcW w:w="6040" w:type="dxa"/>
            <w:vAlign w:val="bottom"/>
            <w:gridSpan w:val="5"/>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right"/>
              <w:ind w:right="1910"/>
              <w:spacing w:after="0"/>
              <w:rPr>
                <w:sz w:val="20"/>
                <w:szCs w:val="20"/>
                <w:color w:val="auto"/>
              </w:rPr>
            </w:pPr>
            <w:r>
              <w:rPr>
                <w:rFonts w:ascii="Times New Roman" w:cs="Times New Roman" w:eastAsia="Times New Roman" w:hAnsi="Times New Roman"/>
                <w:sz w:val="18"/>
                <w:szCs w:val="18"/>
                <w:b w:val="1"/>
                <w:bCs w:val="1"/>
                <w:color w:val="auto"/>
              </w:rPr>
              <w:t>85-2757101</w:t>
            </w:r>
          </w:p>
        </w:tc>
      </w:tr>
      <w:tr>
        <w:trPr>
          <w:trHeight w:val="228"/>
        </w:trPr>
        <w:tc>
          <w:tcPr>
            <w:tcW w:w="460" w:type="dxa"/>
            <w:vAlign w:val="bottom"/>
            <w:tcBorders>
              <w:top w:val="single" w:sz="8" w:color="auto"/>
            </w:tcBorders>
          </w:tcPr>
          <w:p>
            <w:pPr>
              <w:spacing w:after="0"/>
              <w:rPr>
                <w:sz w:val="19"/>
                <w:szCs w:val="19"/>
                <w:color w:val="auto"/>
              </w:rPr>
            </w:pPr>
          </w:p>
        </w:tc>
        <w:tc>
          <w:tcPr>
            <w:tcW w:w="5020" w:type="dxa"/>
            <w:vAlign w:val="bottom"/>
            <w:tcBorders>
              <w:top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90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65"/>
        </w:trPr>
        <w:tc>
          <w:tcPr>
            <w:tcW w:w="4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275 Seventh Avenue, New York, NY</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10001</w:t>
            </w:r>
          </w:p>
        </w:tc>
        <w:tc>
          <w:tcPr>
            <w:tcW w:w="3920" w:type="dxa"/>
            <w:vAlign w:val="bottom"/>
          </w:tcPr>
          <w:p>
            <w:pPr>
              <w:spacing w:after="0"/>
              <w:rPr>
                <w:sz w:val="23"/>
                <w:szCs w:val="23"/>
                <w:color w:val="auto"/>
              </w:rPr>
            </w:pPr>
          </w:p>
        </w:tc>
      </w:tr>
      <w:tr>
        <w:trPr>
          <w:trHeight w:val="228"/>
        </w:trPr>
        <w:tc>
          <w:tcPr>
            <w:tcW w:w="4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73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(212) 255-6200</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AMAL</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17" w:lineRule="exact"/>
        <w:rPr>
          <w:sz w:val="24"/>
          <w:szCs w:val="24"/>
          <w:color w:val="auto"/>
        </w:rPr>
      </w:pPr>
    </w:p>
    <w:p>
      <w:pPr>
        <w:ind w:right="240"/>
        <w:spacing w:after="0" w:line="23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42" w:lineRule="exact"/>
        <w:tabs>
          <w:tab w:leader="none" w:pos="332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p>
      <w:pPr>
        <w:spacing w:after="0" w:line="130" w:lineRule="exact"/>
        <w:rPr>
          <w:sz w:val="24"/>
          <w:szCs w:val="24"/>
          <w:color w:val="auto"/>
        </w:rPr>
      </w:pPr>
    </w:p>
    <w:p>
      <w:pPr>
        <w:ind w:right="360"/>
        <w:spacing w:after="0" w:line="24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83" w:lineRule="exact"/>
        <w:rPr>
          <w:sz w:val="24"/>
          <w:szCs w:val="24"/>
          <w:color w:val="auto"/>
        </w:rPr>
      </w:pPr>
    </w:p>
    <w:p>
      <w:pPr>
        <w:ind w:right="440"/>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3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83" w:lineRule="exact"/>
        <w:rPr>
          <w:sz w:val="24"/>
          <w:szCs w:val="24"/>
          <w:color w:val="auto"/>
        </w:rPr>
      </w:pPr>
    </w:p>
    <w:p>
      <w:pPr>
        <w:sectPr>
          <w:pgSz w:w="11900" w:h="16838" w:orient="portrait"/>
          <w:cols w:equalWidth="0" w:num="4">
            <w:col w:w="1640" w:space="620"/>
            <w:col w:w="800" w:space="720"/>
            <w:col w:w="1880" w:space="720"/>
            <w:col w:w="4860"/>
          </w:cols>
          <w:pgMar w:left="320" w:top="1440" w:right="339" w:bottom="1440" w:gutter="0" w:footer="0" w:header="0"/>
          <w:type w:val="continuous"/>
        </w:sectPr>
      </w:pPr>
    </w:p>
    <w:p>
      <w:pPr>
        <w:spacing w:after="0" w:line="7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jc w:val="center"/>
        <w:ind w:right="600"/>
        <w:spacing w:after="0" w:line="191" w:lineRule="exact"/>
        <w:rPr>
          <w:sz w:val="20"/>
          <w:szCs w:val="20"/>
          <w:color w:val="auto"/>
        </w:rPr>
      </w:pPr>
      <w:r>
        <w:rPr>
          <w:rFonts w:ascii="MS PGothic" w:cs="MS PGothic" w:eastAsia="MS PGothic" w:hAnsi="MS PGothic"/>
          <w:sz w:val="19"/>
          <w:szCs w:val="19"/>
          <w:color w:val="auto"/>
        </w:rPr>
        <w:t>☒</w:t>
      </w:r>
    </w:p>
    <w:p>
      <w:pPr>
        <w:spacing w:after="0" w:line="245" w:lineRule="exact"/>
        <w:rPr>
          <w:sz w:val="24"/>
          <w:szCs w:val="24"/>
          <w:color w:val="auto"/>
        </w:rPr>
      </w:pPr>
    </w:p>
    <w:p>
      <w:pPr>
        <w:sectPr>
          <w:pgSz w:w="11900" w:h="16838" w:orient="portrait"/>
          <w:cols w:equalWidth="0" w:num="6">
            <w:col w:w="1540" w:space="720"/>
            <w:col w:w="800" w:space="720"/>
            <w:col w:w="1960" w:space="640"/>
            <w:col w:w="840" w:space="720"/>
            <w:col w:w="1960" w:space="540"/>
            <w:col w:w="800"/>
          </w:cols>
          <w:pgMar w:left="320" w:top="1440" w:right="339" w:bottom="1440" w:gutter="0" w:footer="0" w:header="0"/>
          <w:type w:val="continuous"/>
        </w:sectPr>
      </w:pPr>
    </w:p>
    <w:p>
      <w:pPr>
        <w:ind w:right="160"/>
        <w:spacing w:after="0" w:line="25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41" w:lineRule="exact"/>
        <w:rPr>
          <w:sz w:val="24"/>
          <w:szCs w:val="24"/>
          <w:color w:val="auto"/>
        </w:rPr>
      </w:pPr>
    </w:p>
    <w:p>
      <w:pPr>
        <w:ind w:right="2160"/>
        <w:spacing w:after="0" w:line="32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Exchange Act Rule 12b-2).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November 4, 2022, the registrant had 30,672,303 shares of common stock outstanding at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8"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Financial Condition as of September 30, 2022 and December 31, 2021</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Income for the Three and Nine Months Ended September 30, 2022 and 2021</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and Nine Months Ended September 30, 2022 and 2021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Three and Nine Months Ended September 30, 2022 and 2021</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Cash Flows for the Nine Months Ended September 30, 2022 and 2021</w:t>
      </w:r>
    </w:p>
    <w:p>
      <w:pPr>
        <w:spacing w:after="0" w:line="3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Notes to Consolidated Statements</w:t>
      </w:r>
    </w:p>
    <w:p>
      <w:pPr>
        <w:spacing w:after="0" w:line="20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right"/>
        <w:spacing w:after="0" w:line="350"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Page </w:t>
      </w:r>
      <w:r>
        <w:rPr>
          <w:rFonts w:ascii="Times New Roman" w:cs="Times New Roman" w:eastAsia="Times New Roman" w:hAnsi="Times New Roman"/>
          <w:sz w:val="17"/>
          <w:szCs w:val="17"/>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4</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62</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63</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63</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63</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64</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2">
            <w:col w:w="10480" w:space="360"/>
            <w:col w:w="360"/>
          </w:cols>
          <w:pgMar w:left="340" w:top="1440" w:right="359" w:bottom="1440" w:gutter="0" w:footer="0" w:header="0"/>
        </w:sectPr>
      </w:pPr>
    </w:p>
    <w:bookmarkStart w:id="2" w:name="page3"/>
    <w:bookmarkEnd w:id="2"/>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indicates otherwise, references to “we,” “us,” “our” and the “Company” refer to Amalgamated Financial Corp. and Amalgamated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the “Bank” refer to Amalgamated Bank.</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Section 21E of the Securities Exchange Act of 1934, as amended (the “Exchange Act”). Forward-looking statements are not statements of historical or current fact nor are they assurances of future performance and generally can be identified by the use of forward-looking terminology, such as “may,” “will,” “anticipate,” “intend,” “could,” “should,” “would,” “believe,” “project,” “plan,” “goal,” “target,” “potential,” “pro-forma,” “seek,” “contemplate,” “expect,” “estimate,” and “continue,” or the negative thereof as well as other similar words and expressions of the future.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Forward-looking statements are subject to risks, uncertainties and assumptions that are difficult to predict as to timing, extent, likelihood and degree of occurrence, which could cause our actual results to differ materially from those anticipated in or by such statements. Potential risks and uncertainties include, but are not limited to, the following:</w:t>
      </w:r>
    </w:p>
    <w:p>
      <w:pPr>
        <w:spacing w:after="0" w:line="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maintain our reputation;</w:t>
      </w:r>
    </w:p>
    <w:p>
      <w:pPr>
        <w:spacing w:after="0" w:line="1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attract customers based on shared values or mission alignment;</w:t>
      </w:r>
    </w:p>
    <w:p>
      <w:pPr>
        <w:spacing w:after="0" w:line="8" w:lineRule="exact"/>
        <w:rPr>
          <w:rFonts w:ascii="Arial" w:cs="Arial" w:eastAsia="Arial" w:hAnsi="Arial"/>
          <w:sz w:val="18"/>
          <w:szCs w:val="18"/>
          <w:color w:val="auto"/>
        </w:rPr>
      </w:pPr>
    </w:p>
    <w:p>
      <w:pPr>
        <w:jc w:val="both"/>
        <w:ind w:left="660" w:hanging="328"/>
        <w:spacing w:after="0" w:line="24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inaccuracy of the assumptions and estimates we make and policies that we implement in establishing our allowance for loan losses, including future changes in the allowance for loan losses resulting from the future adoption and implementation of the Current Expected Credit Loss (“CECL”) methodology;</w:t>
      </w:r>
    </w:p>
    <w:p>
      <w:pPr>
        <w:spacing w:after="0" w:line="1" w:lineRule="exact"/>
        <w:rPr>
          <w:rFonts w:ascii="Arial" w:cs="Arial" w:eastAsia="Arial" w:hAnsi="Arial"/>
          <w:sz w:val="18"/>
          <w:szCs w:val="18"/>
          <w:color w:val="auto"/>
        </w:rPr>
      </w:pPr>
    </w:p>
    <w:p>
      <w:pPr>
        <w:ind w:left="660" w:right="20" w:hanging="328"/>
        <w:spacing w:after="0" w:line="24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deterioration in the financial condition of borrowers resulting in significant increases in loan losses, provisions for those losses that exceed our current allowance for loan losses and higher loan charge-offs;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time and effort necessary to resolve nonperforming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any matter that could cause us to conclude that there was impairment of any asset, including intangible assets;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limitations on our ability to declare and pay dividends;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the availability of and access to capital, and our ability to allocate capital prudently, effectively and profitably;</w:t>
      </w:r>
    </w:p>
    <w:p>
      <w:pPr>
        <w:spacing w:after="0" w:line="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restrictions or conditions imposed by our regulators on our operations or the operations of banks we acquire may make it more difficult for us to achieve our goals;</w:t>
      </w:r>
    </w:p>
    <w:p>
      <w:pPr>
        <w:ind w:left="660" w:right="20" w:hanging="328"/>
        <w:spacing w:after="0" w:line="24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legislative or regulatory changes, including changes in tax laws, accounting standards and compliance requirements, whether of general applicability or specific to us and our subsidiaries;</w:t>
      </w:r>
    </w:p>
    <w:p>
      <w:pPr>
        <w:spacing w:after="0" w:line="1"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the costs, effects and outcomes of litigation, regulatory proceedings, examinations, investigations, or similar matters, or adverse facts and developments related thereto;</w:t>
      </w:r>
    </w:p>
    <w:p>
      <w:pPr>
        <w:spacing w:after="0" w:line="1"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attract and retain key personnel considering, among other things, competition for experienced employees and executives in the banking industry;</w:t>
      </w:r>
    </w:p>
    <w:p>
      <w:pPr>
        <w:spacing w:after="0" w:line="1"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adverse effects of failures by our vendors to provide agreed upon services in the manner and at the cost agreed, particularly our information technology vendors and those vendors performing a service on our behalf;</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cybersecurity risks and the vulnerability of our network and online banking portals, and the systems of parties with whom we contract, to unauthorized access, computer viruses, phishing schemes, spam attacks, human error, natural disasters, power loss and other security breaches that could adversely affect or disrupt our business and financial performance or reputation;</w:t>
      </w:r>
    </w:p>
    <w:p>
      <w:pPr>
        <w:ind w:left="660" w:right="20" w:hanging="328"/>
        <w:spacing w:after="0" w:line="24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the composition of our loan portfolio, including any concentration in industries or sectors that may experience unanticipated or anticipated adverse conditions greater than other industries or sectors in the national or local economies in which we operate;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general economic conditions may be less favorable than expected, including an economic recession in the United States and abroad as a result of inflation and high interest rates, which could result in, among other things, fluctuations in the values of our assets and liabilities and off-balance sheet exposures, a deterioration in credit quality, a reduction in demand for credit, and a decline in real estate values;</w:t>
      </w:r>
    </w:p>
    <w:p>
      <w:pPr>
        <w:ind w:left="660" w:right="20" w:hanging="328"/>
        <w:spacing w:after="0" w:line="24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the general decline in the real estate and lending markets, particularly in our market areas, including the effects of the enactment of or changes to rent-control and other similar regulations on multi-family housing;</w:t>
      </w:r>
    </w:p>
    <w:p>
      <w:pPr>
        <w:spacing w:after="0" w:line="1"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interest rate volatility resulting in fluctuating net interest margins and/or the volumes or values of the loans made or held as well as the value of other financial assets;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2" w:lineRule="exact"/>
        <w:rPr>
          <w:sz w:val="20"/>
          <w:szCs w:val="20"/>
          <w:color w:val="auto"/>
        </w:rPr>
      </w:pPr>
    </w:p>
    <w:p>
      <w:pPr>
        <w:ind w:left="660" w:hanging="328"/>
        <w:spacing w:after="0" w:line="260" w:lineRule="auto"/>
        <w:tabs>
          <w:tab w:leader="none" w:pos="655"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any unanticipated or greater than anticipated adverse conditions (including the possibility of earthquakes, wildfires, and other natural disasters) affecting the markets in which we operate;</w:t>
      </w:r>
    </w:p>
    <w:p>
      <w:pPr>
        <w:spacing w:after="0" w:line="1" w:lineRule="exact"/>
        <w:rPr>
          <w:rFonts w:ascii="Arial" w:cs="Arial" w:eastAsia="Arial" w:hAnsi="Arial"/>
          <w:sz w:val="18"/>
          <w:szCs w:val="18"/>
          <w:color w:val="auto"/>
        </w:rPr>
      </w:pPr>
    </w:p>
    <w:p>
      <w:pPr>
        <w:ind w:left="660" w:right="20" w:hanging="328"/>
        <w:spacing w:after="0" w:line="249" w:lineRule="auto"/>
        <w:tabs>
          <w:tab w:leader="none" w:pos="655"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economic, governmental or other factors may affect the projected population, residential and commercial growth in the markets in which we operate;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war or terrorist activities causing further deterioration in the economy or causing instability in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achieve organic loan and deposit growth and the composition of such growth;</w:t>
      </w:r>
    </w:p>
    <w:p>
      <w:pPr>
        <w:spacing w:after="0" w:line="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competitive pressures among depository and other financial institutions, including non-bank financial technology providers, and our ability to attract customers from other financial institutions;</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 in connection with the termination of the Merger Agreement with Amalgamated Investments Company (“AIC”) and Amalgamated Bank of Chicago (“ABOC ”);</w:t>
      </w:r>
    </w:p>
    <w:p>
      <w:pPr>
        <w:jc w:val="both"/>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the adverse effects of events beyond our control that may have a destabilizing effect on financial markets and the economy, such as epidemics and pandemics, war or terrorist activities, essential utility outages, deterioration in the global economy, instability in the credit markets, disruptions in our customers’ supply chains or disruption in transportation; and</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descriptions of assumptions underlying or relating to any of the foregoing.</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caution readers that the foregoing list of factors is not exclusive, is not necessarily in order of importance and readers should not place undue reliance on any forward-looking statements, which should be read in conjunction with the other cautionary statements that are included elsewhere in this report. Additional factors that may cause actual results to differ materially from those contemplated by any forward-looking statements may be found in our Annual Reports on Form 10-K, Quarterly Reports on Form 10-Q and Current Reports on Form 8-K filed with the SEC and available at the SEC’s website at https://sec.gov. Further, any forward-looking statement speaks only as of the date on which it is made and we do not intend to and, except as required by law, disclaim any obligation to update or revise any forward-looking statement to reflect events or circumstances after the date on which the statement is made or to reflect the occurrence of unanticipated events, unless required to do so under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2"/>
          <w:szCs w:val="22"/>
          <w:b w:val="1"/>
          <w:bCs w:val="1"/>
          <w:color w:val="auto"/>
        </w:rPr>
        <w:t>Part I</w:t>
      </w:r>
    </w:p>
    <w:p>
      <w:pPr>
        <w:ind w:left="20"/>
        <w:spacing w:after="0" w:line="204" w:lineRule="auto"/>
        <w:rPr>
          <w:sz w:val="20"/>
          <w:szCs w:val="20"/>
          <w:color w:val="auto"/>
        </w:rPr>
      </w:pPr>
      <w:r>
        <w:rPr>
          <w:rFonts w:ascii="Arial" w:cs="Arial" w:eastAsia="Arial" w:hAnsi="Arial"/>
          <w:sz w:val="22"/>
          <w:szCs w:val="22"/>
          <w:b w:val="1"/>
          <w:bCs w:val="1"/>
          <w:color w:val="auto"/>
        </w:rPr>
        <w:t>Item 1. – Financial Statements</w:t>
      </w:r>
    </w:p>
    <w:p>
      <w:pPr>
        <w:ind w:left="20"/>
        <w:spacing w:after="0" w:line="211" w:lineRule="auto"/>
        <w:rPr>
          <w:sz w:val="20"/>
          <w:szCs w:val="20"/>
          <w:color w:val="auto"/>
        </w:rPr>
      </w:pPr>
      <w:r>
        <w:rPr>
          <w:rFonts w:ascii="Arial" w:cs="Arial" w:eastAsia="Arial" w:hAnsi="Arial"/>
          <w:sz w:val="22"/>
          <w:szCs w:val="22"/>
          <w:b w:val="1"/>
          <w:bCs w:val="1"/>
          <w:color w:val="auto"/>
        </w:rPr>
        <w:t>Consolidated Statements of Financial Condition</w:t>
      </w:r>
    </w:p>
    <w:p>
      <w:pPr>
        <w:ind w:left="20"/>
        <w:spacing w:after="0"/>
        <w:rPr>
          <w:sz w:val="20"/>
          <w:szCs w:val="20"/>
          <w:color w:val="auto"/>
        </w:rPr>
      </w:pPr>
      <w:r>
        <w:rPr>
          <w:rFonts w:ascii="Arial" w:cs="Arial" w:eastAsia="Arial" w:hAnsi="Arial"/>
          <w:sz w:val="18"/>
          <w:szCs w:val="18"/>
          <w:b w:val="1"/>
          <w:bCs w:val="1"/>
          <w:color w:val="auto"/>
        </w:rPr>
        <w:t>(Dollars in thousands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321,863</w:t>
            </w:r>
          </w:p>
        </w:tc>
      </w:tr>
      <w:tr>
        <w:trPr>
          <w:trHeight w:val="22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330,485</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Available for sale, at fair value (amortized cost of $2,087,187 and 2,103,049, respectively)</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1,957,486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2,113,410</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Held-to-maturity (fair value of $1,369,383 and $849,704, respectively)</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1,492,423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843,569</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receivable, net of deferred loan origination costs (fees)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3,871,290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3,312,224</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(35,866)</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receivable, net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3,829,168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3,276,358</w:t>
            </w:r>
          </w:p>
        </w:tc>
      </w:tr>
      <w:tr>
        <w:trPr>
          <w:trHeight w:val="257"/>
        </w:trPr>
        <w:tc>
          <w:tcPr>
            <w:tcW w:w="8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229,018</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and dividends receivable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28,820</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11,735</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Bank-owned life insurance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107,266</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lease asset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33,115</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26,719</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50,159</w:t>
            </w:r>
          </w:p>
        </w:tc>
      </w:tr>
      <w:tr>
        <w:trPr>
          <w:trHeight w:val="223"/>
        </w:trPr>
        <w:tc>
          <w:tcPr>
            <w:tcW w:w="8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7,868,217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7,077,876</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8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7,160,307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6,356,255</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83,831</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Borrowed funds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48,160</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25,755</w:t>
            </w:r>
          </w:p>
        </w:tc>
      </w:tr>
      <w:tr>
        <w:trPr>
          <w:trHeight w:val="223"/>
        </w:trPr>
        <w:tc>
          <w:tcPr>
            <w:tcW w:w="81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7,380,479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6,514,001</w:t>
            </w:r>
          </w:p>
        </w:tc>
      </w:tr>
      <w:tr>
        <w:trPr>
          <w:trHeight w:val="236"/>
        </w:trPr>
        <w:tc>
          <w:tcPr>
            <w:tcW w:w="8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75"/>
        </w:trPr>
        <w:tc>
          <w:tcPr>
            <w:tcW w:w="8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(70,000,000 shares authorized; 30,672,303 and 31,130,143 shares</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297,975</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260,047</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 net of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r>
      <w:tr>
        <w:trPr>
          <w:trHeight w:val="223"/>
        </w:trPr>
        <w:tc>
          <w:tcPr>
            <w:tcW w:w="8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Amalgamated Financial Corp. stockholders' equity</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563,742</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81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563,875</w:t>
            </w:r>
          </w:p>
        </w:tc>
      </w:tr>
      <w:tr>
        <w:trPr>
          <w:trHeight w:val="248"/>
        </w:trPr>
        <w:tc>
          <w:tcPr>
            <w:tcW w:w="81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7,077,876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Income (unaudited)</w:t>
      </w:r>
    </w:p>
    <w:p>
      <w:pPr>
        <w:ind w:left="20"/>
        <w:spacing w:after="0"/>
        <w:rPr>
          <w:sz w:val="20"/>
          <w:szCs w:val="20"/>
          <w:color w:val="auto"/>
        </w:rPr>
      </w:pPr>
      <w:r>
        <w:rPr>
          <w:rFonts w:ascii="Arial" w:cs="Arial" w:eastAsia="Arial" w:hAnsi="Arial"/>
          <w:sz w:val="18"/>
          <w:szCs w:val="18"/>
          <w:b w:val="1"/>
          <w:bCs w:val="1"/>
          <w:color w:val="auto"/>
        </w:rPr>
        <w:t>(Dollars in thousands,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17"/>
                <w:szCs w:val="17"/>
                <w:color w:val="auto"/>
              </w:rPr>
            </w:pPr>
          </w:p>
        </w:tc>
        <w:tc>
          <w:tcPr>
            <w:tcW w:w="23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23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9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38,264</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29,915</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103,157</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91,180</w:t>
            </w:r>
          </w:p>
        </w:tc>
      </w:tr>
      <w:tr>
        <w:trPr>
          <w:trHeight w:val="229"/>
        </w:trPr>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40,008</w:t>
            </w:r>
          </w:p>
        </w:tc>
      </w:tr>
      <w:tr>
        <w:trPr>
          <w:trHeight w:val="230"/>
        </w:trPr>
        <w:tc>
          <w:tcPr>
            <w:tcW w:w="5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3"/>
        </w:trPr>
        <w:tc>
          <w:tcPr>
            <w:tcW w:w="5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and dividend income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131,639</w:t>
            </w:r>
          </w:p>
        </w:tc>
      </w:tr>
      <w:tr>
        <w:trPr>
          <w:trHeight w:val="21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r>
      <w:tr>
        <w:trPr>
          <w:trHeight w:val="229"/>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Borrowed funds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172,494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127,223</w:t>
            </w:r>
          </w:p>
        </w:tc>
      </w:tr>
      <w:tr>
        <w:trPr>
          <w:trHeight w:val="229"/>
        </w:trPr>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(recovery of) loan losses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r>
      <w:tr>
        <w:trPr>
          <w:trHeight w:val="223"/>
        </w:trPr>
        <w:tc>
          <w:tcPr>
            <w:tcW w:w="59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interest income after provision for loan losses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161,926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131,078</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 Department fees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10,471</w:t>
            </w:r>
          </w:p>
        </w:tc>
      </w:tr>
      <w:tr>
        <w:trPr>
          <w:trHeight w:val="230"/>
        </w:trPr>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w:t>
            </w:r>
          </w:p>
        </w:tc>
      </w:tr>
      <w:tr>
        <w:trPr>
          <w:trHeight w:val="229"/>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Bank-owned life insurance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r>
      <w:tr>
        <w:trPr>
          <w:trHeight w:val="229"/>
        </w:trPr>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(loss) on sale of securities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30"/>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(loss) on sale of loans,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29"/>
        </w:trPr>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(loss) on other real estate owned, net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w:t>
            </w:r>
          </w:p>
        </w:tc>
      </w:tr>
      <w:tr>
        <w:trPr>
          <w:trHeight w:val="230"/>
        </w:trPr>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3"/>
        </w:trPr>
        <w:tc>
          <w:tcPr>
            <w:tcW w:w="598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16,028</w:t>
            </w: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52,485</w:t>
            </w:r>
          </w:p>
        </w:tc>
      </w:tr>
      <w:tr>
        <w:trPr>
          <w:trHeight w:val="229"/>
        </w:trPr>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w:t>
            </w:r>
          </w:p>
        </w:tc>
      </w:tr>
      <w:tr>
        <w:trPr>
          <w:trHeight w:val="230"/>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w:t>
            </w:r>
          </w:p>
        </w:tc>
      </w:tr>
      <w:tr>
        <w:trPr>
          <w:trHeight w:val="230"/>
        </w:trPr>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Data processing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w:t>
            </w:r>
          </w:p>
        </w:tc>
      </w:tr>
      <w:tr>
        <w:trPr>
          <w:trHeight w:val="230"/>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29"/>
        </w:trPr>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30"/>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r>
      <w:tr>
        <w:trPr>
          <w:trHeight w:val="230"/>
        </w:trPr>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w:t>
            </w:r>
          </w:p>
        </w:tc>
      </w:tr>
      <w:tr>
        <w:trPr>
          <w:trHeight w:val="223"/>
        </w:trPr>
        <w:tc>
          <w:tcPr>
            <w:tcW w:w="598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97,223</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49,883</w:t>
            </w:r>
          </w:p>
        </w:tc>
      </w:tr>
      <w:tr>
        <w:trPr>
          <w:trHeight w:val="230"/>
        </w:trPr>
        <w:tc>
          <w:tcPr>
            <w:tcW w:w="5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12,870</w:t>
            </w:r>
          </w:p>
        </w:tc>
      </w:tr>
      <w:tr>
        <w:trPr>
          <w:trHeight w:val="223"/>
        </w:trPr>
        <w:tc>
          <w:tcPr>
            <w:tcW w:w="5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37,013</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9"/>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 w:name="page7"/>
    <w:bookmarkEnd w:id="6"/>
    <w:p>
      <w:pPr>
        <w:spacing w:after="0" w:line="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Comprehensive Income (unaudited)</w:t>
      </w:r>
    </w:p>
    <w:p>
      <w:pPr>
        <w:ind w:left="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7"/>
                <w:szCs w:val="17"/>
                <w:color w:val="auto"/>
              </w:rPr>
            </w:pPr>
          </w:p>
        </w:tc>
        <w:tc>
          <w:tcPr>
            <w:tcW w:w="20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20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65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0"/>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37,013</w:t>
            </w: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75"/>
        </w:trPr>
        <w:tc>
          <w:tcPr>
            <w:tcW w:w="6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total obligation for postretirement benefits, prior service credit, and other</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securities: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holding gains (losses) on securities available for sale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w:t>
            </w:r>
          </w:p>
        </w:tc>
      </w:tr>
      <w:tr>
        <w:trPr>
          <w:trHeight w:val="230"/>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adjustment for losses (gains) realized in income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2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net unrealized loss on securities transferred to held to maturity</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securities</w:t>
            </w: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(41,043)</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(156,455)</w:t>
            </w:r>
          </w:p>
        </w:tc>
        <w:tc>
          <w:tcPr>
            <w:tcW w:w="1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w:t>
            </w:r>
          </w:p>
        </w:tc>
      </w:tr>
      <w:tr>
        <w:trPr>
          <w:trHeight w:val="223"/>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(156,277)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w:t>
            </w:r>
          </w:p>
        </w:tc>
      </w:tr>
      <w:tr>
        <w:trPr>
          <w:trHeight w:val="230"/>
        </w:trPr>
        <w:tc>
          <w:tcPr>
            <w:tcW w:w="6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net of taxes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(56,563)</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31,214</w:t>
            </w:r>
          </w:p>
        </w:tc>
      </w:tr>
      <w:tr>
        <w:trPr>
          <w:trHeight w:val="21"/>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Changes in Stockholders’ Equity (unaudited)</w:t>
      </w:r>
    </w:p>
    <w:p>
      <w:pPr>
        <w:ind w:left="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1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center"/>
              <w:ind w:right="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6"/>
                <w:szCs w:val="16"/>
                <w:color w:val="auto"/>
              </w:rPr>
            </w:pPr>
          </w:p>
        </w:tc>
        <w:tc>
          <w:tcPr>
            <w:tcW w:w="8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4"/>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6"/>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10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4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286,901</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288,868</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497,908</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498,041</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22,944</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$0.10 per share</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184"/>
        </w:trPr>
        <w:tc>
          <w:tcPr>
            <w:tcW w:w="2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Exercise of stock options, net of</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184"/>
        </w:trPr>
        <w:tc>
          <w:tcPr>
            <w:tcW w:w="2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Restricted stock units vesting, net of</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184"/>
        </w:trPr>
        <w:tc>
          <w:tcPr>
            <w:tcW w:w="3160" w:type="dxa"/>
            <w:vAlign w:val="bottom"/>
            <w:gridSpan w:val="5"/>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comprehensive income (loss), net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taxes</w:t>
            </w: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(29,708)</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(29,708)</w:t>
            </w: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286,431</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308,743</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(107,876)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487,605</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487,738</w:t>
            </w: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2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5"/>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5"/>
          </w:tcPr>
          <w:p>
            <w:pPr>
              <w:jc w:val="center"/>
              <w:ind w:right="1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9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80" w:type="dxa"/>
            <w:vAlign w:val="bottom"/>
            <w:gridSpan w:val="5"/>
            <w:vMerge w:val="continue"/>
          </w:tcPr>
          <w:p>
            <w:pPr>
              <w:spacing w:after="0"/>
              <w:rPr>
                <w:sz w:val="15"/>
                <w:szCs w:val="15"/>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Paid-in</w:t>
            </w:r>
          </w:p>
        </w:tc>
        <w:tc>
          <w:tcPr>
            <w:tcW w:w="7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6"/>
          </w:tcPr>
          <w:p>
            <w:pPr>
              <w:jc w:val="center"/>
              <w:ind w:right="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60" w:type="dxa"/>
            <w:vAlign w:val="bottom"/>
          </w:tcPr>
          <w:p>
            <w:pPr>
              <w:spacing w:after="0"/>
              <w:rPr>
                <w:sz w:val="15"/>
                <w:szCs w:val="15"/>
                <w:color w:val="auto"/>
              </w:rPr>
            </w:pPr>
          </w:p>
        </w:tc>
        <w:tc>
          <w:tcPr>
            <w:tcW w:w="120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124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9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2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4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297,975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$ 260,047</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20" w:type="dxa"/>
            <w:vAlign w:val="bottom"/>
            <w:shd w:val="clear" w:color="auto" w:fill="CCEEFF"/>
          </w:tcPr>
          <w:p>
            <w:pPr>
              <w:spacing w:after="0"/>
              <w:rPr>
                <w:sz w:val="21"/>
                <w:szCs w:val="21"/>
                <w:color w:val="auto"/>
              </w:rPr>
            </w:pPr>
          </w:p>
        </w:tc>
        <w:tc>
          <w:tcPr>
            <w:tcW w:w="2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563,742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$ 563,875</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9"/>
                <w:szCs w:val="19"/>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56,722</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4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$0.26 per share</w:t>
            </w:r>
          </w:p>
        </w:tc>
        <w:tc>
          <w:tcPr>
            <w:tcW w:w="480" w:type="dxa"/>
            <w:vAlign w:val="bottom"/>
          </w:tcPr>
          <w:p>
            <w:pPr>
              <w:spacing w:after="0"/>
              <w:rPr>
                <w:sz w:val="19"/>
                <w:szCs w:val="19"/>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(8,026)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 options, net</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repurchases</w:t>
            </w:r>
          </w:p>
        </w:tc>
        <w:tc>
          <w:tcPr>
            <w:tcW w:w="48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 vesting,</w:t>
            </w: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repurchases</w:t>
            </w:r>
          </w:p>
        </w:tc>
        <w:tc>
          <w:tcPr>
            <w:tcW w:w="48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480" w:type="dxa"/>
            <w:vAlign w:val="bottom"/>
          </w:tcPr>
          <w:p>
            <w:pPr>
              <w:spacing w:after="0"/>
              <w:rPr>
                <w:sz w:val="21"/>
                <w:szCs w:val="21"/>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w:t>
            </w: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net of taxes</w:t>
            </w:r>
          </w:p>
        </w:tc>
        <w:tc>
          <w:tcPr>
            <w:tcW w:w="4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(113,285)</w:t>
            </w: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(113,285)</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September 30,</w:t>
            </w:r>
          </w:p>
        </w:tc>
        <w:tc>
          <w:tcPr>
            <w:tcW w:w="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3"/>
                <w:szCs w:val="13"/>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286,431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$ 308,743</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(107,876)</w:t>
            </w:r>
          </w:p>
        </w:tc>
        <w:tc>
          <w:tcPr>
            <w:tcW w:w="20" w:type="dxa"/>
            <w:vAlign w:val="bottom"/>
          </w:tcPr>
          <w:p>
            <w:pPr>
              <w:spacing w:after="0"/>
              <w:rPr>
                <w:sz w:val="13"/>
                <w:szCs w:val="13"/>
                <w:color w:val="auto"/>
              </w:rPr>
            </w:pPr>
          </w:p>
        </w:tc>
        <w:tc>
          <w:tcPr>
            <w:tcW w:w="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487,605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tcPr>
          <w:p>
            <w:pPr>
              <w:spacing w:after="0"/>
              <w:rPr>
                <w:sz w:val="13"/>
                <w:szCs w:val="13"/>
                <w:color w:val="auto"/>
              </w:rPr>
            </w:pP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$ 487,738</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3"/>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Changes in Stockholders’ Equity (unaudited)</w:t>
      </w:r>
    </w:p>
    <w:p>
      <w:pPr>
        <w:ind w:left="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8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5"/>
                <w:szCs w:val="15"/>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6"/>
                <w:szCs w:val="16"/>
                <w:color w:val="auto"/>
              </w:rPr>
            </w:pPr>
          </w:p>
        </w:tc>
        <w:tc>
          <w:tcPr>
            <w:tcW w:w="1200" w:type="dxa"/>
            <w:vAlign w:val="bottom"/>
            <w:gridSpan w:val="2"/>
          </w:tcPr>
          <w:p>
            <w:pPr>
              <w:jc w:val="center"/>
              <w:ind w:right="1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6"/>
                <w:szCs w:val="16"/>
                <w:color w:val="auto"/>
              </w:rPr>
            </w:pPr>
          </w:p>
        </w:tc>
        <w:tc>
          <w:tcPr>
            <w:tcW w:w="8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32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18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0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19"/>
                <w:szCs w:val="19"/>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297,283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234,769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548,078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548,211</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$0.08 per share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184"/>
        </w:trPr>
        <w:tc>
          <w:tcPr>
            <w:tcW w:w="3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Exercise of stock options, net of</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184"/>
        </w:trPr>
        <w:tc>
          <w:tcPr>
            <w:tcW w:w="3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comprehensive income (loss), net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taxes</w:t>
            </w: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556,390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5"/>
                <w:szCs w:val="15"/>
                <w:color w:val="auto"/>
              </w:rPr>
            </w:pPr>
          </w:p>
        </w:tc>
        <w:tc>
          <w:tcPr>
            <w:tcW w:w="120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5"/>
                <w:szCs w:val="15"/>
                <w:color w:val="auto"/>
              </w:rPr>
            </w:pPr>
          </w:p>
        </w:tc>
        <w:tc>
          <w:tcPr>
            <w:tcW w:w="8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320" w:type="dxa"/>
            <w:vAlign w:val="bottom"/>
            <w:gridSpan w:val="3"/>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18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00" w:type="dxa"/>
            <w:vAlign w:val="bottom"/>
          </w:tcPr>
          <w:p>
            <w:pPr>
              <w:spacing w:after="0"/>
              <w:rPr>
                <w:sz w:val="21"/>
                <w:szCs w:val="21"/>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21"/>
                <w:szCs w:val="21"/>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300,989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535,688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535,821</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37,013</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$0.24 per share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 options, net of</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 vesting, net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net</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taxes</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556,390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w:t>
      </w:r>
    </w:p>
    <w:p>
      <w:pPr>
        <w:ind w:left="20"/>
        <w:spacing w:after="0" w:line="210" w:lineRule="auto"/>
        <w:rPr>
          <w:sz w:val="20"/>
          <w:szCs w:val="20"/>
          <w:color w:val="auto"/>
        </w:rPr>
      </w:pPr>
      <w:r>
        <w:rPr>
          <w:rFonts w:ascii="Arial" w:cs="Arial" w:eastAsia="Arial" w:hAnsi="Arial"/>
          <w:sz w:val="22"/>
          <w:szCs w:val="22"/>
          <w:b w:val="1"/>
          <w:bCs w:val="1"/>
          <w:color w:val="auto"/>
        </w:rPr>
        <w:t>of Cash Flows (unaudited)</w:t>
      </w:r>
    </w:p>
    <w:p>
      <w:pPr>
        <w:ind w:left="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200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740" w:type="dxa"/>
            <w:vAlign w:val="bottom"/>
          </w:tcPr>
          <w:p>
            <w:pPr>
              <w:spacing w:after="0"/>
              <w:rPr>
                <w:sz w:val="20"/>
                <w:szCs w:val="20"/>
                <w:color w:val="auto"/>
              </w:rPr>
            </w:pPr>
          </w:p>
        </w:tc>
        <w:tc>
          <w:tcPr>
            <w:tcW w:w="17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27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56"/>
        </w:trPr>
        <w:tc>
          <w:tcPr>
            <w:tcW w:w="27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FLOWS FROM</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8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r>
      <w:tr>
        <w:trPr>
          <w:trHeight w:val="223"/>
        </w:trPr>
        <w:tc>
          <w:tcPr>
            <w:tcW w:w="2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56,722</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$ 37,013</w:t>
            </w:r>
          </w:p>
        </w:tc>
      </w:tr>
      <w:tr>
        <w:trPr>
          <w:trHeight w:val="176"/>
        </w:trPr>
        <w:tc>
          <w:tcPr>
            <w:tcW w:w="27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Adjustments to reconcile net</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4"/>
        </w:trPr>
        <w:tc>
          <w:tcPr>
            <w:tcW w:w="27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income to net cash provided by</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4"/>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9"/>
        </w:trPr>
        <w:tc>
          <w:tcPr>
            <w:tcW w:w="2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r>
      <w:tr>
        <w:trPr>
          <w:trHeight w:val="230"/>
        </w:trPr>
        <w:tc>
          <w:tcPr>
            <w:tcW w:w="2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175"/>
        </w:trPr>
        <w:tc>
          <w:tcPr>
            <w:tcW w:w="27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Deferred income tax expense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r>
      <w:tr>
        <w:trPr>
          <w:trHeight w:val="175"/>
        </w:trPr>
        <w:tc>
          <w:tcPr>
            <w:tcW w:w="27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Provision for (recovery of) loan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r>
      <w:tr>
        <w:trPr>
          <w:trHeight w:val="175"/>
        </w:trPr>
        <w:tc>
          <w:tcPr>
            <w:tcW w:w="27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176"/>
        </w:trPr>
        <w:tc>
          <w:tcPr>
            <w:tcW w:w="27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Net amortization (accretion) 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4"/>
        </w:trPr>
        <w:tc>
          <w:tcPr>
            <w:tcW w:w="27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loan fees, costs, premiums, and</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4"/>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r>
      <w:tr>
        <w:trPr>
          <w:trHeight w:val="229"/>
        </w:trPr>
        <w:tc>
          <w:tcPr>
            <w:tcW w:w="2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amortization on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r>
      <w:tr>
        <w:trPr>
          <w:trHeight w:val="176"/>
        </w:trPr>
        <w:tc>
          <w:tcPr>
            <w:tcW w:w="27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OTTI loss (gain) recognized in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75"/>
        </w:trPr>
        <w:tc>
          <w:tcPr>
            <w:tcW w:w="27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Net loss (income) from equity</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investments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w:t>
            </w:r>
          </w:p>
        </w:tc>
      </w:tr>
      <w:tr>
        <w:trPr>
          <w:trHeight w:val="175"/>
        </w:trPr>
        <w:tc>
          <w:tcPr>
            <w:tcW w:w="27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Net loss (gain) on sale of</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30"/>
        </w:trPr>
        <w:tc>
          <w:tcPr>
            <w:tcW w:w="2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(gain) on sale of loans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175"/>
        </w:trPr>
        <w:tc>
          <w:tcPr>
            <w:tcW w:w="27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Net loss (gain) on sale of other</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owned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176"/>
        </w:trPr>
        <w:tc>
          <w:tcPr>
            <w:tcW w:w="27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Net (gain) on redemption of bank-</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life insurance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175"/>
        </w:trPr>
        <w:tc>
          <w:tcPr>
            <w:tcW w:w="27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Proceeds from sales of loans held</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sale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17,635</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103,186</w:t>
            </w:r>
          </w:p>
        </w:tc>
      </w:tr>
      <w:tr>
        <w:trPr>
          <w:trHeight w:val="230"/>
        </w:trPr>
        <w:tc>
          <w:tcPr>
            <w:tcW w:w="2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(96,478)</w:t>
            </w:r>
          </w:p>
        </w:tc>
      </w:tr>
      <w:tr>
        <w:trPr>
          <w:trHeight w:val="175"/>
        </w:trPr>
        <w:tc>
          <w:tcPr>
            <w:tcW w:w="27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Decrease (increase) in cash</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4"/>
        </w:trPr>
        <w:tc>
          <w:tcPr>
            <w:tcW w:w="27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surrender value of bank-owned life</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4"/>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175"/>
        </w:trPr>
        <w:tc>
          <w:tcPr>
            <w:tcW w:w="27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Decrease (increase) in accrued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dividends receivable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351"/>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3"/>
                <w:szCs w:val="23"/>
                <w:color w:val="auto"/>
                <w:w w:val="99"/>
                <w:vertAlign w:val="subscript"/>
              </w:rPr>
              <w:t>(1)</w:t>
            </w:r>
            <w:r>
              <w:rPr>
                <w:rFonts w:ascii="Times New Roman" w:cs="Times New Roman" w:eastAsia="Times New Roman" w:hAnsi="Times New Roman"/>
                <w:sz w:val="18"/>
                <w:szCs w:val="18"/>
                <w:color w:val="auto"/>
                <w:w w:val="99"/>
              </w:rPr>
              <w:t xml:space="preserve"> Decrease (increase) in other assets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13,521</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r>
      <w:tr>
        <w:trPr>
          <w:trHeight w:val="175"/>
        </w:trPr>
        <w:tc>
          <w:tcPr>
            <w:tcW w:w="27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Increase (decrease) in accrued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274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expenses and other liabilities </w:t>
            </w:r>
            <w:r>
              <w:rPr>
                <w:rFonts w:ascii="Times New Roman" w:cs="Times New Roman" w:eastAsia="Times New Roman" w:hAnsi="Times New Roman"/>
                <w:sz w:val="23"/>
                <w:szCs w:val="23"/>
                <w:color w:val="auto"/>
                <w:vertAlign w:val="superscript"/>
              </w:rPr>
              <w:t>(2)</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(11,193)</w:t>
            </w:r>
          </w:p>
        </w:tc>
      </w:tr>
      <w:tr>
        <w:trPr>
          <w:trHeight w:val="156"/>
        </w:trPr>
        <w:tc>
          <w:tcPr>
            <w:tcW w:w="2740" w:type="dxa"/>
            <w:vAlign w:val="bottom"/>
            <w:shd w:val="clear" w:color="auto" w:fill="CCEEFF"/>
          </w:tcPr>
          <w:p>
            <w:pPr>
              <w:ind w:left="1020"/>
              <w:spacing w:after="0" w:line="156" w:lineRule="exact"/>
              <w:rPr>
                <w:sz w:val="20"/>
                <w:szCs w:val="20"/>
                <w:color w:val="auto"/>
              </w:rPr>
            </w:pPr>
            <w:r>
              <w:rPr>
                <w:rFonts w:ascii="Times New Roman" w:cs="Times New Roman" w:eastAsia="Times New Roman" w:hAnsi="Times New Roman"/>
                <w:sz w:val="18"/>
                <w:szCs w:val="18"/>
                <w:color w:val="auto"/>
              </w:rPr>
              <w:t>Net cash provided by</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94,868</w:t>
            </w:r>
          </w:p>
        </w:tc>
        <w:tc>
          <w:tcPr>
            <w:tcW w:w="8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53,400</w:t>
            </w:r>
          </w:p>
        </w:tc>
      </w:tr>
      <w:tr>
        <w:trPr>
          <w:trHeight w:val="156"/>
        </w:trPr>
        <w:tc>
          <w:tcPr>
            <w:tcW w:w="27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FLOWS FROM INVESTING</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3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4"/>
        </w:trPr>
        <w:tc>
          <w:tcPr>
            <w:tcW w:w="2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decrease (increase) in loans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(588,730)</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361,309</w:t>
            </w:r>
          </w:p>
        </w:tc>
      </w:tr>
      <w:tr>
        <w:trPr>
          <w:trHeight w:val="176"/>
        </w:trPr>
        <w:tc>
          <w:tcPr>
            <w:tcW w:w="27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Purchase of securities available for</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(672,142)</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(874,116)</w:t>
            </w:r>
          </w:p>
        </w:tc>
      </w:tr>
      <w:tr>
        <w:trPr>
          <w:trHeight w:val="175"/>
        </w:trPr>
        <w:tc>
          <w:tcPr>
            <w:tcW w:w="27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Purchase of securities held to</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(508,097)</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(315,969)</w:t>
            </w:r>
          </w:p>
        </w:tc>
      </w:tr>
      <w:tr>
        <w:trPr>
          <w:trHeight w:val="175"/>
        </w:trPr>
        <w:tc>
          <w:tcPr>
            <w:tcW w:w="27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Proceeds from sales of securities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sale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132,105</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94,899</w:t>
            </w:r>
          </w:p>
        </w:tc>
      </w:tr>
      <w:tr>
        <w:trPr>
          <w:trHeight w:val="176"/>
        </w:trPr>
        <w:tc>
          <w:tcPr>
            <w:tcW w:w="27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Maturities, principal payments and</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4"/>
        </w:trPr>
        <w:tc>
          <w:tcPr>
            <w:tcW w:w="27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redemptions of securities available</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4"/>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sale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281,244</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349,328</w:t>
            </w:r>
          </w:p>
        </w:tc>
      </w:tr>
      <w:tr>
        <w:trPr>
          <w:trHeight w:val="176"/>
        </w:trPr>
        <w:tc>
          <w:tcPr>
            <w:tcW w:w="27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Maturities, principal payments and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4"/>
        </w:trPr>
        <w:tc>
          <w:tcPr>
            <w:tcW w:w="27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redemptions of securities held to</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111,632</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82,505</w:t>
            </w:r>
          </w:p>
        </w:tc>
      </w:tr>
      <w:tr>
        <w:trPr>
          <w:trHeight w:val="176"/>
        </w:trPr>
        <w:tc>
          <w:tcPr>
            <w:tcW w:w="27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Decrease (increase) in resell</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36,184</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24,345</w:t>
            </w:r>
          </w:p>
        </w:tc>
      </w:tr>
      <w:tr>
        <w:trPr>
          <w:trHeight w:val="176"/>
        </w:trPr>
        <w:tc>
          <w:tcPr>
            <w:tcW w:w="27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Decrease (increase) in equity</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investments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175"/>
        </w:trPr>
        <w:tc>
          <w:tcPr>
            <w:tcW w:w="27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Decrease (increase) of FHLBNY</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net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bl>
    <w:p>
      <w:pPr>
        <w:ind w:left="200"/>
        <w:spacing w:after="0" w:line="221" w:lineRule="auto"/>
        <w:rPr>
          <w:sz w:val="20"/>
          <w:szCs w:val="20"/>
          <w:color w:val="auto"/>
        </w:rPr>
      </w:pPr>
      <w:r>
        <w:rPr>
          <w:rFonts w:ascii="Times New Roman" w:cs="Times New Roman" w:eastAsia="Times New Roman" w:hAnsi="Times New Roman"/>
          <w:sz w:val="18"/>
          <w:szCs w:val="18"/>
          <w:color w:val="auto"/>
        </w:rPr>
        <w:t>Purchases of premises and</w:t>
      </w:r>
    </w:p>
    <w:p>
      <w:pPr>
        <w:ind w:left="20"/>
        <w:spacing w:after="0"/>
        <w:rPr>
          <w:sz w:val="20"/>
          <w:szCs w:val="20"/>
          <w:color w:val="auto"/>
        </w:rPr>
      </w:pPr>
      <w:r>
        <w:rPr>
          <w:rFonts w:ascii="Times New Roman" w:cs="Times New Roman" w:eastAsia="Times New Roman" w:hAnsi="Times New Roman"/>
          <w:sz w:val="18"/>
          <w:szCs w:val="18"/>
          <w:color w:val="auto"/>
        </w:rPr>
        <w:t>equipment</w:t>
      </w:r>
    </w:p>
    <w:p>
      <w:pPr>
        <w:sectPr>
          <w:pgSz w:w="11900" w:h="17019" w:orient="portrait"/>
          <w:cols w:equalWidth="0" w:num="1">
            <w:col w:w="10139"/>
          </w:cols>
          <w:pgMar w:left="320" w:top="1440"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2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redemption of</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bank-owned life insurance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176"/>
        </w:trPr>
        <w:tc>
          <w:tcPr>
            <w:tcW w:w="27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Proceeds from sale of other real</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estate owned</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156"/>
        </w:trPr>
        <w:tc>
          <w:tcPr>
            <w:tcW w:w="2740" w:type="dxa"/>
            <w:vAlign w:val="bottom"/>
            <w:tcBorders>
              <w:top w:val="single" w:sz="8" w:color="CCEEFF"/>
            </w:tcBorders>
            <w:shd w:val="clear" w:color="auto" w:fill="CCEEFF"/>
          </w:tcPr>
          <w:p>
            <w:pPr>
              <w:ind w:left="1020"/>
              <w:spacing w:after="0" w:line="156" w:lineRule="exact"/>
              <w:rPr>
                <w:sz w:val="20"/>
                <w:szCs w:val="20"/>
                <w:color w:val="auto"/>
              </w:rPr>
            </w:pPr>
            <w:r>
              <w:rPr>
                <w:rFonts w:ascii="Times New Roman" w:cs="Times New Roman" w:eastAsia="Times New Roman" w:hAnsi="Times New Roman"/>
                <w:sz w:val="18"/>
                <w:szCs w:val="18"/>
                <w:color w:val="auto"/>
              </w:rPr>
              <w:t>Net cash (used in)</w:t>
            </w: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provided by investing activities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(1,210,404)</w:t>
            </w:r>
          </w:p>
        </w:tc>
        <w:tc>
          <w:tcPr>
            <w:tcW w:w="8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(275,790)</w:t>
            </w:r>
          </w:p>
        </w:tc>
      </w:tr>
      <w:tr>
        <w:trPr>
          <w:trHeight w:val="155"/>
        </w:trPr>
        <w:tc>
          <w:tcPr>
            <w:tcW w:w="27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FLOWS FROM</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3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4"/>
        </w:trPr>
        <w:tc>
          <w:tcPr>
            <w:tcW w:w="2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increase (decrease) in deposits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804,052</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885,795</w:t>
            </w:r>
          </w:p>
        </w:tc>
      </w:tr>
      <w:tr>
        <w:trPr>
          <w:trHeight w:val="176"/>
        </w:trPr>
        <w:tc>
          <w:tcPr>
            <w:tcW w:w="27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Net increase (decrease) in FHLB</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27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Net increase (decrease) in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60"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1" w:name="page12"/>
    <w:bookmarkEnd w:id="11"/>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Repurchase of shares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29"/>
        </w:trPr>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Exercise of stock options, net of</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175"/>
        </w:trPr>
        <w:tc>
          <w:tcPr>
            <w:tcW w:w="27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Restricted stock units vesting, net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of repurchases</w:t>
            </w: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55"/>
        </w:trPr>
        <w:tc>
          <w:tcPr>
            <w:tcW w:w="2780" w:type="dxa"/>
            <w:vAlign w:val="bottom"/>
            <w:shd w:val="clear" w:color="auto" w:fill="CCEEFF"/>
          </w:tcPr>
          <w:p>
            <w:pPr>
              <w:ind w:left="1020"/>
              <w:spacing w:after="0" w:line="156" w:lineRule="exact"/>
              <w:rPr>
                <w:sz w:val="20"/>
                <w:szCs w:val="20"/>
                <w:color w:val="auto"/>
              </w:rPr>
            </w:pPr>
            <w:r>
              <w:rPr>
                <w:rFonts w:ascii="Times New Roman" w:cs="Times New Roman" w:eastAsia="Times New Roman" w:hAnsi="Times New Roman"/>
                <w:sz w:val="18"/>
                <w:szCs w:val="18"/>
                <w:color w:val="auto"/>
              </w:rPr>
              <w:t>Net cash provided by</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851,274</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873,867</w:t>
            </w:r>
          </w:p>
        </w:tc>
        <w:tc>
          <w:tcPr>
            <w:tcW w:w="0" w:type="dxa"/>
            <w:vAlign w:val="bottom"/>
          </w:tcPr>
          <w:p>
            <w:pPr>
              <w:spacing w:after="0"/>
              <w:rPr>
                <w:sz w:val="1"/>
                <w:szCs w:val="1"/>
                <w:color w:val="auto"/>
              </w:rPr>
            </w:pPr>
          </w:p>
        </w:tc>
      </w:tr>
      <w:tr>
        <w:trPr>
          <w:trHeight w:val="155"/>
        </w:trPr>
        <w:tc>
          <w:tcPr>
            <w:tcW w:w="2780" w:type="dxa"/>
            <w:vAlign w:val="bottom"/>
          </w:tcPr>
          <w:p>
            <w:pPr>
              <w:ind w:left="1020"/>
              <w:spacing w:after="0" w:line="156" w:lineRule="exact"/>
              <w:rPr>
                <w:sz w:val="20"/>
                <w:szCs w:val="20"/>
                <w:color w:val="auto"/>
              </w:rPr>
            </w:pPr>
            <w:r>
              <w:rPr>
                <w:rFonts w:ascii="Times New Roman" w:cs="Times New Roman" w:eastAsia="Times New Roman" w:hAnsi="Times New Roman"/>
                <w:sz w:val="18"/>
                <w:szCs w:val="18"/>
                <w:color w:val="auto"/>
              </w:rPr>
              <w:t>Increase (decrease) in</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cash, cash equivalents, and restricted</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(264,262)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651,477</w:t>
            </w: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cash equivalents, and restricted</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beginning of year</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330,485</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38,769</w:t>
            </w:r>
          </w:p>
        </w:tc>
        <w:tc>
          <w:tcPr>
            <w:tcW w:w="0" w:type="dxa"/>
            <w:vAlign w:val="bottom"/>
          </w:tcPr>
          <w:p>
            <w:pPr>
              <w:spacing w:after="0"/>
              <w:rPr>
                <w:sz w:val="1"/>
                <w:szCs w:val="1"/>
                <w:color w:val="auto"/>
              </w:rPr>
            </w:pPr>
          </w:p>
        </w:tc>
      </w:tr>
      <w:tr>
        <w:trPr>
          <w:trHeight w:val="155"/>
        </w:trPr>
        <w:tc>
          <w:tcPr>
            <w:tcW w:w="27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cash equivalents, and restricted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66,223</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690,246</w:t>
            </w:r>
          </w:p>
        </w:tc>
        <w:tc>
          <w:tcPr>
            <w:tcW w:w="0" w:type="dxa"/>
            <w:vAlign w:val="bottom"/>
          </w:tcPr>
          <w:p>
            <w:pPr>
              <w:spacing w:after="0"/>
              <w:rPr>
                <w:sz w:val="1"/>
                <w:szCs w:val="1"/>
                <w:color w:val="auto"/>
              </w:rPr>
            </w:pPr>
          </w:p>
        </w:tc>
      </w:tr>
      <w:tr>
        <w:trPr>
          <w:trHeight w:val="221"/>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end period</w:t>
            </w:r>
          </w:p>
        </w:tc>
        <w:tc>
          <w:tcPr>
            <w:tcW w:w="16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Supplemental disclosures of cash</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 information:</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Income taxes paid during the</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Supplemental non-cash investing</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Loans transferred to held-for-sale</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7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Loans transferred to other real</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estate owned</w:t>
            </w:r>
          </w:p>
        </w:tc>
        <w:tc>
          <w:tcPr>
            <w:tcW w:w="16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Purchase (sale) of securities</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for sale, net not settled</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0" w:type="dxa"/>
            <w:vAlign w:val="bottom"/>
          </w:tcPr>
          <w:p>
            <w:pPr>
              <w:spacing w:after="0"/>
              <w:rPr>
                <w:sz w:val="1"/>
                <w:szCs w:val="1"/>
                <w:color w:val="auto"/>
              </w:rPr>
            </w:pPr>
          </w:p>
        </w:tc>
      </w:tr>
      <w:tr>
        <w:trPr>
          <w:trHeight w:val="175"/>
        </w:trPr>
        <w:tc>
          <w:tcPr>
            <w:tcW w:w="27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to held-to-maturity</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260,112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$3.1 million and $1.3 million of right of use asset amortization for the respective periods</w:t>
      </w:r>
    </w:p>
    <w:p>
      <w:pPr>
        <w:spacing w:after="0" w:line="2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Includes $2.1 million and $0.9 million accretion of operating lease liabilities for the respective periods</w:t>
      </w:r>
    </w:p>
    <w:p>
      <w:pPr>
        <w:sectPr>
          <w:pgSz w:w="11900" w:h="16838" w:orient="portrait"/>
          <w:cols w:equalWidth="0" w:num="1">
            <w:col w:w="10139"/>
          </w:cols>
          <w:pgMar w:left="320" w:top="1440"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2" w:right="1440" w:bottom="1440" w:gutter="0" w:footer="0" w:header="0"/>
        </w:sectPr>
      </w:pPr>
    </w:p>
    <w:bookmarkStart w:id="13" w:name="page14"/>
    <w:bookmarkEnd w:id="1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BASIS OF PRESENTATION AND CONSOLIDATION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Accounting and Changes in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and reporting policies of the Company conform to accounting principles generally accepted in the United States of America, or GAAP and predominant practices within the banking industry. The Company uses the accrual basis of accounting for financial statement purposes.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the Company, its wholly-owned subsidiaries and its majority-owned subsidiaries and have been prepared in accordance with instructions to Form 10-Q and therefore do not include all information and footnotes necessary for a fair presentation of financial position, results of operations, and cash flows in conformity with GAAP. All significant inter-company transactions and balances are eliminated in consolidation. In the opinion of management, all adjustments necessary for a fair presentation of the consolidated financial position and the results of operations as of the dates and for the interim periods presented have been included. A more detailed description of our accounting policies is included in the Annual Report on Form 10-K for the year ended December 31, 2021 (the “2021 Annual Report”). There have been no significant changes to our accounting policies, or the estimates made pursuant to those policies as described in our 2021 Annual Report. These unaudited consolidated financial statements should be read in conjunction with the audited consolidated financial statements and related notes appearing in the 2021 Annual Report.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prior year amounts to conform to the current year presentation, however such reclassifications did not change stockholder equity or net income.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ACCUMULATED OTHER COMPREHENSIVE INCOME (LOSS)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records unrealized gains and losses, net of taxes, on securities available for sale in other comprehensive income (loss) in the Consolidated Statements of Changes in Stockholders’ Equity. Gains and losses on securities available for sale are reclassified to operations as the gains or losses are recognized. Other-than-temporary impairment (“OTTI”) losses on debt securities are reflected in earnings as realized losses to the extent the impairment is related to credit losses. The amount of the impairment related to other factors is recognized in other comprehensive income (loss). The Company also recognizes as a component of other comprehensive income (loss) the actuarial gains or losses as well as the prior service costs or credits that arise during the period from post-retirement benefit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 components and related income tax effects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19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19"/>
                <w:szCs w:val="19"/>
                <w:color w:val="auto"/>
              </w:rPr>
            </w:pPr>
          </w:p>
        </w:tc>
        <w:tc>
          <w:tcPr>
            <w:tcW w:w="19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59"/>
        </w:trPr>
        <w:tc>
          <w:tcPr>
            <w:tcW w:w="65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obligation for postretirement benefits and for prior service credit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obligation for other benefits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164"/>
        </w:trPr>
        <w:tc>
          <w:tcPr>
            <w:tcW w:w="65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Change in total obligation for postretirement benefits and for prior service credit and for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benefits</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9"/>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64"/>
        </w:trPr>
        <w:tc>
          <w:tcPr>
            <w:tcW w:w="658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8"/>
                <w:szCs w:val="18"/>
                <w:color w:val="auto"/>
              </w:rPr>
              <w:t>Net change in total obligation for postretirement benefits and prior service credit and for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benefits</w:t>
            </w: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holding gains (losses) on available for sale securities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(159,460)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losses (gains) realized in income</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3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gains (losses) on available for sale securities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net unrealized loss on securities transferred to held to maturity</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23"/>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in unrealized gains (losses) on securities</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3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the reclassifications out of accumulated other comprehensive income (loss):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6"/>
                <w:szCs w:val="16"/>
                <w:color w:val="auto"/>
              </w:rPr>
            </w:pPr>
          </w:p>
        </w:tc>
        <w:tc>
          <w:tcPr>
            <w:tcW w:w="1580" w:type="dxa"/>
            <w:vAlign w:val="bottom"/>
            <w:gridSpan w:val="4"/>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580" w:type="dxa"/>
            <w:vAlign w:val="bottom"/>
            <w:gridSpan w:val="4"/>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Affected Line Item in the Consolidated</w:t>
            </w:r>
          </w:p>
        </w:tc>
        <w:tc>
          <w:tcPr>
            <w:tcW w:w="0" w:type="dxa"/>
            <w:vAlign w:val="bottom"/>
          </w:tcPr>
          <w:p>
            <w:pPr>
              <w:spacing w:after="0"/>
              <w:rPr>
                <w:sz w:val="1"/>
                <w:szCs w:val="1"/>
                <w:color w:val="auto"/>
              </w:rPr>
            </w:pPr>
          </w:p>
        </w:tc>
      </w:tr>
      <w:tr>
        <w:trPr>
          <w:trHeight w:val="44"/>
        </w:trPr>
        <w:tc>
          <w:tcPr>
            <w:tcW w:w="4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restart"/>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restart"/>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3"/>
                <w:szCs w:val="3"/>
                <w:color w:val="auto"/>
              </w:rPr>
            </w:pPr>
          </w:p>
        </w:tc>
        <w:tc>
          <w:tcPr>
            <w:tcW w:w="34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Statements of Income</w:t>
            </w:r>
          </w:p>
        </w:tc>
        <w:tc>
          <w:tcPr>
            <w:tcW w:w="0" w:type="dxa"/>
            <w:vAlign w:val="bottom"/>
          </w:tcPr>
          <w:p>
            <w:pPr>
              <w:spacing w:after="0"/>
              <w:rPr>
                <w:sz w:val="1"/>
                <w:szCs w:val="1"/>
                <w:color w:val="auto"/>
              </w:rPr>
            </w:pPr>
          </w:p>
        </w:tc>
      </w:tr>
      <w:tr>
        <w:trPr>
          <w:trHeight w:val="161"/>
        </w:trPr>
        <w:tc>
          <w:tcPr>
            <w:tcW w:w="4140" w:type="dxa"/>
            <w:vAlign w:val="bottom"/>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Realized gains (losses) on sale of available for sale</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of securities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gains (losses) on OTTI securities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Non-Interest Income - other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Accretion of net unrealized loss on securities transferred</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held to maturity</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 income - securities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reclassifications, net of income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Prior service credit on pension plans and other</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reclassifications, net of income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reclassifications, net of income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INVESTMENT SECURITIES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 to maturity as of September 30, 2022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80" w:type="dxa"/>
            <w:vAlign w:val="bottom"/>
          </w:tcPr>
          <w:p>
            <w:pPr>
              <w:spacing w:after="0"/>
              <w:rPr>
                <w:sz w:val="15"/>
                <w:szCs w:val="15"/>
                <w:color w:val="auto"/>
              </w:rPr>
            </w:pPr>
          </w:p>
        </w:tc>
        <w:tc>
          <w:tcPr>
            <w:tcW w:w="132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5"/>
                <w:szCs w:val="15"/>
                <w:color w:val="auto"/>
              </w:rPr>
            </w:pPr>
          </w:p>
        </w:tc>
        <w:tc>
          <w:tcPr>
            <w:tcW w:w="132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00" w:type="dxa"/>
            <w:vAlign w:val="bottom"/>
          </w:tcPr>
          <w:p>
            <w:pPr>
              <w:spacing w:after="0"/>
              <w:rPr>
                <w:sz w:val="15"/>
                <w:szCs w:val="15"/>
                <w:color w:val="auto"/>
              </w:rPr>
            </w:pPr>
          </w:p>
        </w:tc>
        <w:tc>
          <w:tcPr>
            <w:tcW w:w="11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6"/>
                <w:szCs w:val="16"/>
                <w:color w:val="auto"/>
              </w:rPr>
            </w:pPr>
          </w:p>
        </w:tc>
        <w:tc>
          <w:tcPr>
            <w:tcW w:w="132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00" w:type="dxa"/>
            <w:vAlign w:val="bottom"/>
          </w:tcPr>
          <w:p>
            <w:pPr>
              <w:spacing w:after="0"/>
              <w:rPr>
                <w:sz w:val="19"/>
                <w:szCs w:val="19"/>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59"/>
        </w:trPr>
        <w:tc>
          <w:tcPr>
            <w:tcW w:w="5300" w:type="dxa"/>
            <w:vAlign w:val="bottom"/>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Mortgage-related:</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GSE residential certificates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GSE residential CMOs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419,862</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GSE commercial certificates &amp; CMO</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268,312</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Non-GSE residential certificates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111,148</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commercial certificates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98,142</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969,676</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(72,334)</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897,464</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U.S. Treasury</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ABS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902,758</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Trust preferred</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139,090</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1,117,511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(57,489)</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1,060,022</w:t>
            </w: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2,087,187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(129,823)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1,957,486</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Mortgage-related: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GSE CMOs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67,287</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GSE commercial certificates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79,096</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GSE residential certificates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 GSE commercial certificates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29,192</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 GSE residential certificates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46,028</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246,348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222,005</w:t>
            </w:r>
          </w:p>
        </w:tc>
        <w:tc>
          <w:tcPr>
            <w:tcW w:w="0" w:type="dxa"/>
            <w:vAlign w:val="bottom"/>
          </w:tcPr>
          <w:p>
            <w:pPr>
              <w:spacing w:after="0"/>
              <w:rPr>
                <w:sz w:val="1"/>
                <w:szCs w:val="1"/>
                <w:color w:val="auto"/>
              </w:rPr>
            </w:pPr>
          </w:p>
        </w:tc>
      </w:tr>
      <w:tr>
        <w:trPr>
          <w:trHeight w:val="20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ABS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277,265</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Commercial PACE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199,553</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Residential PACE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590,921</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Municipal</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77,645</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1,246,075</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(98,697)</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1,147,378</w:t>
            </w: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held to maturity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1,492,423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(123,040)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1,369,383</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available for sale securities with a fair value of $730.2 million were pledged with $309.6 million held-to-maturity securities being pledged. The majority of the securities were pledged to the Federal Home Loan Bank of New York</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(“FHLB”) to secure outstanding advances, letters of credit and to provide additional borrowing potential. In addition, securities were pledged to provide capacity to borrow from the Federal Reserve Bank and to collateralize municipal deposits.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 to maturity as of December 31, 2021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00" w:type="dxa"/>
            <w:vAlign w:val="bottom"/>
          </w:tcPr>
          <w:p>
            <w:pPr>
              <w:spacing w:after="0"/>
              <w:rPr>
                <w:sz w:val="15"/>
                <w:szCs w:val="15"/>
                <w:color w:val="auto"/>
              </w:rPr>
            </w:pP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80" w:type="dxa"/>
            <w:vAlign w:val="bottom"/>
          </w:tcPr>
          <w:p>
            <w:pPr>
              <w:spacing w:after="0"/>
              <w:rPr>
                <w:sz w:val="15"/>
                <w:szCs w:val="15"/>
                <w:color w:val="auto"/>
              </w:rPr>
            </w:pPr>
          </w:p>
        </w:tc>
        <w:tc>
          <w:tcPr>
            <w:tcW w:w="124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5"/>
                <w:szCs w:val="15"/>
                <w:color w:val="auto"/>
              </w:rPr>
            </w:pPr>
          </w:p>
        </w:tc>
        <w:tc>
          <w:tcPr>
            <w:tcW w:w="124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5"/>
                <w:szCs w:val="15"/>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60" w:type="dxa"/>
            <w:vAlign w:val="bottom"/>
          </w:tcPr>
          <w:p>
            <w:pPr>
              <w:spacing w:after="0"/>
              <w:rPr>
                <w:sz w:val="21"/>
                <w:szCs w:val="21"/>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7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Available for sale:</w:t>
            </w: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Mortgage-related:</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GSE residential certificates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0" w:type="dxa"/>
            <w:vAlign w:val="bottom"/>
          </w:tcPr>
          <w:p>
            <w:pPr>
              <w:spacing w:after="0"/>
              <w:rPr>
                <w:sz w:val="1"/>
                <w:szCs w:val="1"/>
                <w:color w:val="auto"/>
              </w:rPr>
            </w:pPr>
          </w:p>
        </w:tc>
      </w:tr>
      <w:tr>
        <w:trPr>
          <w:trHeight w:val="229"/>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residential CMOs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463,883</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GSE commercial certificates &amp; CMO</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370,364</w:t>
            </w:r>
          </w:p>
        </w:tc>
        <w:tc>
          <w:tcPr>
            <w:tcW w:w="0" w:type="dxa"/>
            <w:vAlign w:val="bottom"/>
          </w:tcPr>
          <w:p>
            <w:pPr>
              <w:spacing w:after="0"/>
              <w:rPr>
                <w:sz w:val="1"/>
                <w:szCs w:val="1"/>
                <w:color w:val="auto"/>
              </w:rPr>
            </w:pPr>
          </w:p>
        </w:tc>
      </w:tr>
      <w:tr>
        <w:trPr>
          <w:trHeight w:val="230"/>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Non-GSE residential certificates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66,139</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commercial certificates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81,101</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977,144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985,454</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 Treasury</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989,188</w:t>
            </w:r>
          </w:p>
        </w:tc>
        <w:tc>
          <w:tcPr>
            <w:tcW w:w="0" w:type="dxa"/>
            <w:vAlign w:val="bottom"/>
          </w:tcPr>
          <w:p>
            <w:pPr>
              <w:spacing w:after="0"/>
              <w:rPr>
                <w:sz w:val="1"/>
                <w:szCs w:val="1"/>
                <w:color w:val="auto"/>
              </w:rPr>
            </w:pPr>
          </w:p>
        </w:tc>
      </w:tr>
      <w:tr>
        <w:trPr>
          <w:trHeight w:val="229"/>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Trust preferred</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124,421</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1,125,905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1,127,956</w:t>
            </w:r>
          </w:p>
        </w:tc>
        <w:tc>
          <w:tcPr>
            <w:tcW w:w="0" w:type="dxa"/>
            <w:vAlign w:val="bottom"/>
          </w:tcPr>
          <w:p>
            <w:pPr>
              <w:spacing w:after="0"/>
              <w:rPr>
                <w:sz w:val="1"/>
                <w:szCs w:val="1"/>
                <w:color w:val="auto"/>
              </w:rPr>
            </w:pPr>
          </w:p>
        </w:tc>
      </w:tr>
      <w:tr>
        <w:trPr>
          <w:trHeight w:val="237"/>
        </w:trPr>
        <w:tc>
          <w:tcPr>
            <w:tcW w:w="5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available for sale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2,103,049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2,113,410</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Mortgage-related:</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commercial certificates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GSE residential certificates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30"/>
        </w:trPr>
        <w:tc>
          <w:tcPr>
            <w:tcW w:w="5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 GSE commercial certificates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 GSE residential certificates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52,313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51,573</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debt: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75,751</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PACE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633,327</w:t>
            </w:r>
          </w:p>
        </w:tc>
        <w:tc>
          <w:tcPr>
            <w:tcW w:w="0" w:type="dxa"/>
            <w:vAlign w:val="bottom"/>
          </w:tcPr>
          <w:p>
            <w:pPr>
              <w:spacing w:after="0"/>
              <w:rPr>
                <w:sz w:val="1"/>
                <w:szCs w:val="1"/>
                <w:color w:val="auto"/>
              </w:rPr>
            </w:pPr>
          </w:p>
        </w:tc>
      </w:tr>
      <w:tr>
        <w:trPr>
          <w:trHeight w:val="230"/>
        </w:trPr>
        <w:tc>
          <w:tcPr>
            <w:tcW w:w="5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Municipal</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85,951</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791,256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798,131</w:t>
            </w:r>
          </w:p>
        </w:tc>
        <w:tc>
          <w:tcPr>
            <w:tcW w:w="0" w:type="dxa"/>
            <w:vAlign w:val="bottom"/>
          </w:tcPr>
          <w:p>
            <w:pPr>
              <w:spacing w:after="0"/>
              <w:rPr>
                <w:sz w:val="1"/>
                <w:szCs w:val="1"/>
                <w:color w:val="auto"/>
              </w:rPr>
            </w:pPr>
          </w:p>
        </w:tc>
      </w:tr>
      <w:tr>
        <w:trPr>
          <w:trHeight w:val="236"/>
        </w:trPr>
        <w:tc>
          <w:tcPr>
            <w:tcW w:w="5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held to maturity</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843,569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849,704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reassessed the classification of certain investments during the nine months ended September 30, 2022 and transferred securities with a book value of $277.3 million from available-for-sale to held-to-maturity. The transfer occurred at a fair value totaling $260.1 million. The related unrealized losses of $17.1 million were converted to a discount that is being accreted through interest income on a level-yield method over the term of the securities, while the unrealized losses recorded in other comprehensive income are amortized out of other comprehensive income through interest income on a level-yield method over the remaining term of securities, with no net change to interest income. No gain or loss was recorded at the time of transfer.</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transfers to or from securities held-to-maturity during the three months ended September 30, 2022 or the three or nine months ended September 30, 2021.</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amortized cost and fair value of debt securities available for sale and held to maturity, exclusive of mortgage-backed securities, by their contractual maturity as of September 30, 2022. Actual maturities may differ from contractual maturities because borrowers may have the right to call or prepay obligations with or without penalty: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36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5"/>
                <w:szCs w:val="15"/>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5"/>
                <w:szCs w:val="15"/>
                <w:color w:val="auto"/>
              </w:rPr>
            </w:pPr>
          </w:p>
        </w:tc>
        <w:tc>
          <w:tcPr>
            <w:tcW w:w="142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60" w:type="dxa"/>
            <w:vAlign w:val="bottom"/>
          </w:tcPr>
          <w:p>
            <w:pPr>
              <w:spacing w:after="0"/>
              <w:rPr>
                <w:sz w:val="15"/>
                <w:szCs w:val="15"/>
                <w:color w:val="auto"/>
              </w:rPr>
            </w:pPr>
          </w:p>
        </w:tc>
        <w:tc>
          <w:tcPr>
            <w:tcW w:w="13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40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66,719</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431,372</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561,931</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1,227,665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1,129,664</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1,117,511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1,060,022</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1,147,378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and gains and losses realized on sales of securities are summarized below:</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20"/>
                <w:szCs w:val="20"/>
                <w:color w:val="auto"/>
              </w:rPr>
            </w:pPr>
          </w:p>
        </w:tc>
        <w:tc>
          <w:tcPr>
            <w:tcW w:w="20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14"/>
                <w:szCs w:val="14"/>
                <w:color w:val="auto"/>
              </w:rPr>
            </w:pPr>
          </w:p>
        </w:tc>
        <w:tc>
          <w:tcPr>
            <w:tcW w:w="166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5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0" w:type="dxa"/>
            <w:vAlign w:val="bottom"/>
          </w:tcPr>
          <w:p>
            <w:pPr>
              <w:spacing w:after="0"/>
              <w:rPr>
                <w:sz w:val="1"/>
                <w:szCs w:val="1"/>
                <w:color w:val="auto"/>
              </w:rPr>
            </w:pPr>
          </w:p>
        </w:tc>
      </w:tr>
      <w:tr>
        <w:trPr>
          <w:trHeight w:val="243"/>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1"/>
                <w:szCs w:val="21"/>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Pr>
          <w:p>
            <w:pPr>
              <w:spacing w:after="0"/>
              <w:rPr>
                <w:sz w:val="21"/>
                <w:szCs w:val="21"/>
                <w:color w:val="auto"/>
              </w:rPr>
            </w:pPr>
          </w:p>
        </w:tc>
        <w:tc>
          <w:tcPr>
            <w:tcW w:w="1660" w:type="dxa"/>
            <w:vAlign w:val="bottom"/>
            <w:gridSpan w:val="3"/>
            <w:vMerge w:val="continue"/>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400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31,603</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132,105</w:t>
            </w: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controls and monitors inherent credit risk in its securities portfolio through due diligence, diversification, concentration limits, periodic securities reviews, and by investing in low risk securities. This includes high quality Non Agency Securities, low LTV PACE Bonds and a significant portion of the securities portfolio in U.S. Government sponsored entity (“GSE”) obligations. GSEs include the Federal Home Loan Mortgage Corporation (“FHLMC”), the Federal National Mortgage Association (“FNMA”), the Government National Mortgage Association (“GNMA”) and the Small Business Administration (“SBA”). GNMA is a wholly owned U.S. Government corporation whereas FHLMC and FNMA are private. Mortgage-related securities may include mortgage pass-through certificates, participation certificates and collateralized mortgage obligations (“CMOs”).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summarizes the fair value and unrealized losses for those available for sale and held to maturity securities as of September 30, 2022 and December 31, 2021, respectively, segregated between securities that have been in an unrealized loss position for less than twelve months and those that have been in a continuous unrealized loss position for twelve months or longer at the respective dates: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160" w:type="dxa"/>
            <w:vAlign w:val="bottom"/>
          </w:tcPr>
          <w:p>
            <w:pPr>
              <w:spacing w:after="0"/>
              <w:rPr>
                <w:sz w:val="24"/>
                <w:szCs w:val="24"/>
                <w:color w:val="auto"/>
              </w:rPr>
            </w:pPr>
          </w:p>
        </w:tc>
        <w:tc>
          <w:tcPr>
            <w:tcW w:w="246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Twelve Months or Longer</w:t>
            </w:r>
          </w:p>
        </w:tc>
        <w:tc>
          <w:tcPr>
            <w:tcW w:w="16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1"/>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11"/>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Mortgage-related:</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GSE residential CMOs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GSE commercial certificates &amp; CMO</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Non-GSE residential certificates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Non-GSE commercial certificates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debt:</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Trust preferred</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97,413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available for sale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Mortgage-related:</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GSE CMOs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GSE commercial certificates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GSE residential certificates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 GSE commercial certificates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 GSE residential certificates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debt:</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ABS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PACE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Residential PACE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held to maturity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1,223,677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(96,785)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145,552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1,369,229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160" w:type="dxa"/>
            <w:vAlign w:val="bottom"/>
          </w:tcPr>
          <w:p>
            <w:pPr>
              <w:spacing w:after="0"/>
              <w:rPr>
                <w:sz w:val="18"/>
                <w:szCs w:val="18"/>
                <w:color w:val="auto"/>
              </w:rPr>
            </w:pPr>
          </w:p>
        </w:tc>
        <w:tc>
          <w:tcPr>
            <w:tcW w:w="246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Twelve Months or Longer</w:t>
            </w:r>
          </w:p>
        </w:tc>
        <w:tc>
          <w:tcPr>
            <w:tcW w:w="1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71"/>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11"/>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3"/>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Mortgage-related:</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GSE residential CMOs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GSE commercial certificates &amp; CMO</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29"/>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Non-GSE residential certificates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Non-GSE commercial certificates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29"/>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debt:</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ABS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0" w:type="dxa"/>
            <w:vAlign w:val="bottom"/>
          </w:tcPr>
          <w:p>
            <w:pPr>
              <w:spacing w:after="0"/>
              <w:rPr>
                <w:sz w:val="1"/>
                <w:szCs w:val="1"/>
                <w:color w:val="auto"/>
              </w:rPr>
            </w:pPr>
          </w:p>
        </w:tc>
      </w:tr>
      <w:tr>
        <w:trPr>
          <w:trHeight w:val="229"/>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Trust preferred</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3"/>
        </w:trPr>
        <w:tc>
          <w:tcPr>
            <w:tcW w:w="3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772,318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268,698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1,041,016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Mortgage-related:</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GSE commercial certificates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 GSE commercial certificates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9"/>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debt:</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ABS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Municipal</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held to maturity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temporary impairment of fixed income securities is primarily attributable to changes in overall market interest rates and/or changes in credit spreads since the investments were acquired. In general, as market interest rates rise and/or credit spreads widen, the fair value of fixed rate securities will decrease, as market interest rates fall and/or credit spreads tighten, the fair value of fixed rate securities will increase. Management considers that the temporary impairment of the Company’s investments in trust preferred securities (“TruPs”) as of September 30, 2022 is primarily due to a widening of credit spreads since the time these investments were acquired, as well as market uncertainty for this class of investments. All of the TruPs were rated investment grade by not less than three nationally recognized statistical rating organization’s (“NRSROs”). All of the issues are current as to their dividend payments and management is not aware of a decision of any trust preferred issuer to exercise its option to defer dividend payments.</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of September 30, 2022, excluding GSE and U.S. Treasury securities and TruPs, discussed above, temporarily impaired securities totaled $2.6 billion with an unrealized loss of $200.6 million. With the exception of PACE securities, which are generally not rated, these securities were rated investment grade by at least one NRSRO with no ratings below investment grade. All issues were current as to their interest payments. We have had insignificant losses on PACE bonds that we have invested in and are not aware of any significant losses in the PACE bonds sector given the low LTV position and the superior lien position on the property. Management considers that the temporary impairment of these investments as of September 30, 2022 is primarily due to an increase in interest rates since the time these investments were acquired.</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the Company’s security investments that are temporarily impaired as of September 30, 2022, management does not intend to sell these investments and does not believe it will be necessary to do so before anticipated recovery. The Company expects to collect all amounts due according to the contractual terms of these investments. Therefore, the Company does not consider these securities to be other-than-temporarily impaired at September 30, 2022. None of these positions or other securities held in the portfolio or sold during the year were purchased with the intent of selling them or would otherwise be classified as trading securities under ASC No. 320, Investments – Debt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2022 and September 30, 2021, the Company recaptured $12.8 thousand and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$7.5 thousand of OTTI, respectively. For the nine months ended September 30, 2022, the Company recaptured $15.9 thousand OTTI, compared to a $4.8 thousand recapture of OTTI for the same period in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Events which may cause material declines in the fair value of debt investments may include, but are not limited to, deterioration of credit metrics, higher incidences of default, worsening liquidity, worsening global or domestic economic conditions or adverse regulatory action. Management does not believe that there are any cases of unrecorded OTTI as of September 30, 2022; however, it is possible that the Company may recognize OTTI in future periods.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LOANS RECEIVABLE, NET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Loans receivable are summarized as follows: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6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59"/>
        </w:trPr>
        <w:tc>
          <w:tcPr>
            <w:tcW w:w="69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729,385</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821,801</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369,429</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31,539</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2,066,825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1,952,154</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1,063,682</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291,818</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retail portfolio</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1,799,803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1,355,500</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loans receivable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3,866,628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3,307,654</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deferred loan origination costs (fees)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loans receivable, net of deferred loan origination costs (fees)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3,871,290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3,312,224</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(35,866)</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3,276,358</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quality of the Company’s loans as of September 30,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More</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Delinquent</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180" w:type="dxa"/>
            <w:vAlign w:val="bottom"/>
          </w:tcPr>
          <w:p>
            <w:pPr>
              <w:spacing w:after="0"/>
              <w:rPr>
                <w:sz w:val="14"/>
                <w:szCs w:val="14"/>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and Still</w:t>
            </w:r>
          </w:p>
        </w:tc>
        <w:tc>
          <w:tcPr>
            <w:tcW w:w="16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Total Past</w:t>
            </w: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and Not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1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Due</w:t>
            </w: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61"/>
        </w:trPr>
        <w:tc>
          <w:tcPr>
            <w:tcW w:w="2920" w:type="dxa"/>
            <w:vAlign w:val="bottom"/>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2,041,840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2,066,825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1,329,433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1,791,772</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1,799,803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3,833,612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3,866,628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quality of the Company’s loans as of December 31, 2021:</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90 Days or</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More</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Delinquent</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and Still</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and Not</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2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20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Total Past</w:t>
            </w: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r>
      <w:tr>
        <w:trPr>
          <w:trHeight w:val="239"/>
        </w:trPr>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1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Due</w:t>
            </w:r>
          </w:p>
        </w:tc>
        <w:tc>
          <w:tcPr>
            <w:tcW w:w="16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Receivable</w:t>
            </w:r>
          </w:p>
        </w:tc>
      </w:tr>
      <w:tr>
        <w:trPr>
          <w:trHeight w:val="166"/>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r>
      <w:tr>
        <w:trPr>
          <w:trHeight w:val="23"/>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729,385</w:t>
            </w: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821,801</w:t>
            </w: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369,429</w:t>
            </w: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31,539</w:t>
            </w:r>
          </w:p>
        </w:tc>
      </w:tr>
      <w:tr>
        <w:trPr>
          <w:trHeight w:val="223"/>
        </w:trPr>
        <w:tc>
          <w:tcPr>
            <w:tcW w:w="29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1,875,262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1,952,154</w:t>
            </w: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1,046,346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1,063,682</w:t>
            </w: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291,818</w:t>
            </w:r>
          </w:p>
        </w:tc>
      </w:tr>
      <w:tr>
        <w:trPr>
          <w:trHeight w:val="223"/>
        </w:trPr>
        <w:tc>
          <w:tcPr>
            <w:tcW w:w="2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12,945</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19,346</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1,336,154</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1,355,500</w:t>
            </w:r>
          </w:p>
        </w:tc>
      </w:tr>
      <w:tr>
        <w:trPr>
          <w:trHeight w:val="248"/>
        </w:trPr>
        <w:tc>
          <w:tcPr>
            <w:tcW w:w="2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3,211,416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3,307,654</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driver of the decrease in non-accrual loans from December 31, 2021 to September 30, 2022 was a $13.2 million transfer of non-accrual loans to loans held for sale.</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 loan modification to be considered a troubled debt restructuring ("TDR") in accordance with ASC 310-40, both of the following conditions must be met: the borrower is experiencing financial difficulty, and the creditor has granted a concession (except for an “insignificant delay in payment”, defined as six months or less). Loans modified as TDRs are placed on non-accrual status until the Company determines that future collection of principal and interest is reasonably assured, which generally requires that the borrower demonstrate performance according to the restructured terms for a period of at least six months. The Company’s TDRs primarily involve rate reductions, forbearance of arrears or extension of maturity. TDRs are included in total impaired loans as of the respective date.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Company’s TDRs as of September 30, 2022 and December 31,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23"/>
        </w:trPr>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7"/>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88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8"/>
                <w:szCs w:val="18"/>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240" w:type="dxa"/>
            <w:vAlign w:val="bottom"/>
          </w:tcPr>
          <w:p>
            <w:pPr>
              <w:spacing w:after="0"/>
              <w:rPr>
                <w:sz w:val="18"/>
                <w:szCs w:val="18"/>
                <w:color w:val="auto"/>
              </w:rPr>
            </w:pPr>
          </w:p>
        </w:tc>
        <w:tc>
          <w:tcPr>
            <w:tcW w:w="84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w:t>
            </w:r>
          </w:p>
        </w:tc>
        <w:tc>
          <w:tcPr>
            <w:tcW w:w="3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15,487</w:t>
            </w:r>
          </w:p>
        </w:tc>
      </w:tr>
      <w:tr>
        <w:trPr>
          <w:trHeight w:val="223"/>
        </w:trPr>
        <w:tc>
          <w:tcPr>
            <w:tcW w:w="38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18,396</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12,322</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30,718</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24,997</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13,497</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38,494</w:t>
            </w:r>
          </w:p>
        </w:tc>
      </w:tr>
      <w:tr>
        <w:trPr>
          <w:trHeight w:val="20"/>
        </w:trPr>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tables present loans that were classified as TDRs during the three and nine months ended September 30, 2022 and 2021. The pre-modification balances represent the recorded investment immediately prior to the modification, and the post-modification balances represent the recorded investment as of the dates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00" w:type="dxa"/>
            <w:vAlign w:val="bottom"/>
            <w:gridSpan w:val="7"/>
          </w:tcPr>
          <w:p>
            <w:pPr>
              <w:jc w:val="center"/>
              <w:ind w:left="974"/>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33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Pre-</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right="75"/>
              <w:spacing w:after="0" w:line="158" w:lineRule="exact"/>
              <w:rPr>
                <w:sz w:val="20"/>
                <w:szCs w:val="20"/>
                <w:color w:val="auto"/>
              </w:rPr>
            </w:pPr>
            <w:r>
              <w:rPr>
                <w:rFonts w:ascii="Times New Roman" w:cs="Times New Roman" w:eastAsia="Times New Roman" w:hAnsi="Times New Roman"/>
                <w:sz w:val="16"/>
                <w:szCs w:val="16"/>
                <w:b w:val="1"/>
                <w:bCs w:val="1"/>
                <w:color w:val="auto"/>
              </w:rPr>
              <w:t>Post-</w:t>
            </w:r>
          </w:p>
        </w:tc>
        <w:tc>
          <w:tcPr>
            <w:tcW w:w="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Pre-</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right="35"/>
              <w:spacing w:after="0" w:line="158" w:lineRule="exact"/>
              <w:rPr>
                <w:sz w:val="20"/>
                <w:szCs w:val="20"/>
                <w:color w:val="auto"/>
              </w:rPr>
            </w:pPr>
            <w:r>
              <w:rPr>
                <w:rFonts w:ascii="Times New Roman" w:cs="Times New Roman" w:eastAsia="Times New Roman" w:hAnsi="Times New Roman"/>
                <w:sz w:val="16"/>
                <w:szCs w:val="16"/>
                <w:b w:val="1"/>
                <w:bCs w:val="1"/>
                <w:color w:val="auto"/>
              </w:rPr>
              <w:t>Post-</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Modification</w:t>
            </w: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Modification</w:t>
            </w:r>
          </w:p>
        </w:tc>
        <w:tc>
          <w:tcPr>
            <w:tcW w:w="11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Modification</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right="35"/>
              <w:spacing w:after="0" w:line="162" w:lineRule="exact"/>
              <w:rPr>
                <w:sz w:val="20"/>
                <w:szCs w:val="20"/>
                <w:color w:val="auto"/>
              </w:rPr>
            </w:pPr>
            <w:r>
              <w:rPr>
                <w:rFonts w:ascii="Times New Roman" w:cs="Times New Roman" w:eastAsia="Times New Roman" w:hAnsi="Times New Roman"/>
                <w:sz w:val="16"/>
                <w:szCs w:val="16"/>
                <w:b w:val="1"/>
                <w:bCs w:val="1"/>
                <w:color w:val="auto"/>
                <w:w w:val="99"/>
              </w:rPr>
              <w:t>Modification</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10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660" w:type="dxa"/>
            <w:vAlign w:val="bottom"/>
            <w:gridSpan w:val="6"/>
          </w:tcPr>
          <w:p>
            <w:pPr>
              <w:jc w:val="center"/>
              <w:ind w:left="952"/>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80" w:type="dxa"/>
            <w:vAlign w:val="bottom"/>
            <w:gridSpan w:val="7"/>
          </w:tcPr>
          <w:p>
            <w:pPr>
              <w:jc w:val="center"/>
              <w:ind w:left="973"/>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80" w:type="dxa"/>
            <w:vAlign w:val="bottom"/>
            <w:tcBorders>
              <w:bottom w:val="single" w:sz="8" w:color="CCEEFF"/>
            </w:tcBorders>
          </w:tcPr>
          <w:p>
            <w:pPr>
              <w:spacing w:after="0"/>
              <w:rPr>
                <w:sz w:val="20"/>
                <w:szCs w:val="20"/>
                <w:color w:val="auto"/>
              </w:rPr>
            </w:pPr>
          </w:p>
        </w:tc>
        <w:tc>
          <w:tcPr>
            <w:tcW w:w="2660" w:type="dxa"/>
            <w:vAlign w:val="bottom"/>
            <w:tcBorders>
              <w:bottom w:val="single" w:sz="8" w:color="auto"/>
            </w:tcBorders>
            <w:gridSpan w:val="6"/>
          </w:tcPr>
          <w:p>
            <w:pPr>
              <w:jc w:val="center"/>
              <w:ind w:left="972"/>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338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Pre-</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54"/>
              <w:spacing w:after="0" w:line="158" w:lineRule="exact"/>
              <w:rPr>
                <w:sz w:val="20"/>
                <w:szCs w:val="20"/>
                <w:color w:val="auto"/>
              </w:rPr>
            </w:pPr>
            <w:r>
              <w:rPr>
                <w:rFonts w:ascii="Times New Roman" w:cs="Times New Roman" w:eastAsia="Times New Roman" w:hAnsi="Times New Roman"/>
                <w:sz w:val="16"/>
                <w:szCs w:val="16"/>
                <w:b w:val="1"/>
                <w:bCs w:val="1"/>
                <w:color w:val="auto"/>
              </w:rPr>
              <w:t>Post-</w:t>
            </w:r>
          </w:p>
        </w:tc>
        <w:tc>
          <w:tcPr>
            <w:tcW w:w="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Pre-</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14"/>
              <w:spacing w:after="0" w:line="158" w:lineRule="exact"/>
              <w:rPr>
                <w:sz w:val="20"/>
                <w:szCs w:val="20"/>
                <w:color w:val="auto"/>
              </w:rPr>
            </w:pPr>
            <w:r>
              <w:rPr>
                <w:rFonts w:ascii="Times New Roman" w:cs="Times New Roman" w:eastAsia="Times New Roman" w:hAnsi="Times New Roman"/>
                <w:sz w:val="16"/>
                <w:szCs w:val="16"/>
                <w:b w:val="1"/>
                <w:bCs w:val="1"/>
                <w:color w:val="auto"/>
              </w:rPr>
              <w:t>Post-</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Modification</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Modification</w:t>
            </w:r>
          </w:p>
        </w:tc>
        <w:tc>
          <w:tcPr>
            <w:tcW w:w="11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Modification</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14"/>
              <w:spacing w:after="0" w:line="162" w:lineRule="exact"/>
              <w:rPr>
                <w:sz w:val="20"/>
                <w:szCs w:val="20"/>
                <w:color w:val="auto"/>
              </w:rPr>
            </w:pPr>
            <w:r>
              <w:rPr>
                <w:rFonts w:ascii="Times New Roman" w:cs="Times New Roman" w:eastAsia="Times New Roman" w:hAnsi="Times New Roman"/>
                <w:sz w:val="16"/>
                <w:szCs w:val="16"/>
                <w:b w:val="1"/>
                <w:bCs w:val="1"/>
                <w:color w:val="auto"/>
                <w:w w:val="99"/>
              </w:rPr>
              <w:t>Modification</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1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Loans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48"/>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 portfolio by credit quality indicator as of September 30,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9"/>
                <w:szCs w:val="19"/>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Pass</w:t>
            </w:r>
          </w:p>
        </w:tc>
        <w:tc>
          <w:tcPr>
            <w:tcW w:w="14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Special Mention</w:t>
            </w:r>
          </w:p>
        </w:tc>
        <w:tc>
          <w:tcPr>
            <w:tcW w:w="200" w:type="dxa"/>
            <w:vAlign w:val="bottom"/>
          </w:tcPr>
          <w:p>
            <w:pPr>
              <w:spacing w:after="0"/>
              <w:rPr>
                <w:sz w:val="19"/>
                <w:szCs w:val="19"/>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Substandard</w:t>
            </w:r>
          </w:p>
        </w:tc>
        <w:tc>
          <w:tcPr>
            <w:tcW w:w="260" w:type="dxa"/>
            <w:vAlign w:val="bottom"/>
          </w:tcPr>
          <w:p>
            <w:pPr>
              <w:spacing w:after="0"/>
              <w:rPr>
                <w:sz w:val="19"/>
                <w:szCs w:val="19"/>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Doubtful</w:t>
            </w:r>
          </w:p>
        </w:tc>
        <w:tc>
          <w:tcPr>
            <w:tcW w:w="340" w:type="dxa"/>
            <w:vAlign w:val="bottom"/>
          </w:tcPr>
          <w:p>
            <w:pPr>
              <w:spacing w:after="0"/>
              <w:rPr>
                <w:sz w:val="19"/>
                <w:szCs w:val="19"/>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778,331</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805,087</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842,685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884,790</w:t>
            </w: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298,374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338,002</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38,946</w:t>
            </w: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1,331,335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1,332,010</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467,793</w:t>
            </w:r>
          </w:p>
        </w:tc>
      </w:tr>
      <w:tr>
        <w:trPr>
          <w:trHeight w:val="248"/>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3,753,658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3,866,628</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 portfolio by credit quality indicator as of December 31,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9"/>
                <w:szCs w:val="19"/>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Pass</w:t>
            </w:r>
          </w:p>
        </w:tc>
        <w:tc>
          <w:tcPr>
            <w:tcW w:w="14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Special Mention</w:t>
            </w:r>
          </w:p>
        </w:tc>
        <w:tc>
          <w:tcPr>
            <w:tcW w:w="200" w:type="dxa"/>
            <w:vAlign w:val="bottom"/>
          </w:tcPr>
          <w:p>
            <w:pPr>
              <w:spacing w:after="0"/>
              <w:rPr>
                <w:sz w:val="19"/>
                <w:szCs w:val="19"/>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Substandard</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Doubtful</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25,908</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729,385</w:t>
            </w: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821,801</w:t>
            </w: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369,429</w:t>
            </w: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31,539</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1,063,682</w:t>
            </w: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291,818</w:t>
            </w: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3,307,654</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classifications follow regulatory guidelines and can be generally described as follows:</w:t>
      </w:r>
    </w:p>
    <w:p>
      <w:pPr>
        <w:spacing w:after="0" w:line="11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 loans are of satisfactory quality;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mention loans have a potential weakness or risk that may result in the deterioration of future repayment;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substandard loans are inadequately protected by the current net worth and paying capacity of the borrower or of the collateral pledged (these loans have a well-defined weakness, and there is a distinct possibility that the Company will sustain some loss);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doubtful loans, based on existing circumstances, have weaknesses that make collection or liquidation in full highly questionable and improbable.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residential loans are classified utilizing an inter-agency methodology that incorporates the extent of delinquency. Assigned risk rating grades are continuously updated as new information is obtained.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methods used to evaluate the Company’s loans for impairment by portfolio, and the Company’s allowance by portfolio based upon the method of evaluating loan impairment as of September 30, 2022:</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Commercial</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Construction and</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20" w:type="dxa"/>
            <w:vAlign w:val="bottom"/>
          </w:tcPr>
          <w:p>
            <w:pPr>
              <w:spacing w:after="0"/>
              <w:rPr>
                <w:sz w:val="16"/>
                <w:szCs w:val="16"/>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Multifamily</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Land</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Industrial</w:t>
            </w: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Lending</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Individually evaluated for</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38,217</w:t>
            </w:r>
          </w:p>
        </w:tc>
        <w:tc>
          <w:tcPr>
            <w:tcW w:w="0" w:type="dxa"/>
            <w:vAlign w:val="bottom"/>
          </w:tcPr>
          <w:p>
            <w:pPr>
              <w:spacing w:after="0"/>
              <w:rPr>
                <w:sz w:val="1"/>
                <w:szCs w:val="1"/>
                <w:color w:val="auto"/>
              </w:rPr>
            </w:pPr>
          </w:p>
        </w:tc>
      </w:tr>
      <w:tr>
        <w:trPr>
          <w:trHeight w:val="175"/>
        </w:trPr>
        <w:tc>
          <w:tcPr>
            <w:tcW w:w="25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Collectively evaluated for</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790,012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870,813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333,088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1,330,183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467,793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3,828,411</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3,866,628</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Individually evaluated for</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Collectively evaluated for</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36,903</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allowance for loan losses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regarding the methods used to evaluate the Company’s loans for impairment by portfolio, and the Company’s allowance by portfolio based upon the method of evaluating loan impairment as of December 31, 2021:</w:t>
      </w:r>
    </w:p>
    <w:tbl>
      <w:tblPr>
        <w:tblLayout w:type="fixed"/>
        <w:tblInd w:w="0" w:type="dxa"/>
        <w:tblCellMar>
          <w:top w:w="0" w:type="dxa"/>
          <w:left w:w="0" w:type="dxa"/>
          <w:bottom w:w="0" w:type="dxa"/>
          <w:right w:w="0" w:type="dxa"/>
        </w:tblCellMar>
      </w:tblPr>
      <w:tr>
        <w:trPr>
          <w:trHeight w:val="165"/>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Commercial</w:t>
            </w:r>
          </w:p>
        </w:tc>
        <w:tc>
          <w:tcPr>
            <w:tcW w:w="1380" w:type="dxa"/>
            <w:vAlign w:val="bottom"/>
            <w:gridSpan w:val="3"/>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Construction and</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4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Multifamily</w:t>
            </w: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Land</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Real Estate</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Industrial</w:t>
            </w: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Lending</w:t>
            </w: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Individually evaluated for</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53,216</w:t>
            </w:r>
          </w:p>
        </w:tc>
        <w:tc>
          <w:tcPr>
            <w:tcW w:w="0" w:type="dxa"/>
            <w:vAlign w:val="bottom"/>
          </w:tcPr>
          <w:p>
            <w:pPr>
              <w:spacing w:after="0"/>
              <w:rPr>
                <w:sz w:val="1"/>
                <w:szCs w:val="1"/>
                <w:color w:val="auto"/>
              </w:rPr>
            </w:pPr>
          </w:p>
        </w:tc>
      </w:tr>
      <w:tr>
        <w:trPr>
          <w:trHeight w:val="176"/>
        </w:trPr>
        <w:tc>
          <w:tcPr>
            <w:tcW w:w="26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Collectively evaluated for</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716,600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818,894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365,375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1,037,688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291,818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3,254,438</w:t>
            </w:r>
          </w:p>
        </w:tc>
        <w:tc>
          <w:tcPr>
            <w:tcW w:w="0" w:type="dxa"/>
            <w:vAlign w:val="bottom"/>
          </w:tcPr>
          <w:p>
            <w:pPr>
              <w:spacing w:after="0"/>
              <w:rPr>
                <w:sz w:val="1"/>
                <w:szCs w:val="1"/>
                <w:color w:val="auto"/>
              </w:rPr>
            </w:pPr>
          </w:p>
        </w:tc>
      </w:tr>
      <w:tr>
        <w:trPr>
          <w:trHeight w:val="248"/>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3,307,654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Individually evaluated for</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Collectively evaluated for</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30,761</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allowance for loan losses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three months ended September 30, 2022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7"/>
              </w:rPr>
              <w:t>Commercial</w:t>
            </w:r>
          </w:p>
        </w:tc>
        <w:tc>
          <w:tcPr>
            <w:tcW w:w="4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Construction and</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Consumer and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Multifamily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Land</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Real Estate</w:t>
            </w:r>
          </w:p>
        </w:tc>
        <w:tc>
          <w:tcPr>
            <w:tcW w:w="12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18"/>
                <w:szCs w:val="18"/>
                <w:color w:val="auto"/>
              </w:rPr>
            </w:pP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and Industrial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Lending</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39,477</w:t>
            </w: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Provision for (recovery of) loan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48"/>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7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three months ended September 30, 2021 are as follows: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Commercial</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Consumer and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Multifamily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and Land</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Real Estate</w:t>
            </w:r>
          </w:p>
        </w:tc>
        <w:tc>
          <w:tcPr>
            <w:tcW w:w="12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18"/>
                <w:szCs w:val="18"/>
                <w:color w:val="auto"/>
              </w:rPr>
            </w:pPr>
          </w:p>
        </w:tc>
        <w:tc>
          <w:tcPr>
            <w:tcW w:w="12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and Industrial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Lending</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38,012</w:t>
            </w: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Provision for (recovery of) loan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48"/>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35,863</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nine months ended September 30, 2022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2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Consumer and</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Multifamily</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and Land</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Real Estate</w:t>
            </w:r>
          </w:p>
        </w:tc>
        <w:tc>
          <w:tcPr>
            <w:tcW w:w="12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Industrial</w:t>
            </w: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Lending</w:t>
            </w:r>
          </w:p>
        </w:tc>
        <w:tc>
          <w:tcPr>
            <w:tcW w:w="24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35,866</w:t>
            </w:r>
          </w:p>
        </w:tc>
        <w:tc>
          <w:tcPr>
            <w:tcW w:w="0" w:type="dxa"/>
            <w:vAlign w:val="bottom"/>
          </w:tcPr>
          <w:p>
            <w:pPr>
              <w:spacing w:after="0"/>
              <w:rPr>
                <w:sz w:val="1"/>
                <w:szCs w:val="1"/>
                <w:color w:val="auto"/>
              </w:rPr>
            </w:pPr>
          </w:p>
        </w:tc>
      </w:tr>
      <w:tr>
        <w:trPr>
          <w:trHeight w:val="184"/>
        </w:trPr>
        <w:tc>
          <w:tcPr>
            <w:tcW w:w="25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Provision for (recovery of) loan</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48"/>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nine months ended September 30, 2021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Commercial</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Consumer and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Multifamily</w:t>
            </w: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and Land</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Real Estate</w:t>
            </w:r>
          </w:p>
        </w:tc>
        <w:tc>
          <w:tcPr>
            <w:tcW w:w="12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and Industrial</w:t>
            </w: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Lending</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41,589</w:t>
            </w: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Provision for (recovery of) loan</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r>
        <w:trPr>
          <w:trHeight w:val="248"/>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35,863</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28" w:name="page29"/>
    <w:bookmarkEnd w:id="2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is additional information regarding the Company’s individually impaired loans and the allowance related to such loans as of and for the year ended September 30, 2022 and December 31,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180" w:type="dxa"/>
            <w:vAlign w:val="bottom"/>
          </w:tcPr>
          <w:p>
            <w:pPr>
              <w:spacing w:after="0"/>
              <w:rPr>
                <w:sz w:val="15"/>
                <w:szCs w:val="15"/>
                <w:color w:val="auto"/>
              </w:rPr>
            </w:pPr>
          </w:p>
        </w:tc>
        <w:tc>
          <w:tcPr>
            <w:tcW w:w="124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5"/>
                <w:szCs w:val="15"/>
                <w:color w:val="auto"/>
              </w:rPr>
            </w:pPr>
          </w:p>
        </w:tc>
        <w:tc>
          <w:tcPr>
            <w:tcW w:w="120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8"/>
                <w:szCs w:val="18"/>
                <w:b w:val="1"/>
                <w:bCs w:val="1"/>
                <w:color w:val="auto"/>
                <w:w w:val="98"/>
              </w:rPr>
              <w:t>Unpaid</w:t>
            </w:r>
          </w:p>
        </w:tc>
        <w:tc>
          <w:tcPr>
            <w:tcW w:w="180" w:type="dxa"/>
            <w:vAlign w:val="bottom"/>
          </w:tcPr>
          <w:p>
            <w:pPr>
              <w:spacing w:after="0"/>
              <w:rPr>
                <w:sz w:val="15"/>
                <w:szCs w:val="15"/>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0" w:type="dxa"/>
            <w:vAlign w:val="bottom"/>
          </w:tcPr>
          <w:p>
            <w:pPr>
              <w:spacing w:after="0"/>
              <w:rPr>
                <w:sz w:val="1"/>
                <w:szCs w:val="1"/>
                <w:color w:val="auto"/>
              </w:rPr>
            </w:pPr>
          </w:p>
        </w:tc>
      </w:tr>
      <w:tr>
        <w:trPr>
          <w:trHeight w:val="184"/>
        </w:trPr>
        <w:tc>
          <w:tcPr>
            <w:tcW w:w="4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Recorded</w:t>
            </w:r>
          </w:p>
        </w:tc>
        <w:tc>
          <w:tcPr>
            <w:tcW w:w="200" w:type="dxa"/>
            <w:vAlign w:val="bottom"/>
          </w:tcPr>
          <w:p>
            <w:pPr>
              <w:spacing w:after="0"/>
              <w:rPr>
                <w:sz w:val="16"/>
                <w:szCs w:val="16"/>
                <w:color w:val="auto"/>
              </w:rPr>
            </w:pPr>
          </w:p>
        </w:tc>
        <w:tc>
          <w:tcPr>
            <w:tcW w:w="120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Principal</w:t>
            </w: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8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without a related allowance:</w:t>
            </w:r>
          </w:p>
        </w:tc>
        <w:tc>
          <w:tcPr>
            <w:tcW w:w="1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5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with a related allowance: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Multifamily</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individually impaired loans: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Multifamily</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45,716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4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Unpaid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0" w:type="dxa"/>
            <w:vAlign w:val="bottom"/>
          </w:tcPr>
          <w:p>
            <w:pPr>
              <w:spacing w:after="0"/>
              <w:rPr>
                <w:sz w:val="1"/>
                <w:szCs w:val="1"/>
                <w:color w:val="auto"/>
              </w:rPr>
            </w:pPr>
          </w:p>
        </w:tc>
      </w:tr>
      <w:tr>
        <w:trPr>
          <w:trHeight w:val="238"/>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8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0" w:type="dxa"/>
            <w:vAlign w:val="bottom"/>
          </w:tcPr>
          <w:p>
            <w:pPr>
              <w:spacing w:after="0"/>
              <w:rPr>
                <w:sz w:val="1"/>
                <w:szCs w:val="1"/>
                <w:color w:val="auto"/>
              </w:rPr>
            </w:pPr>
          </w:p>
        </w:tc>
      </w:tr>
      <w:tr>
        <w:trPr>
          <w:trHeight w:val="2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Loans without a related allowance:</w:t>
            </w: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5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with a related allowance: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Multifamily</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individually impaired loans: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Multifamily</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3"/>
        </w:trPr>
        <w:tc>
          <w:tcPr>
            <w:tcW w:w="4160" w:type="dxa"/>
            <w:vAlign w:val="bottom"/>
          </w:tcPr>
          <w:p>
            <w:pPr>
              <w:spacing w:after="0"/>
              <w:rPr>
                <w:sz w:val="24"/>
                <w:szCs w:val="24"/>
                <w:color w:val="auto"/>
              </w:rPr>
            </w:pPr>
          </w:p>
        </w:tc>
        <w:tc>
          <w:tcPr>
            <w:tcW w:w="1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mortgage loans with an unpaid principal balance of $0.8 billion and $1.1 billion, respectively, were pledged to the FHLB to secure outstanding advances and letters of credit.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$1.6 million in related party loans outstanding as of September 30, 2022 compared to $0.5 million related party loans for December 31, 2021.</w:t>
      </w:r>
    </w:p>
    <w:p>
      <w:pPr>
        <w:spacing w:after="0" w:line="3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38" w:right="519" w:bottom="1440" w:gutter="0" w:footer="0" w:header="0"/>
        </w:sectPr>
      </w:pPr>
    </w:p>
    <w:bookmarkStart w:id="30" w:name="page31"/>
    <w:bookmarkEnd w:id="3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DEPOSITS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Deposits are summarized as follows: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60" w:type="dxa"/>
            <w:vAlign w:val="bottom"/>
          </w:tcPr>
          <w:p>
            <w:pPr>
              <w:spacing w:after="0"/>
              <w:rPr>
                <w:sz w:val="24"/>
                <w:szCs w:val="24"/>
                <w:color w:val="auto"/>
              </w:rPr>
            </w:pPr>
          </w:p>
        </w:tc>
        <w:tc>
          <w:tcPr>
            <w:tcW w:w="28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74"/>
        </w:trPr>
        <w:tc>
          <w:tcPr>
            <w:tcW w:w="48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jc w:val="right"/>
              <w:ind w:right="10"/>
              <w:spacing w:after="0" w:line="174"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8"/>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Rate</w:t>
            </w:r>
          </w:p>
        </w:tc>
        <w:tc>
          <w:tcPr>
            <w:tcW w:w="2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159"/>
        </w:trPr>
        <w:tc>
          <w:tcPr>
            <w:tcW w:w="4840" w:type="dxa"/>
            <w:vAlign w:val="bottom"/>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bearing demand deposit accounts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3,839,155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3,335,005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204,473</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210,844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deposit accounts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2,549,024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2,227,953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384,644</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375,301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183,011</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207,152</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0.32 %</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7,160,307</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6,356,255</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maturities of time deposits as of September 30, 2022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1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62,249</w:t>
            </w:r>
          </w:p>
        </w:tc>
      </w:tr>
      <w:tr>
        <w:trPr>
          <w:trHeight w:val="229"/>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87,543</w:t>
            </w:r>
          </w:p>
        </w:tc>
      </w:tr>
      <w:tr>
        <w:trPr>
          <w:trHeight w:val="229"/>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26,096</w:t>
            </w:r>
          </w:p>
        </w:tc>
      </w:tr>
      <w:tr>
        <w:trPr>
          <w:trHeight w:val="23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r>
      <w:tr>
        <w:trPr>
          <w:trHeight w:val="229"/>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30"/>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48"/>
        </w:trPr>
        <w:tc>
          <w:tcPr>
            <w:tcW w:w="1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183,011</w:t>
            </w: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deposits of $250,000 or more totaled $48.5 million as of September 30, 2022 and $43.7 million as of December 31, 2021.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Bank will issue time deposits through the Certificate of Deposit Account Registry Service (“CDARS”) for the purpose of providing FDIC insurance to bank customers with balances in excess of FDIC insurance limits. CDARS deposits totaled approximately $41.3 million and $56.0 million as of September 30, 2022 and December 31, 2021, respectively, and are included in Time deposits above.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deposits included deposits from Workers United and its related entities in the amounts of $56.4 million as of September 30, 2022 and $99.9 million as of December 31, 2021.</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Included in total deposits are state and municipal deposits totaling $35.9 million and $65.5 million as of September 30, 2022 and December 31, 2021, respectively. Such deposits are secured by letters of credit issued by the FHLB or by securities pledged with the FHLB.</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BORROWED FUNDS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8, 2021, the Company completed a public offering of $85.0 million of aggregated principal amount of 3.250% Fixed-to-Floating Rate subordinated notes due 2031 (the "Notes"). The fixed rate period is defined from and including November 8, 2021 to, but excluding, November 15, 2026, or the date of earlier redemption. The floating rate period is defined from and including November 15, 2026 to, but excluding, November 15, 2031, or the date of earlier redemption. The floating rate per annum is equal to three-month term SOFR (the "benchmark rate") plus a spread of 230 basis points for each quarterly interest period during the floating rate period, provided however, that if the benchmark rate is less than zero, the benchmark rate shall be deemed to be zero. The subordinated notes will mature on November 15, 2031.</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at its option, beginning with the interest payment date of November 15, 2026, and on any interest payment date thereafter, redeem the Notes, in whole or in part, from time to time, subject to obtaining prior approval of the Board of Governors of the Federal Reserve System (the "Federal Reserve Board") to the extent such approval is then required under the capital adequacy rules of the Federal Reserve Board, at a redemption price equal to 100% of the principal amount of the Notes being redeemed, plus accrued and unpaid interest to, but excluding, the date of redemption.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26, 2022 and September 29, 2022 the Company repurchased $3.25 million and $3.0 million, respectively, of the subordinated notes due on November 15, 2031.</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FHLB advances are collateralized by the FHLB stock owned by the Bank plus a pledge of other eligible assets comprised of securities and mortgage loans. Assets are pledged to collateral capacity. As of September 30, 2022, the value of the other eligible assets had an estimated market value net of haircut totaling $1.4 billion (comprised of securities of $686.7 million and mortgage loans of $666.5 million). The fair value of assets pledged to the FHLB is required to be not less than 110% of the outstanding advances. There were $75 million outstanding FHLB advances as of September 30, 2022 and no outstanding FHLB advances as of December 31, 2021. FHLB advances are presented as Borrowed funds on the Consolidated Statements of Financial Condition.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two-class method, earnings available to common stockholders for the period are allocated between common stockholders and participating securities according to participation rights in undistributed earnings. Our time-based and performance-based restricted stock units are not considered participating securities as they do not receive dividend distributions until satisfaction of the related vesting requirements. As of September 30, 2022 and September 30, 2021, we had 0.4 million and 0.4 million anti-dilutive shares,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table setting forth the factors used in the earnings per share computation follow: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60" w:type="dxa"/>
            <w:vAlign w:val="bottom"/>
          </w:tcPr>
          <w:p>
            <w:pPr>
              <w:spacing w:after="0"/>
              <w:rPr>
                <w:sz w:val="17"/>
                <w:szCs w:val="17"/>
                <w:color w:val="auto"/>
              </w:rPr>
            </w:pPr>
          </w:p>
        </w:tc>
        <w:tc>
          <w:tcPr>
            <w:tcW w:w="22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260" w:type="dxa"/>
            <w:vAlign w:val="bottom"/>
          </w:tcPr>
          <w:p>
            <w:pPr>
              <w:spacing w:after="0"/>
              <w:rPr>
                <w:sz w:val="20"/>
                <w:szCs w:val="20"/>
                <w:color w:val="auto"/>
              </w:rPr>
            </w:pPr>
          </w:p>
        </w:tc>
        <w:tc>
          <w:tcPr>
            <w:tcW w:w="22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59"/>
        </w:trPr>
        <w:tc>
          <w:tcPr>
            <w:tcW w:w="51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Amalgamated Financial Corp.</w:t>
            </w: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37,013</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on preferred stock</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6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37,013</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31,216</w:t>
            </w: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0.46</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37,013</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31,216</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Incremental shares from assumed conversion of options and RSUs</w:t>
            </w:r>
          </w:p>
        </w:tc>
        <w:tc>
          <w:tcPr>
            <w:tcW w:w="6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31,584</w:t>
            </w: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0.46</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18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EMPLOYEE BENEFIT PLANS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Term Incentive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currently maintain an active stock option plan that is available for issuing new options. As of January 1, 2021, all options are fully vested and the Company will not incur any further expense related to options.</w:t>
      </w:r>
    </w:p>
    <w:p>
      <w:pPr>
        <w:spacing w:after="0"/>
        <w:rPr>
          <w:sz w:val="20"/>
          <w:szCs w:val="20"/>
          <w:color w:val="auto"/>
        </w:rPr>
      </w:pPr>
      <w:r>
        <w:rPr>
          <w:rFonts w:ascii="Times New Roman" w:cs="Times New Roman" w:eastAsia="Times New Roman" w:hAnsi="Times New Roman"/>
          <w:sz w:val="18"/>
          <w:szCs w:val="18"/>
          <w:color w:val="auto"/>
        </w:rPr>
        <w:t>A summary of the status of the Company’s options as of September 30, 2022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0" w:type="dxa"/>
            <w:vAlign w:val="bottom"/>
            <w:gridSpan w:val="2"/>
          </w:tcPr>
          <w:p>
            <w:pPr>
              <w:jc w:val="center"/>
              <w:ind w:right="6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0" w:type="dxa"/>
            <w:vAlign w:val="bottom"/>
            <w:gridSpan w:val="2"/>
          </w:tcPr>
          <w:p>
            <w:pPr>
              <w:jc w:val="center"/>
              <w:ind w:right="6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13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42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000" w:type="dxa"/>
            <w:vAlign w:val="bottom"/>
            <w:gridSpan w:val="2"/>
          </w:tcPr>
          <w:p>
            <w:pPr>
              <w:jc w:val="center"/>
              <w:ind w:right="630"/>
              <w:spacing w:after="0" w:line="202"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160" w:type="dxa"/>
            <w:vAlign w:val="bottom"/>
          </w:tcPr>
          <w:p>
            <w:pPr>
              <w:spacing w:after="0"/>
              <w:rPr>
                <w:sz w:val="17"/>
                <w:szCs w:val="17"/>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Expired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tcPr>
          <w:p>
            <w:pPr>
              <w:spacing w:after="0"/>
              <w:rPr>
                <w:sz w:val="19"/>
                <w:szCs w:val="19"/>
                <w:color w:val="auto"/>
              </w:rPr>
            </w:pPr>
          </w:p>
        </w:tc>
        <w:tc>
          <w:tcPr>
            <w:tcW w:w="20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September 30, 2022</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September 30, 2022</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range of exercise prices is $11.00 to $14.65 per share.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there was no compensation cost attributable to the options for the nine months ended September 30, 2022 or for the nine months ended September 30,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Amalgamated Financial Corp. 2022 Equity Incentive Plan (the “Equity Plan”) provides for the grant of stock-based incentive awards to employees and directors of the Company. The number of shares of common stock of the Company available for stock-based awards in the Equity Plan is 1,250,000 of which 434,408 shares were available for issuance as of September 30, 2022.</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granted 222,109 restricted stock units (“RSUs”) to employees under the Equity Plan and reserved 253,506 shares for issuance upon vesting assuming the Company’s employees achieve the maximum share payout.</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Of the 222,109 RSUs granted to employees, 159,315 RSUs time-vest ratably over three years and were granted at an average fair value of $18.03 per share and 62,794 RSUs were performance-based and are more fully described below:</w:t>
      </w:r>
    </w:p>
    <w:p>
      <w:pPr>
        <w:spacing w:after="0" w:line="189" w:lineRule="exact"/>
        <w:rPr>
          <w:sz w:val="20"/>
          <w:szCs w:val="20"/>
          <w:color w:val="auto"/>
        </w:rPr>
      </w:pPr>
    </w:p>
    <w:p>
      <w:pPr>
        <w:jc w:val="both"/>
        <w:ind w:left="1300" w:hanging="320"/>
        <w:spacing w:after="0" w:line="261"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16,536, 14,376 and 866 performance-based RSUs at a fair value of $17.39, $17.34 and $21.64 per share, respectively which vest subject to the achievement of the Company’s corporate goal for the three-year period from December 31, 2021 to December 31, 2024. The corporate goal is based on the Company achieving a target increase in Tangible Book Value, adjusted for certain factors. The minimum and maximum awards that are achievable are 0 and 47,667 shares, respectively.</w:t>
      </w:r>
    </w:p>
    <w:p>
      <w:pPr>
        <w:spacing w:after="0" w:line="20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30,016 market-based RSUs at a fair value of $17.91 per share which vest subject to the Bank’s relative total shareholder return compared to a group of peer banks over a three-year period from February 3, 2021 to February 2, 2024. The minimum and maximum awards that are achievable are 0 and 45,024 shares, respectively.</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employee RSUs as of September 30, 2022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2021</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401,585</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222,109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(125,972)</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September 30, 2022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412,528</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412,528 unvested RSUs on September 30, 2022, the minimum units that will vest, solely due to a service test, are 314,938. The maximum units that will vest, assuming the highest payout on performance and market-based units, are 493,577.</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expense attributable to the employee RSUs was $0.5 million and $1.5 million for the three and nine months ended September 30, 2022, respectively, and $0.5 million and $1.4 million for the three and nine months ended September 30, 2021, respectively. As of September 30, 2022, there was $4.9 million of total unrecognized compensation cost related to the non-vested RSUs granted to employees. This expense may increase or decrease depending on the expected number of performance-based shares to be issued. This expense is expected to be recognized over 2.1 years.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granted 30,217 RSUs to directors under the Equity Plan that vest after one year. The Company recorded an expense of $0.1 million and $0.4 million for the three and nine months ended September 30, 2022 and 2021, respectively. As of September 30, 2022, there was $0.3 million unrecognized cost related to the non-vested RSUs granted to directors.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28, 2021, the Company's stockholders approved the Amalgamated Financial Corp. Employee Stock Purchase Plan (the "ESPP") which was implemented on March 2, 2022. The aggregate number of shares of common stock that may be purchased and issued under the ESPP will not exceed 500,000 of previously authorized shares. Under the terms of the ESPP, employees may authorize the withholding of up to 15% of their eligible compensation to purchase the Company's shares of common stock, not to exceed $25,000 of the fair market value of such common stock for any calendar year. The purchase price per shares acquired under the ESPP will never be less than 85% of the fair market value of the Company's common stock on the last day of the offering period. The Company's Board of Directors in its discretion may terminate the ESPP at any time with respect to any shares for which options have not been granted.</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Committee of the Board of Directors (the "Committee") has the right to amend the ESPP without the approval of our stockholders; provided, that no such change may impair the rights of a participant with respect to any outstanding offering period without the consent of such participant, other than a change determined by the Committee to be necessary to comply with applicable law. A participant may not dispose of shares acquired under the ESPP until six months following the grant date of such shares, or any earlier date as of which the Committee has determined that the participant would qualify for a hardship distribution from the Company’s 401(k) Plan. Accordingly, the fair value award associated with their discounted purchase price is expensed at the time of purchase. There were 2,905, 14,967 and 7,461 shares purchased under the ESPP on March 31, 2022, June 30, 2022, and September 30, 2022,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OF FINANCIAL INSTRUMENTS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Assumptions are developed based on prioritizing information within a fair value hierarchy that gives the highest priority to quoted prices in active markets and the lowest priority to unobservable data. A description of the disclosure hierarchy and the types of financial instruments recorded at fair value that management believes would generally qualify for each category are as follows: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1 - Valuations are based on quoted prices in active markets for identical assets or liabilities. Accordingly, valuation of these assets and liabilities does not entail a significant degree of judgment. Examples include most U.S. Government securities and exchange-traded equity securities.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are based on either quoted prices in markets that are not considered to be active or significant inputs to the methodology that are observable, either directly or indirectly. Financial instruments in this level would generally include mortgage-related securities and other debt issued by GSEs, non-GSE mortgage-related securities, corporate debt, certain redeemable fund investments and certain trust preferred securities.</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Level 3 - Valuations are based on inputs to the methodology that are unobservable and significant to the fair value measurement. These inputs reflect management’s own judgments about the assumptions that market participants would use in pricing the assets and liabilities.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summarizes those financial instruments measured at fair value in the Consolidated Statements of Financial Condition categorized by the relevant class of investment and level of the fair value hierarchy: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5"/>
        </w:trPr>
        <w:tc>
          <w:tcPr>
            <w:tcW w:w="53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4"/>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Mortgage-related:</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GSE residential certificates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residential CMOs</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419,862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419,862</w:t>
            </w: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GSE commercial certificates &amp; CMO</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268,312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268,312</w:t>
            </w: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Non-GSE residential certificates</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111,148</w:t>
            </w: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commercial certificates</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98,142</w:t>
            </w:r>
          </w:p>
        </w:tc>
      </w:tr>
      <w:tr>
        <w:trPr>
          <w:trHeight w:val="23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w:t>
            </w: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902,758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902,758</w:t>
            </w: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Trust preferred</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10,159</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139,090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139,090</w:t>
            </w:r>
          </w:p>
        </w:tc>
      </w:tr>
      <w:tr>
        <w:trPr>
          <w:trHeight w:val="248"/>
        </w:trPr>
        <w:tc>
          <w:tcPr>
            <w:tcW w:w="53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1,949,471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1,957,486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636"/>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8"/>
        </w:trPr>
        <w:tc>
          <w:tcPr>
            <w:tcW w:w="5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5"/>
        </w:trPr>
        <w:tc>
          <w:tcPr>
            <w:tcW w:w="46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34"/>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Mortgage-related:</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GSE residential certificates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r>
      <w:tr>
        <w:trPr>
          <w:trHeight w:val="229"/>
        </w:trPr>
        <w:tc>
          <w:tcPr>
            <w:tcW w:w="4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residential CMOs</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463,883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463,883</w:t>
            </w:r>
          </w:p>
        </w:tc>
      </w:tr>
      <w:tr>
        <w:trPr>
          <w:trHeight w:val="230"/>
        </w:trPr>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GSE commercial certificates &amp; CMO</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370,364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370,364</w:t>
            </w:r>
          </w:p>
        </w:tc>
      </w:tr>
      <w:tr>
        <w:trPr>
          <w:trHeight w:val="229"/>
        </w:trPr>
        <w:tc>
          <w:tcPr>
            <w:tcW w:w="4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Non-GSE residential certificates</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66,139</w:t>
            </w:r>
          </w:p>
        </w:tc>
      </w:tr>
      <w:tr>
        <w:trPr>
          <w:trHeight w:val="229"/>
        </w:trPr>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commercial certificates</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81,101</w:t>
            </w:r>
          </w:p>
        </w:tc>
      </w:tr>
      <w:tr>
        <w:trPr>
          <w:trHeight w:val="23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Treasury</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4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989,188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989,188</w:t>
            </w:r>
          </w:p>
        </w:tc>
      </w:tr>
      <w:tr>
        <w:trPr>
          <w:trHeight w:val="230"/>
        </w:trPr>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Trust preferred</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14,147</w:t>
            </w:r>
          </w:p>
        </w:tc>
      </w:tr>
      <w:tr>
        <w:trPr>
          <w:trHeight w:val="229"/>
        </w:trPr>
        <w:tc>
          <w:tcPr>
            <w:tcW w:w="4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124,421</w:t>
            </w:r>
          </w:p>
        </w:tc>
      </w:tr>
      <w:tr>
        <w:trPr>
          <w:trHeight w:val="248"/>
        </w:trPr>
        <w:tc>
          <w:tcPr>
            <w:tcW w:w="46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2,113,410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assets measured at fair value on a non-recurring basis: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360" w:type="dxa"/>
            <w:vAlign w:val="bottom"/>
          </w:tcPr>
          <w:p>
            <w:pPr>
              <w:spacing w:after="0"/>
              <w:rPr>
                <w:sz w:val="15"/>
                <w:szCs w:val="15"/>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40" w:type="dxa"/>
            <w:vAlign w:val="bottom"/>
          </w:tcPr>
          <w:p>
            <w:pPr>
              <w:spacing w:after="0"/>
              <w:rPr>
                <w:sz w:val="15"/>
                <w:szCs w:val="15"/>
                <w:color w:val="auto"/>
              </w:rPr>
            </w:pP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5"/>
                <w:szCs w:val="15"/>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0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8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Impaired loans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32,998</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40" w:type="dxa"/>
            <w:vAlign w:val="bottom"/>
          </w:tcPr>
          <w:p>
            <w:pPr>
              <w:spacing w:after="0"/>
              <w:rPr>
                <w:sz w:val="14"/>
                <w:szCs w:val="14"/>
                <w:color w:val="auto"/>
              </w:rPr>
            </w:pP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8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Impaired loans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48,111</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37" w:name="page38"/>
    <w:bookmarkEnd w:id="3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financial statement basis and estimated fair values for significant categories of financial instruments: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40" w:type="dxa"/>
            <w:vAlign w:val="bottom"/>
          </w:tcPr>
          <w:p>
            <w:pPr>
              <w:spacing w:after="0"/>
              <w:rPr>
                <w:sz w:val="13"/>
                <w:szCs w:val="13"/>
                <w:color w:val="auto"/>
              </w:rPr>
            </w:pPr>
          </w:p>
        </w:tc>
        <w:tc>
          <w:tcPr>
            <w:tcW w:w="10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18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Estimated Fair</w:t>
            </w:r>
          </w:p>
        </w:tc>
        <w:tc>
          <w:tcPr>
            <w:tcW w:w="0" w:type="dxa"/>
            <w:vAlign w:val="bottom"/>
          </w:tcPr>
          <w:p>
            <w:pPr>
              <w:spacing w:after="0"/>
              <w:rPr>
                <w:sz w:val="1"/>
                <w:szCs w:val="1"/>
                <w:color w:val="auto"/>
              </w:rPr>
            </w:pPr>
          </w:p>
        </w:tc>
      </w:tr>
      <w:tr>
        <w:trPr>
          <w:trHeight w:val="212"/>
        </w:trPr>
        <w:tc>
          <w:tcPr>
            <w:tcW w:w="4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19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66,223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66,223</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Available for sale securities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1,957,486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1,949,471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1,957,486</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Held to maturity securities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1,492,423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578,876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790,507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1,369,383</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Loans held for sale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17,916</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Loans receivable,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3,829,168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3,438,967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3,438,967</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Resell agreements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192,834</w:t>
            </w:r>
          </w:p>
        </w:tc>
        <w:tc>
          <w:tcPr>
            <w:tcW w:w="0" w:type="dxa"/>
            <w:vAlign w:val="bottom"/>
          </w:tcPr>
          <w:p>
            <w:pPr>
              <w:spacing w:after="0"/>
              <w:rPr>
                <w:sz w:val="1"/>
                <w:szCs w:val="1"/>
                <w:color w:val="auto"/>
              </w:rPr>
            </w:pPr>
          </w:p>
        </w:tc>
      </w:tr>
      <w:tr>
        <w:trPr>
          <w:trHeight w:val="246"/>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interest and dividends receivable</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34,767</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Deposits payable on demand</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6,977,296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6,977,296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6,977,296</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Time deposits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182,747</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Borrowed Funds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143,940</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19685</wp:posOffset>
            </wp:positionV>
            <wp:extent cx="43548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20"/>
                <w:szCs w:val="20"/>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330,485</w:t>
            </w: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Available for sale securities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2,113,410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2,113,210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2,113,410</w:t>
            </w: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Held to maturity securities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843,569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633,327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849,704</w:t>
            </w: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Loans held for sale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w:t>
            </w: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Loans receivable, net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3,276,358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3,291,377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3,291,377</w:t>
            </w: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Resell agreements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229,018</w:t>
            </w: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interest and dividends receivable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28,820</w:t>
            </w: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Deposits payable on demand</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6,149,103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6,149,103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6,149,103</w:t>
            </w: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Time deposits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207,369</w:t>
            </w: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Subordinated Debt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r>
      <w:tr>
        <w:trPr>
          <w:trHeight w:val="210"/>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CONTINGENCIES AND OFF BALANCE SHEET RISK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Commitments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various credit related financial instruments with off balance sheet risk. The Company, in the normal course of business, issues such financial instruments in order to meet the financing needs of its customers. These financial instruments include commitments to extend credit and standby letters of credit. Such commitments involve, to varying degrees, elements of credit and interest rate risk in excess of the amounts recognized in the consolidated statements of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instruments were outstanding whose contract amounts represent credit risk as of the related periods: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59"/>
        </w:trPr>
        <w:tc>
          <w:tcPr>
            <w:tcW w:w="272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927,428</w:t>
            </w:r>
          </w:p>
        </w:tc>
        <w:tc>
          <w:tcPr>
            <w:tcW w:w="0" w:type="dxa"/>
            <w:vAlign w:val="bottom"/>
          </w:tcPr>
          <w:p>
            <w:pPr>
              <w:spacing w:after="0"/>
              <w:rPr>
                <w:sz w:val="1"/>
                <w:szCs w:val="1"/>
                <w:color w:val="auto"/>
              </w:rPr>
            </w:pPr>
          </w:p>
        </w:tc>
      </w:tr>
      <w:tr>
        <w:trPr>
          <w:trHeight w:val="229"/>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18,752</w:t>
            </w:r>
          </w:p>
        </w:tc>
        <w:tc>
          <w:tcPr>
            <w:tcW w:w="0" w:type="dxa"/>
            <w:vAlign w:val="bottom"/>
          </w:tcPr>
          <w:p>
            <w:pPr>
              <w:spacing w:after="0"/>
              <w:rPr>
                <w:sz w:val="1"/>
                <w:szCs w:val="1"/>
                <w:color w:val="auto"/>
              </w:rPr>
            </w:pPr>
          </w:p>
        </w:tc>
      </w:tr>
      <w:tr>
        <w:trPr>
          <w:trHeight w:val="248"/>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946,180</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contracts to lend to a customer as long as there is no violation of any condition established in the contract. These commitments have fixed expiration dates and other termination clauses and generally require the payment of nonrefundable fees. Since a portion of the commitments are expected to expire without being drawn upon, the contractual principal amounts do not necessarily represent future cash requirements. The Company’s maximum exposure to credit risk is represented by the contractual amount of these instruments. These instruments represent ultimate exposure to credit risk only to the extent they are subsequently drawn upon by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lending commitments issued by the Company to guarantee the financial performance of a customer to a third party. The credit risk involved in issuing standby letters of credit is essentially the same as that involved in extending loan facilities to customers. The balance sheet carrying value of standby letters of credit approximates any nonrefundable fees received but not yet recorded as income. The Company considers this carrying value, which is not material, to approximate the estimated fair value of these financial instruments.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reserves for the credit risk inherent in off balance sheet credit commitments. This reserve, which is included in other liabilities, amounted to approximately $1.6 million as of September 30, 2022 and $1.5 million as of December 31, 2021.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there are various legal proceedings pending against the Company. Based on the opinion of counsel, management believes that the aggregate liabilities, if any, arising from such actions would not have a material adverse effect on the consolidated financial position or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nvestment Obligations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 party to agreements with Pace Funding Group LLC, which operates Home Run Financing, for the purchase of property assessed clean energy, or PACE, assessment securities until the end of 2022. These investments are to be held in the Company's held-to-maturity investment portfolio. As of September 30, 2022, the Company had purchased $409.6 million of these obligations and had an estimated remaining commitment of $45.0 million. The PACE assessments have equal-lien priority with property taxes and generally rank senior to first lien mortgages. The Company anticipates these commitments will be funded by means of normal cash flows, by a reduction in cash and cash equivalents, or by pay-downs and maturities of loans and other investments.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LEASES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as a lessee has operating leases primarily consisting of real estate arrangements where the Company operates its headquarters, branches and business production offices. All leases identified as in scope are accounted for as operating leases as of September 30, 2022. These leases are typically long-term leases and generally are not complicated arrangements or structures. Several of the leases contain renewal options at a rate comparable to the fair market value based on comparable analysis to similar properties in the Bank’s geographies.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Real estate operating leases are presented as a right-of-use (“ROU”) asset and a related operating lease liability on the Consolidated Statements of Financial Condition. The ROU asset represents the Company’s right to use the underlying asset for the lease term and the operating lease liabilities represent the obligation to make lease payments arising from the lease. The Company applied its incremental borrowing rate (“IBR”) as the discount rate to the remaining lease payments to derive a present value calculation for initial measurement of the operating lease liability. The IBR reflects the interest rate the Company would have to pay to borrow on a collateralized basis over a similar term for an amount equal to the lease payments. Lease expense is recognized on a straight-line basis over the lease term.</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lease cost and other operating lease information:</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7640" w:type="dxa"/>
            <w:vAlign w:val="bottom"/>
          </w:tcPr>
          <w:p>
            <w:pPr>
              <w:spacing w:after="0"/>
              <w:rPr>
                <w:sz w:val="24"/>
                <w:szCs w:val="24"/>
                <w:color w:val="auto"/>
              </w:rPr>
            </w:pPr>
          </w:p>
        </w:tc>
        <w:tc>
          <w:tcPr>
            <w:tcW w:w="18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0" w:type="dxa"/>
            <w:vAlign w:val="bottom"/>
          </w:tcPr>
          <w:p>
            <w:pPr>
              <w:spacing w:after="0"/>
              <w:rPr>
                <w:sz w:val="1"/>
                <w:szCs w:val="1"/>
                <w:color w:val="auto"/>
              </w:rPr>
            </w:pPr>
          </w:p>
        </w:tc>
      </w:tr>
      <w:tr>
        <w:trPr>
          <w:trHeight w:val="159"/>
        </w:trPr>
        <w:tc>
          <w:tcPr>
            <w:tcW w:w="7640" w:type="dxa"/>
            <w:vAlign w:val="bottom"/>
            <w:vMerge w:val="continue"/>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2,257</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6,765</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leases liability</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2,714</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7,976</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on operating leases (in years)</w:t>
            </w:r>
          </w:p>
        </w:tc>
        <w:tc>
          <w:tcPr>
            <w:tcW w:w="60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used for operating leases liability</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 Sublease income and variable income or expense considered immaterial</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8"/>
                <w:szCs w:val="18"/>
                <w:color w:val="auto"/>
              </w:rPr>
            </w:pPr>
          </w:p>
        </w:tc>
        <w:tc>
          <w:tcPr>
            <w:tcW w:w="18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0" w:type="dxa"/>
            <w:vAlign w:val="bottom"/>
          </w:tcPr>
          <w:p>
            <w:pPr>
              <w:spacing w:after="0"/>
              <w:rPr>
                <w:sz w:val="1"/>
                <w:szCs w:val="1"/>
                <w:color w:val="auto"/>
              </w:rPr>
            </w:pPr>
          </w:p>
        </w:tc>
      </w:tr>
      <w:tr>
        <w:trPr>
          <w:trHeight w:val="159"/>
        </w:trPr>
        <w:tc>
          <w:tcPr>
            <w:tcW w:w="7640" w:type="dxa"/>
            <w:vAlign w:val="bottom"/>
            <w:vMerge w:val="continue"/>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2,258</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6,679</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leases liability</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2,566</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7,573</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on operating leases (in years)</w:t>
            </w:r>
          </w:p>
        </w:tc>
        <w:tc>
          <w:tcPr>
            <w:tcW w:w="60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used for operating leases liability</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Note: Sublease income and variable income or expense considered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1517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remaining commitments for operating lease payments for the next five years and thereafter, as well as a reconciliation to the discounted operating leases liability recorded in the Consolidated Statements of Financial Condition as of September 30, 2022: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5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6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46,068</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leases liability</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43,229</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GAAP, the Company performs an annual test as of June 30 to identify potential impairment of goodwill, or more frequently if events or</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circumstances indicate a potential impairment may exist. If the carrying amount of the Company, as a sole reporting unit, including goodwill, exceeds its fair value, an impairment loss is recognized in an amount equal to that excess up to the amount of the recorded goodwill.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performed its annual test based upon market data as of June 30, 2022 and estimates and assumptions that the Company believes most appropriate for the analysis. Based on the qualitative analysis performed in accordance with ASC 350, the Company determined it more likely than not that goodwill was not impaired as of June 30, 2022. Changes in certain assumptions used in the Company's assessment could result in significant differences in the results of the impairment test. Should market conditions or management’s assumptions change significantly in the future, an impairment to goodwill is possible.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and December 31, 2021, the carrying amount of goodwill was $12.9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estimated amortization expense, comprised entirely by the Company’s core deposit intangible asset, for the next five years and thereafter:</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2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2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3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48"/>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amortization of the core deposit intangible was $5.7 million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2022 and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VARIABLE INTEREST ENTITIES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Credit Investments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makes investments in unconsolidated entities that construct, own and operate solar generation facilities. An unrelated third party is the managing member and has control over the significant activities of the variable interest entities ("VIE"). The Company generates a return through the receipt of tax credits allocated to the projects, as well as operational distributions. The primary risk of loss is generally mitigated by policies requiring that the project qualify for the expected tax credits prior to the Company making its investment. Any loans to the VIE are secured. As of September 30, 2022, the Company's maximum exposure to loss is $35.1 million.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60" w:type="dxa"/>
            <w:vAlign w:val="bottom"/>
          </w:tcPr>
          <w:p>
            <w:pPr>
              <w:spacing w:after="0"/>
              <w:rPr>
                <w:sz w:val="20"/>
                <w:szCs w:val="20"/>
                <w:color w:val="auto"/>
              </w:rPr>
            </w:pPr>
          </w:p>
        </w:tc>
        <w:tc>
          <w:tcPr>
            <w:tcW w:w="1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00" w:type="dxa"/>
            <w:vAlign w:val="bottom"/>
            <w:gridSpan w:val="2"/>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Unconsolidated Variable Interest Entities</w:t>
            </w: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investments included in equity investments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and letters of credit commitments</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portion of loans and letters of credit commitments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tax benefits conveyed by the Company’s solar generation VIE investments: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19"/>
                <w:szCs w:val="19"/>
                <w:color w:val="auto"/>
              </w:rPr>
            </w:pPr>
          </w:p>
        </w:tc>
        <w:tc>
          <w:tcPr>
            <w:tcW w:w="23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19"/>
                <w:szCs w:val="19"/>
                <w:color w:val="auto"/>
              </w:rPr>
            </w:pPr>
          </w:p>
        </w:tc>
        <w:tc>
          <w:tcPr>
            <w:tcW w:w="23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59"/>
        </w:trPr>
        <w:tc>
          <w:tcPr>
            <w:tcW w:w="56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 and other tax benefits recognized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3" w:name="page44"/>
    <w:bookmarkEnd w:id="43"/>
    <w:p>
      <w:pPr>
        <w:spacing w:after="0" w:line="2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following is a discussion of our consolidated financial condition as of September 30, 2022, as compared to December 31, 2021, and our results of operations for the three and nine month periods ended September 30, 2022 and September 30, 2021.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This discussion and analysis is best read in conjunction with our unaudited consolidated financial statements and related notes as well as the financial and statistical data appearing elsewhere in this report and our Annual Report on Form 10-K for the year ended December 31, 2021 (the “2021 Annual Report”), filed with the Securities and Exchange Commission on March 11, 2022. Historical results of operations and the percentage relationships among any amounts included, and any trends that may appear, may not indicate results of operations for any future periods.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historical information, this discussion includes certain forward-looking statements regarding business matters and events and trends that may affect our future results. For additional information regarding forward-looking statements and our related cautionary disclosures, see the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beginning on page ii of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was formed on August 25, 2020 to serve as the holding company for the Bank, effective March 1, 2021 when the Company acquired the common stock of the Bank. The Bank was formed in 1923 as Amalgamated Bank of New York by the Amalgamated Clothing Workers of America, one of the country’s oldest labor unions. Although we are no longer majority union-owned, The Amalgamated Clothing Workers of America’s successor, Workers United, an affiliate of the Service Employees International Union that represents workers in the textile, distribution, food service and gaming industries, remains a significant stockholder, holding approximately 41% of our equity as of September 30, 2022. As of September 30, 2022, our total assets were $7.9 billion, our total loans, net of deferred fees and allowance were $3.8 billion, our total deposits were $7.2 billion, and our stockholders' equity was $487.7 million. As of September 30, 2022, our trust business held $37.6 billion in assets under custody and $12.5 billion in assets under management.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a complete suite of commercial and retail banking, investment management and trust and custody services. Our commercial banking and trust businesses are national in scope and we also offer a full range of products and services to both commercial and retail customers through our three branch offices across New York City, one branch office in Washington, D.C., one branch office in San Francisco, one commercial office in Boston and our digital banking platform. Our corporate divisions include Commercial Banking, Trust and Investment Management and Consumer Banking. Our product line includes residential mortgage loans, C&amp;I loans, CRE loans, multifamily mortgages, and a variety of commercial and consumer deposit products, including non-interest bearing accounts, interest-bearing demand products, savings accounts, money market accounts and certificates of deposit. We also offer online banking and bill payment services, treasury management products, safe deposit box rentals, debit card and ATM card services and the availability of a nationwide network of ATMs for our customers.</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currently offer a wide range of trust, custody and investment management services, including asset safekeeping, corporate actions, income collections, proxy services, account transition, asset transfers, and conversion management. We also offer a broad range of investment products, including both index and actively-managed funds spanning equity, fixed-income, real estate and alternative investment strategies to meet the needs of our clients. Our products and services are tailored to our target customer base that prefers a financial partner that is socially responsible, values-oriented and committed to creating positive change in the world. These customers include advocacy-based non-profits, social welfare organizations, national labor unions, political organizations, foundations, socially responsible businesses, and other for-profit companies that seek to balance their profit-making activities with activities that benefit their other stakeholders, as well as the members and stakeholders of these commercial customers. Our goal is to be the go-to financial partner for people and organizations who strive to make a meaningful impact in our society and who care about their communities, the environment, and social justice. The Bank has obtained B Corporation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certification, a distinction earned after being evaluated under rigorous standards of social and environmental performance, accountability, and transparency. The Bank is also the largest of twelve commercial financial institutions in the United States that are members of the Global Alliance for Banking on Values, a network of banking leaders from around the world committed to</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advancing positive change in the banking sector. The Company is incorporated as a public benefit corporation under Delaware state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and Significant Accounting Policies and Estimates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based on the application of accounting policies generally accepted in the United States, or GAAP, and conform to general practices within the banking industry. Our significant accounting policies are more fully described in Note 1 of our audited consolidated financial statements included in our 2021 Annual Report and our critical accounting policies are more fully described under “Critical Accounting Policies and Estimates” included in the “Management’s Discussion and Analysis of Financial Condition and Results of Operations” in our 2021 Annual Report. There have been no significant changes to our critical and significant accounting policies, or the estimates made pursuant to those policies as described in our 2021 Annual Report.</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Effective in 2022 and onward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 Measurement of Credit Losses on Financial Instruments.” ASU 2016-13 significantly changes the impairment model for most financial assets that are measured at amortized cost and certain other instruments from an incurred loss model to an expected loss model and provides for recording credit losses on available for sale debt securities through an allowance account. ASU 2016-13 also requires certain incremental disclosures. In October 2019, the FASB voted to extend the adoption date for entities eligible to be smaller reporting companies, public business entities ("PBEs") that are not SEC filers, and entities that are not PBEs from January 1, 2020 to January 1, 2023. Based on our election as an Emerging Growth Company under the Jumpstart Our Business Startups Act to use the extended transition period for complying with any new or revised financial accounting standards, we will adopt the standard on January 1, 2023.</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standard requires a cumulative-effect adjustment to retained earnings as of the beginning of the first reporting period in which it is effective. A prospective transition approach is required for debt securities for which an other-than-temporary impairment had been recognized before the effective date. The Company established a Management Committee comprised of executives and senior leadership from applicable departments to evaluate the impact of this standard and monitor our progress towards adoption. The Management Committee's focus is to evaluate the impact to the Company, monitor status, as well as to assess and mitigate risks to the implementation of the standard. Currently, management is liaising with its vendors to finalize model development through input testing as well as assessment of the model outputs. The Company has conducted parallel tests with the current and future state credit loss estimation process. The Company expects to perform a full production parallel test in the upcoming quarter to ensure the Company is prepared for adoption of the standard as of January 1, 2023. The Company is also performing an analysis on the PACE securities which make up a majority of the held to maturity securities portfolio to determine the additional impact to the allowance for credit losses ("ACL") upon adoption of the standard.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CECL model represents a significant departure from current GAAP and may result in significant changes to the Company's accounting for financial instruments. The Company is currently in the process of evaluating the quantitative and qualitative effect of the standard on our estimated credit losses under the standard, and while adoption could have a material impact on the Company's operating results and financial condition depending on the characteristics of our loan portfolio, as well as the current and forecasted economic conditions as of the date of adoption, management currently does not expect it to have a significant impact.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31, 2022, the Financial Accounting Standards Board ("FASB") issued Accounting Standards Update ("ASU") 2022-02, which eliminates the troubled debt restructuring ("TDR") accounting model for creditors that have adopted Topic 326, “Financial Instruments – Credit Losses.” Specifically, rather than applying the recognition and measurement guidance for TDRs, this ASU requires entities to evaluate receivable modifications, consistent with the accounting for other loan modifications, to determine whether a modification made to a borrower results is a new loan or a continuation of the existing loan. In addition, under the new ASU, entities are no longer required to use a discounted cash flow ("DCF") method to measure the ACL as a result of a modification or restructuring with a borrower experiencing financial difficulty. If a DCF method is used, the post-modification-derived effective interest rate is to be used, instead of the original interest rate as stipulated under the current GAAP. This ASU also enhances the disclosure requirements related to certain modifications of receivables made to borrowers experiencing financial difficulty. This ASU amends the guidance on “vintage disclosures” to require the disclosure of current-period gross write-offs by year of origination. The Company will continue to apply the current TDR accounting model until the adoption of ASU 2016-13, “Financial Instruments – Credit Losses (Topic 326) on January 1, 2023. The Company is currently assessing the impact of this ASU to our operating results or financial condition.</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7, 2021, the FASB has issued Accounting Standards Update No. 2021-01, Reference Rate Reform (Topic 848): Scope. The new guidance amends the scope of ASU 2020-04, Facilitation of the Effects of Reference Rate Reform on Financial Reporting, which was aimed at easing the potential accounting burden expected when global capital markets move away from the London Interbank Offered Rate ("LIBOR") (the benchmark interest rate banks use to make short-term loans to each other) and provided temporary, optional expedients and exceptions for applying accounting guidance to contract modifications and hedging relationships, subject to meeting certain criteria, that reference LIBOR or another reference rate expected to be discontinued. As the majority of our securities tied to LIBOR are expected to transition to the Secured Overnight Financing Rate ("SOFR") or pay off before the transition date and given that we do not have a substantial amount of commercial loans or any derivative transactions tied to LIBOR, the Adoption of ASU 2021-01 is not expected to have a material impact on our operating results or financial condition.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results of operations depend substantially on net interest income, which is the difference between interest income on interest-earning assets, consisting primarily of interest income on loans, investment securities and other short-term investments and interest expense on interest-bearing liabilities, consisting primarily of interest expense on deposits and borrowings. Our results of operations are also dependent on non-interest income, consisting primarily of income from Trust Department fees, service charges on deposit accounts, net gains on sales of investment securities and income from bank-owned life insurance (“BOLI”). Other factors contributing to our results of operations include our provisions for loan losses, income taxes, and non-interest expenses, such as salaries and employee benefits, occupancy and depreciation expenses, professional fees, data processing fees and other miscellaneous operating costs.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for the third quarter of 2022 was $22.9 million, or $0.74 per diluted share, compared to $14.4 million, or $0.46 per diluted share, for the third quarter of 2021.</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income for the nine months ended September 30, 2022 was $56.7 million, or $1.82 per diluted share, compared to $37.0 million, or $1.17 per diluted share, for same period in 2021. The $19.7 million increase was primarily due to a $35.1 million increase in interest income on securities, partially offset by a $7.8 million increase in non-interest expense.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representing interest income less interest expense, is a significant contributor to our revenues and earnings. We generate interest income from interest, dividends and prepayment fees on interest-earning assets, including loans, investment securities and other short-term investments. We incur interest expense from interest paid on interest-bearing liabilities, including interest-bearing deposits, FHLB advances and other borrowings. To evaluate net interest income, we measure and monitor (i) yields on our loans and other interest-earning assets, (ii) the costs of our deposits and other funding sources, (iii) our net interest spread and (iv) our net interest margin. Net interest spread is equal to the difference between rates earned on interest-earning assets and rates paid on interest-bearing liabilities. Net interest margin is equal to the annualized net interest income divided by average interest-earning assets. Because non-interest-bearing sources of funds, such as non-interest-bearing deposits and stockholders’ equity, also fund interest-earning assets, net interest margin includes the benefit of these non-interest-bearing sources.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and 2021</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related to our average balance sheet, average yields on assets, and average costs of liabilities for the periods indicated: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7"/>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7"/>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20" w:type="dxa"/>
            <w:vAlign w:val="bottom"/>
          </w:tcPr>
          <w:p>
            <w:pPr>
              <w:spacing w:after="0"/>
              <w:rPr>
                <w:sz w:val="17"/>
                <w:szCs w:val="17"/>
                <w:color w:val="auto"/>
              </w:rPr>
            </w:pPr>
          </w:p>
        </w:tc>
      </w:tr>
      <w:tr>
        <w:trPr>
          <w:trHeight w:val="241"/>
        </w:trPr>
        <w:tc>
          <w:tcPr>
            <w:tcW w:w="3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920" w:type="dxa"/>
            <w:vAlign w:val="bottom"/>
            <w:tcBorders>
              <w:bottom w:val="single" w:sz="8" w:color="auto"/>
            </w:tcBorders>
          </w:tcPr>
          <w:p>
            <w:pPr>
              <w:spacing w:after="0"/>
              <w:rPr>
                <w:sz w:val="20"/>
                <w:szCs w:val="20"/>
                <w:color w:val="auto"/>
              </w:rPr>
            </w:pPr>
          </w:p>
        </w:tc>
      </w:tr>
      <w:tr>
        <w:trPr>
          <w:trHeight w:val="225"/>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0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Yield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2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Yield /</w:t>
            </w:r>
          </w:p>
        </w:tc>
      </w:tr>
      <w:tr>
        <w:trPr>
          <w:trHeight w:val="189"/>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900" w:type="dxa"/>
            <w:vAlign w:val="bottom"/>
          </w:tcPr>
          <w:p>
            <w:pPr>
              <w:jc w:val="right"/>
              <w:ind w:right="311"/>
              <w:spacing w:after="0" w:line="189" w:lineRule="exact"/>
              <w:rPr>
                <w:sz w:val="20"/>
                <w:szCs w:val="20"/>
                <w:color w:val="auto"/>
              </w:rPr>
            </w:pPr>
            <w:r>
              <w:rPr>
                <w:rFonts w:ascii="Times New Roman" w:cs="Times New Roman" w:eastAsia="Times New Roman" w:hAnsi="Times New Roman"/>
                <w:sz w:val="18"/>
                <w:szCs w:val="18"/>
                <w:b w:val="1"/>
                <w:bCs w:val="1"/>
                <w:color w:val="auto"/>
              </w:rPr>
              <w:t>Rate</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920" w:type="dxa"/>
            <w:vAlign w:val="bottom"/>
          </w:tcPr>
          <w:p>
            <w:pPr>
              <w:jc w:val="right"/>
              <w:ind w:right="311"/>
              <w:spacing w:after="0" w:line="189" w:lineRule="exact"/>
              <w:rPr>
                <w:sz w:val="20"/>
                <w:szCs w:val="20"/>
                <w:color w:val="auto"/>
              </w:rPr>
            </w:pPr>
            <w:r>
              <w:rPr>
                <w:rFonts w:ascii="Times New Roman" w:cs="Times New Roman" w:eastAsia="Times New Roman" w:hAnsi="Times New Roman"/>
                <w:sz w:val="18"/>
                <w:szCs w:val="18"/>
                <w:b w:val="1"/>
                <w:bCs w:val="1"/>
                <w:color w:val="auto"/>
              </w:rPr>
              <w:t>Rate</w:t>
            </w:r>
          </w:p>
        </w:tc>
      </w:tr>
      <w:tr>
        <w:trPr>
          <w:trHeight w:val="209"/>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earning assets: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222,071</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632,526</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0.14 %</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3,522,863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2,545,703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232,956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30"/>
        </w:trPr>
        <w:tc>
          <w:tcPr>
            <w:tcW w:w="38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loans, net </w:t>
            </w:r>
            <w:r>
              <w:rPr>
                <w:rFonts w:ascii="Times New Roman" w:cs="Times New Roman" w:eastAsia="Times New Roman" w:hAnsi="Times New Roman"/>
                <w:sz w:val="23"/>
                <w:szCs w:val="23"/>
                <w:color w:val="auto"/>
                <w:vertAlign w:val="superscript"/>
              </w:rPr>
              <w:t>(1)(2)</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3,693,688</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3,087,744</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3.84 %</w:t>
            </w: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7,671,578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6,380,073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r>
      <w:tr>
        <w:trPr>
          <w:trHeight w:val="229"/>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 earning assets: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265,736</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243,969</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48"/>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7,942,097</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6,632,506</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3,031,402</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2,641,719</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0.18 %</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184,476</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241,009</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0.40 %</w:t>
            </w:r>
          </w:p>
        </w:tc>
      </w:tr>
      <w:tr>
        <w:trPr>
          <w:trHeight w:val="223"/>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3,215,878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2,882,728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0.19 %</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23"/>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3,301,201</w:t>
            </w:r>
          </w:p>
        </w:tc>
        <w:tc>
          <w:tcPr>
            <w:tcW w:w="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2,882,728</w:t>
            </w:r>
          </w:p>
        </w:tc>
        <w:tc>
          <w:tcPr>
            <w:tcW w:w="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0.19 %</w:t>
            </w:r>
          </w:p>
        </w:tc>
      </w:tr>
      <w:tr>
        <w:trPr>
          <w:trHeight w:val="229"/>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 bearing liabilities: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 and transaction deposits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4,053,953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3,077,231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75,143</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116,790</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3"/>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7,430,297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6,076,749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511,800</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555,757</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3"/>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7,942,097</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6,632,506</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r>
      <w:tr>
        <w:trPr>
          <w:trHeight w:val="223"/>
        </w:trPr>
        <w:tc>
          <w:tcPr>
            <w:tcW w:w="3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interest income / interest rate spread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2.60 %</w:t>
            </w:r>
          </w:p>
        </w:tc>
      </w:tr>
      <w:tr>
        <w:trPr>
          <w:trHeight w:val="223"/>
        </w:trPr>
        <w:tc>
          <w:tcPr>
            <w:tcW w:w="38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interest earning assets / net interest margin</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4,370,377</w:t>
            </w: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4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3,497,345</w:t>
            </w: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r>
      <w:tr>
        <w:trPr>
          <w:trHeight w:val="236"/>
        </w:trPr>
        <w:tc>
          <w:tcPr>
            <w:tcW w:w="38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1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 of Deposits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0.14 %</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0.09 %</w:t>
            </w:r>
          </w:p>
        </w:tc>
      </w:tr>
    </w:tbl>
    <w:p>
      <w:pPr>
        <w:spacing w:after="0" w:line="52" w:lineRule="exact"/>
        <w:rPr>
          <w:sz w:val="20"/>
          <w:szCs w:val="20"/>
          <w:color w:val="auto"/>
        </w:rPr>
      </w:pPr>
    </w:p>
    <w:p>
      <w:pPr>
        <w:ind w:left="140" w:hanging="132"/>
        <w:spacing w:after="0"/>
        <w:tabs>
          <w:tab w:leader="none" w:pos="14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Amounts are net of deferred origination costs (fees) and the allowance for loan losses and includes loans held for sale</w:t>
      </w:r>
    </w:p>
    <w:p>
      <w:pPr>
        <w:ind w:left="140" w:hanging="132"/>
        <w:spacing w:after="0"/>
        <w:tabs>
          <w:tab w:leader="none" w:pos="14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Income and yield includes prepayment penalty income in 3Q2022 and 3Q2021 of $800 thousand and $169 thousand, respectively</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was $67.6 million for the third quarter of 2022, compared to $43.4 million for the third quarter of 2021. The $24.2 million increase from the third quarter of 2021 was primarily attributable to a strategic $1.0 billion increase in average securities and a 114 basis point increase in securities yield due to the rising rate environment, as well as a $605.9 million increase in average loan balances.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net interest spread was 3.28% for the three months ended September 30, 2022, compared to 2.60% for the same period in 2021, an increase of 68 basis points. Our net interest margin was 3.50% for the third quarter of 2022, an increase of 80 basis points from 2.70% in the third quarter of 2021. The accretion of the loan mark from the loans we acquired in our New Resource Bank ("NRB") acquisition contributed zero basis points to our net interest margin in the third quarter of 2022, compared to one basis points in the third quarter of 2021. Prepayment penalties earned through loan income contributed $0.8 million, or four basis points, to our net interest margin in the third quarter of 2022, compared to one basis point in the third quarter of 2021.</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yield on average earning assets was 3.66% for the three months ended September 30, 2022, compared to 2.79% for the same period in 2021, an increase of 87 basis points. This increase was driven primarily by the rising rate environment and an increase in average loan and securities balances.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average rate on interest-bearing liabilities was 0.38% for the three months ended September 30, 2022, an increase of 19 basis points from the same period in 2021, which was primarily due to the increase in other borrowings expense with the issuance of</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8" w:name="page49"/>
    <w:bookmarkEnd w:id="48"/>
    <w:p>
      <w:pPr>
        <w:spacing w:after="0" w:line="282" w:lineRule="auto"/>
        <w:rPr>
          <w:sz w:val="20"/>
          <w:szCs w:val="20"/>
          <w:color w:val="auto"/>
        </w:rPr>
      </w:pPr>
      <w:r>
        <w:rPr>
          <w:rFonts w:ascii="Times New Roman" w:cs="Times New Roman" w:eastAsia="Times New Roman" w:hAnsi="Times New Roman"/>
          <w:sz w:val="18"/>
          <w:szCs w:val="18"/>
          <w:color w:val="auto"/>
        </w:rPr>
        <w:t>subordinated debt and the rising rate environment that led to an increase in interest expense paid for deposits. Noninterest-bearing deposits represented 56% of average deposits for the three months ended September 30, 2022, contributing to a total cost of deposits of 14 basis points in the third quarter of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2022 and 2021</w:t>
      </w: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related to our average balance sheet, average yields on assets, and average costs of liabilities for the periods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gridSpan w:val="7"/>
          </w:tcPr>
          <w:p>
            <w:pPr>
              <w:ind w:left="8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gridSpan w:val="7"/>
          </w:tcPr>
          <w:p>
            <w:pPr>
              <w:ind w:left="8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2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Yield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4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Yield /</w:t>
            </w:r>
          </w:p>
        </w:tc>
        <w:tc>
          <w:tcPr>
            <w:tcW w:w="0" w:type="dxa"/>
            <w:vAlign w:val="bottom"/>
          </w:tcPr>
          <w:p>
            <w:pPr>
              <w:spacing w:after="0"/>
              <w:rPr>
                <w:sz w:val="1"/>
                <w:szCs w:val="1"/>
                <w:color w:val="auto"/>
              </w:rPr>
            </w:pPr>
          </w:p>
        </w:tc>
      </w:tr>
      <w:tr>
        <w:trPr>
          <w:trHeight w:val="189"/>
        </w:trPr>
        <w:tc>
          <w:tcPr>
            <w:tcW w:w="3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Interest earning assets:</w:t>
            </w:r>
          </w:p>
        </w:tc>
        <w:tc>
          <w:tcPr>
            <w:tcW w:w="160" w:type="dxa"/>
            <w:vAlign w:val="bottom"/>
          </w:tcPr>
          <w:p>
            <w:pPr>
              <w:spacing w:after="0"/>
              <w:rPr>
                <w:sz w:val="16"/>
                <w:szCs w:val="16"/>
                <w:color w:val="auto"/>
              </w:rPr>
            </w:pPr>
          </w:p>
        </w:tc>
        <w:tc>
          <w:tcPr>
            <w:tcW w:w="88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920" w:type="dxa"/>
            <w:vAlign w:val="bottom"/>
          </w:tcPr>
          <w:p>
            <w:pPr>
              <w:jc w:val="right"/>
              <w:ind w:right="311"/>
              <w:spacing w:after="0" w:line="189" w:lineRule="exact"/>
              <w:rPr>
                <w:sz w:val="20"/>
                <w:szCs w:val="20"/>
                <w:color w:val="auto"/>
              </w:rPr>
            </w:pPr>
            <w:r>
              <w:rPr>
                <w:rFonts w:ascii="Times New Roman" w:cs="Times New Roman" w:eastAsia="Times New Roman" w:hAnsi="Times New Roman"/>
                <w:sz w:val="18"/>
                <w:szCs w:val="18"/>
                <w:b w:val="1"/>
                <w:bCs w:val="1"/>
                <w:color w:val="auto"/>
              </w:rPr>
              <w:t>Rate</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940" w:type="dxa"/>
            <w:vAlign w:val="bottom"/>
          </w:tcPr>
          <w:p>
            <w:pPr>
              <w:jc w:val="right"/>
              <w:ind w:right="311"/>
              <w:spacing w:after="0" w:line="189" w:lineRule="exact"/>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209"/>
        </w:trPr>
        <w:tc>
          <w:tcPr>
            <w:tcW w:w="38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316,288</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508,421</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3,387,707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2,321,979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227,932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loans, net </w:t>
            </w:r>
            <w:r>
              <w:rPr>
                <w:rFonts w:ascii="Times New Roman" w:cs="Times New Roman" w:eastAsia="Times New Roman" w:hAnsi="Times New Roman"/>
                <w:sz w:val="23"/>
                <w:szCs w:val="23"/>
                <w:color w:val="auto"/>
                <w:vertAlign w:val="superscript"/>
              </w:rPr>
              <w:t>(1)(2)</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3,493,405</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103,157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3,180,890</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91,180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7,425,332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6,150,257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230"/>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 earning assets: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267,315</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263,170</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7,700,399</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6,421,207</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2,986,588</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2,574,463</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0.19 %</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191,944</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0.32 %</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259,609</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0.44 %</w:t>
            </w:r>
          </w:p>
        </w:tc>
        <w:tc>
          <w:tcPr>
            <w:tcW w:w="0" w:type="dxa"/>
            <w:vAlign w:val="bottom"/>
          </w:tcPr>
          <w:p>
            <w:pPr>
              <w:spacing w:after="0"/>
              <w:rPr>
                <w:sz w:val="1"/>
                <w:szCs w:val="1"/>
                <w:color w:val="auto"/>
              </w:rPr>
            </w:pPr>
          </w:p>
        </w:tc>
      </w:tr>
      <w:tr>
        <w:trPr>
          <w:trHeight w:val="223"/>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3,178,532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2,834,072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23"/>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3,263,136</w:t>
            </w:r>
          </w:p>
        </w:tc>
        <w:tc>
          <w:tcPr>
            <w:tcW w:w="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0.31 %</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2,834,237</w:t>
            </w:r>
          </w:p>
        </w:tc>
        <w:tc>
          <w:tcPr>
            <w:tcW w:w="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 bearing liabilities: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 and transaction deposits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3,821,571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2,925,516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85,996</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112,721</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7,170,703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5,872,474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529,696</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548,733</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7,700,399</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6,421,207</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interest income / interest rate spread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172,494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interest earning assets / net interest margin</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4,162,196</w:t>
            </w: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4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3,316,020</w:t>
            </w: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 of Deposits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0.10 %</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0.10 %</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40" w:hanging="132"/>
        <w:spacing w:after="0"/>
        <w:tabs>
          <w:tab w:leader="none" w:pos="14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Amounts are net of deferred origination costs (fees) and the allowance for loan losses and includes loans held for sale</w:t>
      </w:r>
    </w:p>
    <w:p>
      <w:pPr>
        <w:spacing w:after="0" w:line="7" w:lineRule="exact"/>
        <w:rPr>
          <w:rFonts w:ascii="Times New Roman" w:cs="Times New Roman" w:eastAsia="Times New Roman" w:hAnsi="Times New Roman"/>
          <w:sz w:val="16"/>
          <w:szCs w:val="16"/>
          <w:color w:val="auto"/>
          <w:vertAlign w:val="superscript"/>
        </w:rPr>
      </w:pPr>
    </w:p>
    <w:p>
      <w:pPr>
        <w:ind w:left="160" w:hanging="152"/>
        <w:spacing w:after="0" w:line="189" w:lineRule="auto"/>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Income and yield includes prepayment penalty income in September YTD 2022 and September YTD 2021 of $1.6 million and $1.3 million, respectively</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net interest income was $172.5 million for the nine months ended September 30, 2022, compared to $127.2 million for the same period in 2021. The year-over-year increase of $45.3 million, or 35.6%, was primarily attributable to an increase in average securities of $1.1 billion and a 59 basis point increase in securities yield due to the rising interest rate environment as well as a $312.5 million increase in average loan balances.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9" w:name="page50"/>
    <w:bookmarkEnd w:id="49"/>
    <w:p>
      <w:pPr>
        <w:jc w:val="both"/>
        <w:spacing w:after="0" w:line="266" w:lineRule="auto"/>
        <w:rPr>
          <w:sz w:val="20"/>
          <w:szCs w:val="20"/>
          <w:color w:val="auto"/>
        </w:rPr>
      </w:pPr>
      <w:r>
        <w:rPr>
          <w:rFonts w:ascii="Times New Roman" w:cs="Times New Roman" w:eastAsia="Times New Roman" w:hAnsi="Times New Roman"/>
          <w:sz w:val="18"/>
          <w:szCs w:val="18"/>
          <w:color w:val="auto"/>
        </w:rPr>
        <w:t>Our net interest spread was 2.93% for the nine months ended September 30, 2022, compared to 2.65% for the same period in 2021, an increase of 28 basis points. Our net interest margin was 3.11% for the nine months ended September 30, 2022, an increase of 34 basis points from 2.77% in the same period in 2021.</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yield on average earning assets was 3.24% for the nine months ended September 30, 2022, compared to 2.86% for the same period in 2021, an increase of 38 basis points. This increase was driven primarily by an increase on yields on both loans and securities due to a rising interest rate environment.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rate on interest-bearing liabilities, comprised almost entirely of deposits, was 0.31% for the nine months ended September 30, 2022, an increase of 10 basis points from the same period in 2021, which was primarily due to the increase in other borrowings expense with the issuance of subordinated debt. Noninterest-bearing deposits represented 55% of average deposits for the nine months ended September 30, 2022, contributing to a total cost of deposits of 10 basis points in the first nine months of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and decreases in interest income and interest expense result from changes in average balances (volume) of interest-earning assets and interest-bearing liabilities, as well as changes in weighted average interest rates. The table below presents the effect of volume and rate changes on interest income and expense. Changes in volume are changes in the average balance multiplied by the previous period’s average rate. Changes in rate are changes in the average rate multiplied by the average balance from the previous period. The net changes attributable to the combined impact of both rate and volume have been allocated proportionately to the changes due to volume and the changes due to rate: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gridSpan w:val="6"/>
            <w:vMerge w:val="restart"/>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6"/>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580" w:type="dxa"/>
            <w:vAlign w:val="bottom"/>
            <w:gridSpan w:val="6"/>
            <w:vMerge w:val="continue"/>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300" w:type="dxa"/>
            <w:vAlign w:val="bottom"/>
            <w:gridSpan w:val="7"/>
            <w:vMerge w:val="restart"/>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September 30, 2022 over September 30,</w:t>
            </w: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3960" w:type="dxa"/>
            <w:vAlign w:val="bottom"/>
            <w:gridSpan w:val="9"/>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September 30, 2022 over September 30, 2021</w:t>
            </w:r>
          </w:p>
        </w:tc>
        <w:tc>
          <w:tcPr>
            <w:tcW w:w="160" w:type="dxa"/>
            <w:vAlign w:val="bottom"/>
          </w:tcPr>
          <w:p>
            <w:pPr>
              <w:spacing w:after="0"/>
              <w:rPr>
                <w:sz w:val="8"/>
                <w:szCs w:val="8"/>
                <w:color w:val="auto"/>
              </w:rPr>
            </w:pPr>
          </w:p>
        </w:tc>
        <w:tc>
          <w:tcPr>
            <w:tcW w:w="33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3960" w:type="dxa"/>
            <w:vAlign w:val="bottom"/>
            <w:gridSpan w:val="9"/>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38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120"/>
              <w:spacing w:after="0" w:line="171" w:lineRule="exact"/>
              <w:rPr>
                <w:sz w:val="20"/>
                <w:szCs w:val="20"/>
                <w:color w:val="auto"/>
              </w:rPr>
            </w:pPr>
            <w:r>
              <w:rPr>
                <w:rFonts w:ascii="Times New Roman" w:cs="Times New Roman" w:eastAsia="Times New Roman" w:hAnsi="Times New Roman"/>
                <w:sz w:val="18"/>
                <w:szCs w:val="18"/>
                <w:b w:val="1"/>
                <w:bCs w:val="1"/>
                <w:color w:val="auto"/>
              </w:rPr>
              <w:t>Changes Due</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120"/>
              <w:spacing w:after="0" w:line="171" w:lineRule="exact"/>
              <w:rPr>
                <w:sz w:val="20"/>
                <w:szCs w:val="20"/>
                <w:color w:val="auto"/>
              </w:rPr>
            </w:pPr>
            <w:r>
              <w:rPr>
                <w:rFonts w:ascii="Times New Roman" w:cs="Times New Roman" w:eastAsia="Times New Roman" w:hAnsi="Times New Roman"/>
                <w:sz w:val="18"/>
                <w:szCs w:val="18"/>
                <w:b w:val="1"/>
                <w:bCs w:val="1"/>
                <w:color w:val="auto"/>
              </w:rPr>
              <w:t>Changes Due</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40" w:type="dxa"/>
            <w:vAlign w:val="bottom"/>
          </w:tcPr>
          <w:p>
            <w:pPr>
              <w:spacing w:after="0"/>
              <w:rPr>
                <w:sz w:val="15"/>
                <w:szCs w:val="15"/>
                <w:color w:val="auto"/>
              </w:rPr>
            </w:pPr>
          </w:p>
        </w:tc>
        <w:tc>
          <w:tcPr>
            <w:tcW w:w="98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w w:val="94"/>
              </w:rPr>
              <w:t>To</w:t>
            </w:r>
          </w:p>
        </w:tc>
        <w:tc>
          <w:tcPr>
            <w:tcW w:w="15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Net Change</w:t>
            </w:r>
          </w:p>
        </w:tc>
        <w:tc>
          <w:tcPr>
            <w:tcW w:w="160" w:type="dxa"/>
            <w:vAlign w:val="bottom"/>
          </w:tcPr>
          <w:p>
            <w:pPr>
              <w:spacing w:after="0"/>
              <w:rPr>
                <w:sz w:val="15"/>
                <w:szCs w:val="15"/>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20" w:type="dxa"/>
            <w:vAlign w:val="bottom"/>
          </w:tcPr>
          <w:p>
            <w:pPr>
              <w:spacing w:after="0"/>
              <w:rPr>
                <w:sz w:val="15"/>
                <w:szCs w:val="15"/>
                <w:color w:val="auto"/>
              </w:rPr>
            </w:pPr>
          </w:p>
        </w:tc>
        <w:tc>
          <w:tcPr>
            <w:tcW w:w="96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85"/>
              </w:rPr>
              <w:t>To</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Net Change</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52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earning assets:</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and FHLB stock</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15,543</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32,834</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loans, net</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4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0" w:type="dxa"/>
            <w:vAlign w:val="bottom"/>
          </w:tcPr>
          <w:p>
            <w:pPr>
              <w:spacing w:after="0"/>
              <w:rPr>
                <w:sz w:val="1"/>
                <w:szCs w:val="1"/>
                <w:color w:val="auto"/>
              </w:rPr>
            </w:pPr>
          </w:p>
        </w:tc>
      </w:tr>
      <w:tr>
        <w:trPr>
          <w:trHeight w:val="221"/>
        </w:trPr>
        <w:tc>
          <w:tcPr>
            <w:tcW w:w="3820" w:type="dxa"/>
            <w:vAlign w:val="bottom"/>
            <w:tcBorders>
              <w:bottom w:val="single" w:sz="8" w:color="CCEEFF"/>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Total interest income</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12,968</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13,047</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26,015</w:t>
            </w: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29,125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19,181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48,306</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23"/>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4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interest expense</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4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interest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24,241</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45,271</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Loan Losses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establish an allowance for loan losses through a provision for loan losses charged as an expense in our Consolidated Statements of Income. The provision for loan losses is the amount of expense that, based on our judgment, is required to maintain the allowance at an adequate level to absorb probable incurred losses inherent in the loan portfolio at the balance sheet date and that, in management’s judgment, is appropriate under GAAP. Our determination of the amount of the allowance and corresponding provision for loan losses considers ongoing evaluations of the credit quality and level of credit risk inherent in our loan portfolio, levels of nonperforming loans and charge-offs, statistical trends and economic and other relevant factors. The allowance is increased by provisions charged to expense and decreased by recoveries of provisions released from expense or by actual charge-offs, net of recoveries on prior loan charge-offs. In accordance with accounting guidance for business combinations, we recorded all loans acquired in the NRB acquisition at their estimated fair value at the date of acquisition with no carryover of the related allowance.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and 2021</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provision for loan losses totaled an expense of $5.4 million for the third quarter of 2022 compared to a release of $2.3 million for the same period in 2021. The expense increase in the third quarter of 2022 was primarily driven by loan growth and $1.6 million in charge-offs related to nonperforming loans that were transferred to held for sale.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2022 and 2021</w:t>
      </w:r>
    </w:p>
    <w:p>
      <w:pPr>
        <w:spacing w:after="0" w:line="2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provisions for loan losses totaled an expense of $10.6 million for the nine months ended September 30, 2022, compared to a release of $3.9 million for the same period in 2021. The provision for the nine months ended September 30, 2022 was primarily due to loan growth, an increase in specific reserves on one loan in our CRE portfolio, the aforementioned $1.6 million in charge-offs related to nonperforming loans transferred to held for sale as compared to the release in the prior year due to improvement in loss rates and other qualitative factors, and improved credit quality as the economy recovered from the COVID-19 pandemic in addition to lower loan balances.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further discussion of the allowance, see “</w:t>
      </w:r>
      <w:r>
        <w:rPr>
          <w:rFonts w:ascii="Times New Roman" w:cs="Times New Roman" w:eastAsia="Times New Roman" w:hAnsi="Times New Roman"/>
          <w:sz w:val="18"/>
          <w:szCs w:val="18"/>
          <w:i w:val="1"/>
          <w:iCs w:val="1"/>
          <w:color w:val="auto"/>
        </w:rPr>
        <w:t>Allowance for Loan Losses</w:t>
      </w:r>
      <w:r>
        <w:rPr>
          <w:rFonts w:ascii="Times New Roman" w:cs="Times New Roman" w:eastAsia="Times New Roman" w:hAnsi="Times New Roman"/>
          <w:sz w:val="18"/>
          <w:szCs w:val="18"/>
          <w:color w:val="auto"/>
        </w:rPr>
        <w:t>”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non-interest income includes Trust Department fees, which consist of fees received in connection with investment advisory and custodial management services of investment accounts, service fees charged on deposit accounts, income on BOLI, gain or loss on sales of securities, sales of loans, and other real estate owned, income from equity method investments, and other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non-interest income for the periods indicated: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17"/>
                <w:szCs w:val="17"/>
                <w:color w:val="auto"/>
              </w:rPr>
            </w:pPr>
          </w:p>
        </w:tc>
        <w:tc>
          <w:tcPr>
            <w:tcW w:w="23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23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Department fees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3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10,471</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Bank-owned life insurance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sale of securities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loans,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other real estate owned, net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3"/>
        </w:trPr>
        <w:tc>
          <w:tcPr>
            <w:tcW w:w="5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3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16,028</w:t>
            </w: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and 2021</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income was $5.0 million for the third quarter of 2022, compared to $6.7 million for the third quarter in 2021. The decrease of $1.7 million in the third quarter of 2022 compared to the corresponding quarter in 2021 was primarily due to a loss of $1.8 million on sale of securities as part of strategic sales in order to reinvest in higher yielding securities. Further attributing to this decrease was a loss of $1.2 million related to equity investments in solar initiatives in the third quarter of 2022 compared to a loss of $0.5 million in the third quarter in 2021. This is due to the timing of tax credits and subsequent losses generated before reaching a steady flow of income.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Trust Department fees consist of fees we receive in connection with our investment advisory and custodial management services of investment accounts. Our Trust Department fees were $3.9 million in the third quarter of 2022, an increase of $0.5 million, or 15.5%, from same period in 2021. The increase is attributed to an increase in custody fees charged.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2022 and 2021</w:t>
      </w:r>
    </w:p>
    <w:p>
      <w:pPr>
        <w:spacing w:after="0" w:line="2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Non-interest income was $19.7 million for the nine months ended September 30, 2022, compared to $16.0 million for the same period in 2021, an increase of $3.7 million. This increase is primarily due to the tax credits on equity investment projects being in a $1.4 million loss position compared to a $5.7 million loss position in the prior year, in addition to a $1.1 million increase in</w:t>
      </w:r>
    </w:p>
    <w:p>
      <w:pPr>
        <w:sectPr>
          <w:pgSz w:w="11900" w:h="16838" w:orient="portrait"/>
          <w:cols w:equalWidth="0" w:num="1">
            <w:col w:w="11240"/>
          </w:cols>
          <w:pgMar w:left="320" w:top="1145" w:right="339" w:bottom="1440" w:gutter="0" w:footer="0" w:header="0"/>
        </w:sect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51" w:name="page52"/>
    <w:bookmarkEnd w:id="5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service charges on deposit accounts and a $1.0 million increase in income from BOLI. The increase was slightly offset by a $2.3 million loss on sale of securities as compared to a gain of $0.8 million in the previous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expense includes compensation and employee benefits, occupancy and depreciation expense, professional fees (including legal, accounting and other professional services), data processing, office maintenance and depreciation, amortization of intangible assets, advertising and promotion, and other expenses. The following table presents non-interest expense for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64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r>
      <w:tr>
        <w:trPr>
          <w:trHeight w:val="228"/>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2021</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4"/>
              </w:rPr>
              <w:t>2021</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benefits,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17,482</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52,485</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processing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8,863</w:t>
            </w:r>
          </w:p>
        </w:tc>
      </w:tr>
      <w:tr>
        <w:trPr>
          <w:trHeight w:val="248"/>
        </w:trPr>
        <w:tc>
          <w:tcPr>
            <w:tcW w:w="4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33,034</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97,223</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and 2021</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Non-interest expense for the third quarter of 2022 was $36.3 million, an increase of $3.3 million from the third quarter of 2021. The increase of $3.3 million from the third quarter of 2021 was driven by a $2.0 million increase in compensation and benefits expense in order to remain competitive with market increases. The increase was also driven by a $0.9 million increase in professional fees as a result of an increase in external accounting expense and a $1.1 million increase in other expense related to increased FDIC assessment and personnel recruitment expense.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2022 and 2021</w:t>
      </w:r>
    </w:p>
    <w:p>
      <w:pPr>
        <w:spacing w:after="0" w:line="2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Non-interest expense for the nine months ended September 30, 2022 was $105.0 million, an increase of $7.8 million from $97.2 million for the nine months ended September 30, 2021. The increase was primarily due to a $2.9 million increase in data processing expense primarily related to the modernization of our Trust Department and a $2.7 million increase in compensation and benefits expense in order to remain competitive with market increases. There was also a slight increase in miscellaneous bank expenses and fees related to the sale of non-performing loans held for sale.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and 2021</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a provision for income tax expense of $8.1 million for the third quarter of 2022, compared to $4.9 million for the third quarter of 2021. Our effective tax rate for the third quarter of 2022 was 26.0%, compared to 25.4% for the third quarter of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2022 and 2021</w:t>
      </w:r>
    </w:p>
    <w:p>
      <w:pPr>
        <w:spacing w:after="0" w:line="24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had a provision for income tax expense of $19.9 million for the nine months ended September 30, 2022, compared to $12.9 million for the same period in 2021. Our effective tax rate was 25.9% for the nine months ended September 30, 2022, compared to 25.8% for the same period in 2021.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total assets were $7.9 billion at September 30, 2022, compared to $7.1 billion at December 31, 2021. The increase of $0.8 billion was driven primarily by a $492.9 million increase in investment securities and a $552.8 million increase in loans receivable, 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goal of our securities portfolio is to maintain an available source of liquidity and an efficient investment return on excess capital, while maintaining a low-risk profile. We also use our securities portfolio to manage interest rate risk, meet Community Reinvestment Act (“CRA”) goals and to provide collateral for certain types of deposits or borrowings. An Investment Committee chaired by our Chief Financial Officer manages our investment securities portfolio according to written investment policies approved by our Board of Directors. Investments in our securities portfolio may change over time based on management’s objectives and market conditions.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seek to minimize credit risk in our securities portfolio through diversification, concentration limits, restrictions on high risk investments (such as subordinated positions), comprehensive pre-purchase analysis and stress testing, ongoing monitoring and by investing a significant portion of our securities portfolio in U.S. Government sponsored entity (“GSE”) obligations. GSEs include the Federal Home Loan Mortgage Corporation (“FHLMC”), the Federal National Mortgage Association (“FNMA”), the Government National Mortgage Association (“GNMA”) and the Small Business Administration (“SBA”). GNMA is a wholly-owned U.S. Government corporation whereas FHLMC and FNMA are private. Mortgage-related securities may include mortgage pass-through certificates, participation certificates and collateralized mortgage obligations (“CMOs”). We invest in non-GSE securities, including property assessed clean energy, or PACE, bonds, in order to generate higher returns, improve portfolio diversification and reduce interest rate and prepayment risk. With the exception of small legacy CRA investments, Trust Preferred securities, and certain corporate bonds, all of our non-GSE securities are senior positions that are the top of the capital structure.</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securities portfolio consists of securities classified as available for sale and held to maturity. There were no trading securities in our investment portfolio at September 30, 2022 or at December 31, 2021. All available for sale securities are carried at fair value and may be used for liquidity purposes should management consider it to be in our best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and December 31, 2021, we had available for sale securities of $2.0 billion and $2.1 billion,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2022, our held to maturity securities portfolio primarily consisted of PACE bonds, asset-backed securities, tax-exempt municipal securities, GSE residential certificates and other debt. We carry these securities at amortized cost. We had held to maturity securities of $1.5 billion at September 30, 2022, and $843.6 million at December 31, 2021.</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securities have fair values less than amortized cost and, therefore, contain unrealized losses. At September 30, 2022, we evaluated those securities which had an unrealized loss for other than temporary impairment ("OTTI"), and determined substantially all of the decline in value to be temporary. There were $3.3 billion of investment securities with unrealized losses at September 30, 2022 of which $9.5 million had a continuous unrealized loss position for 12 consecutive months or longer that was greater than 5% of amortized cost. We anticipate full recovery of amortized cost with respect to these securities by the time that these securities mature, or sooner in the case that a more favorable market interest rate environment causes their fair value to increase. We do not intend to sell these securities and we believe it is more likely than not that we will be required to sell them before full recovery of their amortized cost basis, which may be at the time of their maturity.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3" w:name="page54"/>
    <w:bookmarkEnd w:id="53"/>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investment portfolio, using market value for available for sale securities and amortized cost for held to maturity securities, as of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00" w:type="dxa"/>
            <w:vAlign w:val="bottom"/>
          </w:tcPr>
          <w:p>
            <w:pPr>
              <w:spacing w:after="0"/>
              <w:rPr>
                <w:sz w:val="20"/>
                <w:szCs w:val="20"/>
                <w:color w:val="auto"/>
              </w:rPr>
            </w:pPr>
          </w:p>
        </w:tc>
        <w:tc>
          <w:tcPr>
            <w:tcW w:w="330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69"/>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Portfolio</w:t>
            </w:r>
          </w:p>
        </w:tc>
        <w:tc>
          <w:tcPr>
            <w:tcW w:w="3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0" w:type="dxa"/>
            <w:vAlign w:val="bottom"/>
          </w:tcPr>
          <w:p>
            <w:pPr>
              <w:spacing w:after="0"/>
              <w:rPr>
                <w:sz w:val="1"/>
                <w:szCs w:val="1"/>
                <w:color w:val="auto"/>
              </w:rPr>
            </w:pPr>
          </w:p>
        </w:tc>
      </w:tr>
      <w:tr>
        <w:trPr>
          <w:trHeight w:val="90"/>
        </w:trPr>
        <w:tc>
          <w:tcPr>
            <w:tcW w:w="3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Mortgage-related:</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residential certificates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residential CMOs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419,862</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463,883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commercial certificates &amp; CMO</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268,312</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370,364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Non-GSE residential certificates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111,148</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66,139</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Non-GSE commercial certificates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98,142</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debt: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902,758</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989,188</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preferred</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139,090</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124,421</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1,957,486</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2,113,410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Mortgage-related:</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residential CMOs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71,252</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commercial certificates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90,546</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residential certificates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 GSE commercial certificates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 GSE residential certificates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51,506</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10,796</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291,488</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PACE</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220,827</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175,712</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635,874</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451,682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95,886</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84,962</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held to maturity</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1,492,423</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843,569</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3,449,909</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2,956,979</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3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The following table show contractual maturities and yields for the available-for sale and held-to-maturity securities portfolios: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Contractual Maturity as of September 30, 2022</w:t>
            </w:r>
          </w:p>
        </w:tc>
        <w:tc>
          <w:tcPr>
            <w:tcW w:w="44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One Year or Less</w:t>
            </w:r>
          </w:p>
        </w:tc>
        <w:tc>
          <w:tcPr>
            <w:tcW w:w="120" w:type="dxa"/>
            <w:vAlign w:val="bottom"/>
          </w:tcPr>
          <w:p>
            <w:pPr>
              <w:spacing w:after="0"/>
              <w:rPr>
                <w:sz w:val="21"/>
                <w:szCs w:val="21"/>
                <w:color w:val="auto"/>
              </w:rPr>
            </w:pPr>
          </w:p>
        </w:tc>
        <w:tc>
          <w:tcPr>
            <w:tcW w:w="21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One to Five Years</w:t>
            </w:r>
          </w:p>
        </w:tc>
        <w:tc>
          <w:tcPr>
            <w:tcW w:w="100" w:type="dxa"/>
            <w:vAlign w:val="bottom"/>
          </w:tcPr>
          <w:p>
            <w:pPr>
              <w:spacing w:after="0"/>
              <w:rPr>
                <w:sz w:val="21"/>
                <w:szCs w:val="21"/>
                <w:color w:val="auto"/>
              </w:rPr>
            </w:pPr>
          </w:p>
        </w:tc>
        <w:tc>
          <w:tcPr>
            <w:tcW w:w="21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Five to Ten Years</w:t>
            </w:r>
          </w:p>
        </w:tc>
        <w:tc>
          <w:tcPr>
            <w:tcW w:w="100" w:type="dxa"/>
            <w:vAlign w:val="bottom"/>
          </w:tcPr>
          <w:p>
            <w:pPr>
              <w:spacing w:after="0"/>
              <w:rPr>
                <w:sz w:val="21"/>
                <w:szCs w:val="21"/>
                <w:color w:val="auto"/>
              </w:rPr>
            </w:pPr>
          </w:p>
        </w:tc>
        <w:tc>
          <w:tcPr>
            <w:tcW w:w="20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81"/>
        </w:trPr>
        <w:tc>
          <w:tcPr>
            <w:tcW w:w="2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160" w:type="dxa"/>
            <w:vAlign w:val="bottom"/>
            <w:gridSpan w:val="3"/>
            <w:vMerge w:val="restart"/>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180" w:type="dxa"/>
            <w:vAlign w:val="bottom"/>
            <w:gridSpan w:val="2"/>
            <w:vMerge w:val="restart"/>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5"/>
              </w:rPr>
              <w:t>Average</w:t>
            </w:r>
          </w:p>
        </w:tc>
        <w:tc>
          <w:tcPr>
            <w:tcW w:w="10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1180" w:type="dxa"/>
            <w:vAlign w:val="bottom"/>
            <w:gridSpan w:val="2"/>
            <w:vMerge w:val="restart"/>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5"/>
              </w:rPr>
              <w:t>Average</w:t>
            </w: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6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00"/>
        </w:trPr>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rPr>
              <w:t>Cost</w:t>
            </w:r>
          </w:p>
        </w:tc>
        <w:tc>
          <w:tcPr>
            <w:tcW w:w="11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Cost</w:t>
            </w:r>
          </w:p>
        </w:tc>
        <w:tc>
          <w:tcPr>
            <w:tcW w:w="11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8"/>
                <w:szCs w:val="18"/>
                <w:color w:val="auto"/>
              </w:rPr>
              <w:t>Cost</w:t>
            </w:r>
          </w:p>
        </w:tc>
        <w:tc>
          <w:tcPr>
            <w:tcW w:w="11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Cost</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60" w:type="dxa"/>
            <w:vAlign w:val="bottom"/>
            <w:gridSpan w:val="3"/>
            <w:vMerge w:val="restart"/>
          </w:tcPr>
          <w:p>
            <w:pPr>
              <w:jc w:val="center"/>
              <w:ind w:right="80"/>
              <w:spacing w:after="0" w:line="237" w:lineRule="exact"/>
              <w:rPr>
                <w:sz w:val="20"/>
                <w:szCs w:val="20"/>
                <w:color w:val="auto"/>
              </w:rPr>
            </w:pPr>
            <w:r>
              <w:rPr>
                <w:rFonts w:ascii="Times New Roman" w:cs="Times New Roman" w:eastAsia="Times New Roman" w:hAnsi="Times New Roman"/>
                <w:sz w:val="18"/>
                <w:szCs w:val="18"/>
                <w:color w:val="auto"/>
                <w:w w:val="89"/>
              </w:rPr>
              <w:t xml:space="preserve">Yield </w:t>
            </w:r>
            <w:r>
              <w:rPr>
                <w:rFonts w:ascii="Times New Roman" w:cs="Times New Roman" w:eastAsia="Times New Roman" w:hAnsi="Times New Roman"/>
                <w:sz w:val="23"/>
                <w:szCs w:val="23"/>
                <w:color w:val="auto"/>
                <w:w w:val="89"/>
                <w:vertAlign w:val="superscript"/>
              </w:rPr>
              <w:t>(1)</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180" w:type="dxa"/>
            <w:vAlign w:val="bottom"/>
            <w:gridSpan w:val="2"/>
            <w:vMerge w:val="restart"/>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60" w:type="dxa"/>
            <w:vAlign w:val="bottom"/>
            <w:vMerge w:val="restart"/>
          </w:tcPr>
          <w:p>
            <w:pPr>
              <w:jc w:val="center"/>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r>
        <w:trPr>
          <w:trHeight w:val="103"/>
        </w:trPr>
        <w:tc>
          <w:tcPr>
            <w:tcW w:w="22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Available for sale:</w:t>
            </w: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Mortgage-related:</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residential certificates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residential CMOs</w:t>
            </w: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51,469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404,661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175"/>
        </w:trPr>
        <w:tc>
          <w:tcPr>
            <w:tcW w:w="2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GSE commercial certificates</w:t>
            </w:r>
          </w:p>
        </w:tc>
        <w:tc>
          <w:tcPr>
            <w:tcW w:w="1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23,720</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208,686</w:t>
            </w: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45,197</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149"/>
        </w:trPr>
        <w:tc>
          <w:tcPr>
            <w:tcW w:w="2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&amp; CMO</w:t>
            </w:r>
          </w:p>
        </w:tc>
        <w:tc>
          <w:tcPr>
            <w:tcW w:w="10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2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Non-GSE residential</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126,799</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149"/>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certificates</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Non-GSE commercial</w:t>
            </w:r>
          </w:p>
        </w:tc>
        <w:tc>
          <w:tcPr>
            <w:tcW w:w="1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109,144</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149"/>
        </w:trPr>
        <w:tc>
          <w:tcPr>
            <w:tcW w:w="2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w:t>
            </w:r>
          </w:p>
        </w:tc>
        <w:tc>
          <w:tcPr>
            <w:tcW w:w="10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gridSpan w:val="2"/>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2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debt: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344,150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594,015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preferred</w:t>
            </w: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56"/>
        </w:trPr>
        <w:tc>
          <w:tcPr>
            <w:tcW w:w="2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Mortgage-related:</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CMOs</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commercial certificates</w:t>
            </w: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residential certificates</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175"/>
        </w:trPr>
        <w:tc>
          <w:tcPr>
            <w:tcW w:w="2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 GSE commercial</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32,613</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certificates</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94"/>
        </w:trPr>
        <w:tc>
          <w:tcPr>
            <w:tcW w:w="22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 GSE residential</w:t>
            </w:r>
          </w:p>
        </w:tc>
        <w:tc>
          <w:tcPr>
            <w:tcW w:w="1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51,506</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w:t>
            </w:r>
          </w:p>
        </w:tc>
        <w:tc>
          <w:tcPr>
            <w:tcW w:w="10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gridSpan w:val="2"/>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94"/>
        </w:trPr>
        <w:tc>
          <w:tcPr>
            <w:tcW w:w="22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284,492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PACE</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220,827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PACE</w:t>
            </w: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635,874</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57"/>
        </w:trPr>
        <w:tc>
          <w:tcPr>
            <w:tcW w:w="224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112,345</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726,732</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2,738,533</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Estimated yield based on book price (amortized cost divided by par) using estimated prepayments and no change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The following table shows a breakdown of our asset-backed securities by sector and ratings as of September 30, 2022: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Expected</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Credit Ratings</w:t>
            </w: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i w:val="1"/>
                <w:iCs w:val="1"/>
                <w:color w:val="auto"/>
              </w:rPr>
              <w:t>Highest Rating if split rated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Avg.</w:t>
            </w: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%Not</w:t>
            </w: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Amount</w:t>
            </w:r>
          </w:p>
        </w:tc>
        <w:tc>
          <w:tcPr>
            <w:tcW w:w="7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Life in</w:t>
            </w:r>
          </w:p>
        </w:tc>
        <w:tc>
          <w:tcPr>
            <w:tcW w:w="800" w:type="dxa"/>
            <w:vAlign w:val="bottom"/>
            <w:vMerge w:val="continue"/>
          </w:tcPr>
          <w:p>
            <w:pPr>
              <w:spacing w:after="0"/>
              <w:rPr>
                <w:sz w:val="14"/>
                <w:szCs w:val="14"/>
                <w:color w:val="auto"/>
              </w:rPr>
            </w:pPr>
          </w:p>
        </w:tc>
        <w:tc>
          <w:tcPr>
            <w:tcW w:w="8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 AAA</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 AA</w:t>
            </w:r>
          </w:p>
        </w:tc>
        <w:tc>
          <w:tcPr>
            <w:tcW w:w="7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 A</w:t>
            </w:r>
          </w:p>
        </w:tc>
        <w:tc>
          <w:tcPr>
            <w:tcW w:w="6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 BBB</w:t>
            </w:r>
          </w:p>
        </w:tc>
        <w:tc>
          <w:tcPr>
            <w:tcW w:w="660" w:type="dxa"/>
            <w:vAlign w:val="bottom"/>
            <w:vMerge w:val="continue"/>
          </w:tcPr>
          <w:p>
            <w:pPr>
              <w:spacing w:after="0"/>
              <w:rPr>
                <w:sz w:val="14"/>
                <w:szCs w:val="14"/>
                <w:color w:val="auto"/>
              </w:rPr>
            </w:pPr>
          </w:p>
        </w:tc>
        <w:tc>
          <w:tcPr>
            <w:tcW w:w="7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Years</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Floating</w:t>
            </w:r>
          </w:p>
        </w:tc>
        <w:tc>
          <w:tcPr>
            <w:tcW w:w="8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Rated</w:t>
            </w: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CLO Commercial &amp;</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677,398</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8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99 %</w:t>
            </w:r>
          </w:p>
        </w:tc>
        <w:tc>
          <w:tcPr>
            <w:tcW w:w="7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1 %</w:t>
            </w:r>
          </w:p>
        </w:tc>
        <w:tc>
          <w:tcPr>
            <w:tcW w:w="7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1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0" w:type="dxa"/>
            <w:vAlign w:val="bottom"/>
            <w:tcBorders>
              <w:right w:val="single" w:sz="8" w:color="auto"/>
            </w:tcBorders>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660" w:type="dxa"/>
            <w:vAlign w:val="bottom"/>
            <w:tcBorders>
              <w:right w:val="single" w:sz="8" w:color="auto"/>
            </w:tcBorders>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40" w:type="dxa"/>
            <w:vAlign w:val="bottom"/>
          </w:tcPr>
          <w:p>
            <w:pPr>
              <w:spacing w:after="0"/>
              <w:rPr>
                <w:sz w:val="22"/>
                <w:szCs w:val="22"/>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207,952</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13 %</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28 %</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5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200,511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c>
          <w:tcPr>
            <w:tcW w:w="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100 %</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0 %</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54"/>
        </w:trPr>
        <w:tc>
          <w:tcPr>
            <w:tcW w:w="1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Student</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108,385</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94 %</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6 %</w:t>
            </w: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37"/>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1,194,246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84 %</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6 %</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10 %</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Lending-related income is the most important component of our net interest income and is the main driver of our results of operations. Total loans, net of deferred origination fees and allowance for loan losses, were $3.8 billion as of September 30, 2022 compared to $3.3 billion as of December 31, 2021. Within our commercial loan portfolio, our primary focus has been on C&amp;I, multifamily and CRE lending. Within our retail loan portfolio, our primary focus has been on residential 1-4 family (1st lien) mortgages. We intend to focus any organic growth in our loan portfolio on these lending areas as part of our strategic plan.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third quarter of 2022, we purchased $62.3 million of residential loans, $5.2 million of home improvement loans, $49.6 million of consumer solar loans and $10.7 million of commercial loans that are unconditionally guaranteed by the United States government.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composition of our loan portfolio, as of September 30, 2022 and December 31,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6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00" w:type="dxa"/>
            <w:vAlign w:val="bottom"/>
          </w:tcPr>
          <w:p>
            <w:pPr>
              <w:spacing w:after="0"/>
              <w:rPr>
                <w:sz w:val="22"/>
                <w:szCs w:val="22"/>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2"/>
                <w:szCs w:val="22"/>
                <w:color w:val="auto"/>
              </w:rPr>
            </w:pPr>
          </w:p>
        </w:tc>
        <w:tc>
          <w:tcPr>
            <w:tcW w:w="19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320" w:type="dxa"/>
            <w:vAlign w:val="bottom"/>
          </w:tcPr>
          <w:p>
            <w:pPr>
              <w:spacing w:after="0"/>
              <w:rPr>
                <w:sz w:val="22"/>
                <w:szCs w:val="22"/>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2"/>
                <w:szCs w:val="22"/>
                <w:color w:val="auto"/>
              </w:rPr>
            </w:pPr>
          </w:p>
        </w:tc>
        <w:tc>
          <w:tcPr>
            <w:tcW w:w="1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0" w:type="dxa"/>
            <w:vAlign w:val="bottom"/>
          </w:tcPr>
          <w:p>
            <w:pPr>
              <w:spacing w:after="0"/>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805,087</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729,385</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 mortgages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884,790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821,801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 mortgages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338,002</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369,429</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 mortgages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2,066,825</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1,952,154</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1,332,010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1,063,682</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467,793</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291,818</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1,799,803</w:t>
            </w:r>
          </w:p>
        </w:tc>
        <w:tc>
          <w:tcPr>
            <w:tcW w:w="100" w:type="dxa"/>
            <w:vAlign w:val="bottom"/>
            <w:tcBorders>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2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1,355,500</w:t>
            </w:r>
          </w:p>
        </w:tc>
        <w:tc>
          <w:tcPr>
            <w:tcW w:w="120" w:type="dxa"/>
            <w:vAlign w:val="bottom"/>
            <w:tcBorders>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loans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3,866,628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3,307,654</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loan origination costs (fees)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(35,866)</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loans,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3,829,168</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3,276,358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loan portfolio</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commercial loan portfolio comprised 53.4% of our total loan portfolio at September 30, 2022 and 59.0% of our total loan portfolio at December 31, 2021. The major categories of our commercial loan portfolio are discussed below:</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C&amp;I. </w:t>
      </w:r>
      <w:r>
        <w:rPr>
          <w:rFonts w:ascii="Times New Roman" w:cs="Times New Roman" w:eastAsia="Times New Roman" w:hAnsi="Times New Roman"/>
          <w:sz w:val="18"/>
          <w:szCs w:val="18"/>
          <w:color w:val="auto"/>
        </w:rPr>
        <w:t>Our C&amp;I loans are generally made to small and medium-sized manufacturers and wholesale, retail and service-based businesses to provide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capital or to finance major capital expenditures. The primary source of repayment for C&amp;I loans is generally operating cash flows of the business. We also seek to minimize risks related to these loans by requiring such</w:t>
      </w:r>
    </w:p>
    <w:p>
      <w:pPr>
        <w:sectPr>
          <w:pgSz w:w="11900" w:h="16838" w:orient="portrait"/>
          <w:cols w:equalWidth="0" w:num="1">
            <w:col w:w="11240"/>
          </w:cols>
          <w:pgMar w:left="320" w:top="931" w:right="339" w:bottom="144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6" w:name="page57"/>
    <w:bookmarkEnd w:id="56"/>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loans to be collateralized by various business assets (including inventory, equipment and accounts receivable). The average size of our C&amp;I loans at September 30, 2022 by exposure was $4.7 million with a median size of $1.0 million. We have shifted our lending strategy to focus on developing full customer relationships including deposits, cash management, and lending. The businesses that we focus on are generally mission aligned with our core values, including organic and natural products, sustainable companies, clean energy, nonprofits, and B Corporations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C&amp;I loans totaled $805.1 million at September 30, 2022, which comprised 20.8% of our total loan portfolio. During the nine months ended September 30, 2022, the C&amp;I loan portfolio increased by 10.4% from $729.4 million at December 31, 2021.</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Multifamily</w:t>
      </w:r>
      <w:r>
        <w:rPr>
          <w:rFonts w:ascii="Times New Roman" w:cs="Times New Roman" w:eastAsia="Times New Roman" w:hAnsi="Times New Roman"/>
          <w:sz w:val="18"/>
          <w:szCs w:val="18"/>
          <w:color w:val="auto"/>
        </w:rPr>
        <w:t>. Our multifamily loans are generally used to purchase or refinance apartment buildings of five units or more, which collateralize the loan,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 metropolitan areas within our markets. Multifamily loans have 71% of their exposure in New York City—our largest geographic concentration. Our multifamily loans have been underwritten under stringent guidelines on loan-to-value and debt service coverage ratios that are designed to mitigate credit and concentration risk in this loan category.</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multifamily loans totaled $884.8 million at September 30, 2022, which comprised 22.9% of our total loan portfolio. During the nine months ended September 30, 2022, the multifamily loan portfolio increased by 7.7% from $821.8 million at December 31, 2021.</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 </w:t>
      </w:r>
      <w:r>
        <w:rPr>
          <w:rFonts w:ascii="Times New Roman" w:cs="Times New Roman" w:eastAsia="Times New Roman" w:hAnsi="Times New Roman"/>
          <w:sz w:val="18"/>
          <w:szCs w:val="18"/>
          <w:color w:val="auto"/>
        </w:rPr>
        <w:t>Our CRE loans are used to purchase or refinance office buildings, retail centers, industrial facilities, medical facilities and mixed-used buildings.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 loans totaled $338.0 million at September 30, 2022, which comprised 8.7% of our total loan portfolio. During the nine months ended September 30, 2022, the CRE loan portfolio decreased by 8.5% from $369.4 million at December 31,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loan portfolio</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retail loan portfolio comprised 46.6% of our total loan portfolio at September 30, 2022 and 41.0% of our loan portfolio at December 31, 2021. The major categories of our retail loan portfolio are discussed below.</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Residential real estate lending</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residential 1-4 family mortgage loans are residential mortgages that are primarily secured by single-family homes,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can be owner occupied or investor owned. These loans are either originated by our loan officers or purchased from other originators with the servicing generally retained by such originators. Our residential real estate lending portfolio is 99% first mortgage loans and 1% second mortgage loans. As of September 30, 2022, 80% of our residential 1-4 family mortgage loans were either originated by our loan officers since 2012 or were acquired in our acquisition of NRB, 18% were purchased from two third parties on or after July 2014, and 2% were purchased by us from other originators before 2010. Our residential real estate lending loans totaled $1.3 billion at September 30, 2022, which comprised 74.0% of our retail loan portfolio and 34.5% of our total loan portfolio. As of September 30, 2022, our residential real estate lending loans increased by 25.2% from $1.1 billion at December 31, 2021.</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and other. </w:t>
      </w:r>
      <w:r>
        <w:rPr>
          <w:rFonts w:ascii="Times New Roman" w:cs="Times New Roman" w:eastAsia="Times New Roman" w:hAnsi="Times New Roman"/>
          <w:sz w:val="18"/>
          <w:szCs w:val="18"/>
          <w:color w:val="auto"/>
        </w:rPr>
        <w:t>Our consumer and other portfolio is comprised of purchased student loans, residential solar loans, unsecured consumer loans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overdraft lines. Our consumer and other loans totaled $467.8 million at September 30, 2022, which comprised 12.1% of our total loan portfolio, compared to $291.8 million, or 8.8% of our total loan portfolio, at December 31,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 and Sensitivity of Loans to Changes in Interest Rates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the following table is based on the contractual maturities of individual loans, including loans that may be subject to renewal at their contractual maturity. Renewal of these loans is subject to review and credit approval, as well as modification of terms upon maturity. Actual repayments of loans may differ from the maturities reflected below because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7" w:name="page58"/>
    <w:bookmarkEnd w:id="57"/>
    <w:p>
      <w:pPr>
        <w:spacing w:after="0" w:line="282" w:lineRule="auto"/>
        <w:rPr>
          <w:sz w:val="20"/>
          <w:szCs w:val="20"/>
          <w:color w:val="auto"/>
        </w:rPr>
      </w:pPr>
      <w:r>
        <w:rPr>
          <w:rFonts w:ascii="Times New Roman" w:cs="Times New Roman" w:eastAsia="Times New Roman" w:hAnsi="Times New Roman"/>
          <w:sz w:val="18"/>
          <w:szCs w:val="18"/>
          <w:color w:val="auto"/>
        </w:rPr>
        <w:t>borrowers have the right to prepay obligations with or without prepayment penalties. The following tables summarize the loan maturity distribution by type and related interest rate characteristics at September 30, 2022 and December 31,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One year or less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After one but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After five years but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After 15 years</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within five years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within 15 years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69,024</w:t>
            </w:r>
          </w:p>
        </w:tc>
        <w:tc>
          <w:tcPr>
            <w:tcW w:w="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257,823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246,427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231,813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805,087</w:t>
            </w: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64,975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528,491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281,928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884,790</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181,176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338,002</w:t>
            </w: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24,648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14,298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38,946</w:t>
            </w:r>
          </w:p>
        </w:tc>
        <w:tc>
          <w:tcPr>
            <w:tcW w:w="0" w:type="dxa"/>
            <w:vAlign w:val="bottom"/>
          </w:tcPr>
          <w:p>
            <w:pPr>
              <w:spacing w:after="0"/>
              <w:rPr>
                <w:sz w:val="1"/>
                <w:szCs w:val="1"/>
                <w:color w:val="auto"/>
              </w:rPr>
            </w:pPr>
          </w:p>
        </w:tc>
      </w:tr>
      <w:tr>
        <w:trPr>
          <w:trHeight w:val="256"/>
        </w:trPr>
        <w:tc>
          <w:tcPr>
            <w:tcW w:w="29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167,977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1,162,664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1,332,010</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64,926</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397,636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467,793</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242,740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987,719</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827,968</w:t>
            </w:r>
          </w:p>
        </w:tc>
        <w:tc>
          <w:tcPr>
            <w:tcW w:w="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1,808,201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3,866,628</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6"/>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After one but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After 5 years but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More than 15 years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6"/>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within five years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within 15 years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Gross loan maturing after one year with:</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interest rates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753,562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750,788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1,241,478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2,745,828</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Floating or adjustable interest rates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234,157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77,180</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566,723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878,060</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987,719</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827,968</w:t>
            </w:r>
          </w:p>
        </w:tc>
        <w:tc>
          <w:tcPr>
            <w:tcW w:w="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1,808,201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3,623,888</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6"/>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One year or less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6"/>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After one but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After five years but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After 15 years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within five years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within 15 years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89,499</w:t>
            </w:r>
          </w:p>
        </w:tc>
        <w:tc>
          <w:tcPr>
            <w:tcW w:w="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178,917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729,385</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147,340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228,851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821,801</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369,429</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29,264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31,539</w:t>
            </w:r>
          </w:p>
        </w:tc>
        <w:tc>
          <w:tcPr>
            <w:tcW w:w="0" w:type="dxa"/>
            <w:vAlign w:val="bottom"/>
          </w:tcPr>
          <w:p>
            <w:pPr>
              <w:spacing w:after="0"/>
              <w:rPr>
                <w:sz w:val="1"/>
                <w:szCs w:val="1"/>
                <w:color w:val="auto"/>
              </w:rPr>
            </w:pPr>
          </w:p>
        </w:tc>
      </w:tr>
      <w:tr>
        <w:trPr>
          <w:trHeight w:val="256"/>
        </w:trPr>
        <w:tc>
          <w:tcPr>
            <w:tcW w:w="29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175,193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886,254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1,063,682</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45,517</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243,823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291,818</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356,335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898,663</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686,558</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3"/>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1,366,098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3,307,654</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40" w:type="dxa"/>
            <w:vAlign w:val="bottom"/>
            <w:gridSpan w:val="11"/>
          </w:tcPr>
          <w:p>
            <w:pPr>
              <w:spacing w:after="0"/>
              <w:rPr>
                <w:sz w:val="20"/>
                <w:szCs w:val="20"/>
                <w:color w:val="auto"/>
              </w:rPr>
            </w:pPr>
            <w:r>
              <w:rPr>
                <w:rFonts w:ascii="Times New Roman" w:cs="Times New Roman" w:eastAsia="Times New Roman" w:hAnsi="Times New Roman"/>
                <w:sz w:val="16"/>
                <w:szCs w:val="16"/>
                <w:b w:val="1"/>
                <w:bCs w:val="1"/>
                <w:color w:val="auto"/>
              </w:rPr>
              <w:t>After one but  After 5 years</w:t>
            </w: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More than 15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within five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7"/>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but within 15</w:t>
            </w:r>
          </w:p>
        </w:tc>
        <w:tc>
          <w:tcPr>
            <w:tcW w:w="11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years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60" w:type="dxa"/>
            <w:vAlign w:val="bottom"/>
          </w:tcPr>
          <w:p>
            <w:pPr>
              <w:spacing w:after="0"/>
              <w:rPr>
                <w:sz w:val="18"/>
                <w:szCs w:val="18"/>
                <w:color w:val="auto"/>
              </w:rPr>
            </w:pPr>
          </w:p>
        </w:tc>
        <w:tc>
          <w:tcPr>
            <w:tcW w:w="9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920" w:type="dxa"/>
            <w:vAlign w:val="bottom"/>
          </w:tcPr>
          <w:p>
            <w:pPr>
              <w:ind w:left="20"/>
              <w:spacing w:after="0" w:line="159" w:lineRule="exact"/>
              <w:rPr>
                <w:sz w:val="20"/>
                <w:szCs w:val="20"/>
                <w:color w:val="auto"/>
              </w:rPr>
            </w:pPr>
            <w:r>
              <w:rPr>
                <w:rFonts w:ascii="Times New Roman" w:cs="Times New Roman" w:eastAsia="Times New Roman" w:hAnsi="Times New Roman"/>
                <w:sz w:val="18"/>
                <w:szCs w:val="18"/>
                <w:color w:val="auto"/>
              </w:rPr>
              <w:t>Gross loan maturing after one year</w:t>
            </w: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interest rates</w:t>
            </w:r>
          </w:p>
        </w:tc>
        <w:tc>
          <w:tcPr>
            <w:tcW w:w="20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709,569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618,748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835,675</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2,163,992</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Floating or adjustable interest rates</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189,094</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67,810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530,423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787,327</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200" w:type="dxa"/>
            <w:vAlign w:val="bottom"/>
            <w:tcBorders>
              <w:bottom w:val="single" w:sz="8" w:color="auto"/>
            </w:tcBorders>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898,663</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686,558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1,366,098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2,951,319</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Loan Losses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the allowance at a level we believe is sufficient to absorb probable incurred losses in our loan portfolio given the conditions at the time. Management determines the adequacy of the allowance based on periodic evaluations of the loan portfolio and other factors, including end-of-period loan levels and portfolio composition, observable trends in nonperforming loans, our historical loan losses, known and inherent risks in the portfolio, underwriting practices, adverse situations that may impact a borrower’s ability to repay, the estimated value and sufficiency of any underlying collateral, credit risk grade assessments, loan impairment and economic conditions. These evaluations are inherently subjective as they require management to make material estimates, all of which may be susceptible to significant change. The allowance is increased by provisions for loan losses charged to expense and decreased by actual charge-offs, net of recoveries.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allowance consists of specific allowances for loans that are individually classified as impaired and general components. Impaired loans include loans placed on nonaccrual status and TDRs. Loans are considered impaired when, based on current information and events, it is probable that we will be unable to collect all amounts due in accordance with the original contractual terms of the loan agreements. When determining if we will be unable to collect all principal and interest payments due in accordance with the original contractual terms of the loan agreement, we consider the borrower’s overall financial condition, resources and payment record, support from guarantors, and the realized value of any collateral.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Impaired loans are individually identified and evaluated for impairment based on a combination of internally assigned risk ratings and a defined dollar threshold. If a loan is impaired, a specific reserve is applied to the loan so that the loan is reported, net, at the discounted expected future cash flows or at the fair value of collateral if repayment is collateral dependent. Impaired loans which do not meet the criteria for individual evaluation are evaluated in homogeneous pools of loans with similar risk characteristics.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the accounting guidance for business combinations, there was no allowance brought forward on any of the loans we acquired in our acquisition of NRB. For purchased non-credit impaired loans, credit discounts representing the principal losses expected over the life of the loan are a component of the initial fair value and the discount is accreted to interest income over the life of the loan. Subsequent to the acquisition date, the method used to evaluate the sufficiency of the credit discount is similar to organic loans, and if necessary, additional reserves are recognized in the allowance. At the close of the NRB acquisition, there were no purchase credit impaired loans. As of September 30, 2022, the remaining mark is $0.7 million. In addition, the allowance includes $0.8 million on-balance-sheet and $30.0 thousand off-balance-sheet reserves for loan downgrades, increases in usage of lines of credit, construction disbursements and reclassifications of product types subsequent to the acquisition.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The following tables presents, by loan type, the changes in the allowance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7"/>
                <w:szCs w:val="17"/>
                <w:color w:val="auto"/>
              </w:rPr>
            </w:pPr>
          </w:p>
        </w:tc>
        <w:tc>
          <w:tcPr>
            <w:tcW w:w="288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r>
      <w:tr>
        <w:trPr>
          <w:trHeight w:val="228"/>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4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39,477</w:t>
            </w:r>
          </w:p>
        </w:tc>
        <w:tc>
          <w:tcPr>
            <w:tcW w:w="14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38,012</w:t>
            </w:r>
          </w:p>
        </w:tc>
        <w:tc>
          <w:tcPr>
            <w:tcW w:w="34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35,866</w:t>
            </w:r>
          </w:p>
        </w:tc>
        <w:tc>
          <w:tcPr>
            <w:tcW w:w="12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41,589</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charge-offs: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23"/>
        </w:trPr>
        <w:tc>
          <w:tcPr>
            <w:tcW w:w="44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loan charge-offs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w:t>
            </w:r>
          </w:p>
        </w:tc>
      </w:tr>
      <w:tr>
        <w:trPr>
          <w:trHeight w:val="20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 of loans previously charged-off:</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3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44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loan recoveries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(recoveries) charge-offs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(recovery of) loan losses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w:t>
            </w: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35,863</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35,863</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allowance increased $6.2 million to $42.1 million at September 30, 2022 from $35.9 million at December 31, 2021. The increase was primarily due to increases in loan balances. At September 30, 2022, we had $38.2 million of impaired loans for which a specific allowance of $5.2 million was made, compared to $53.2 million of impaired loans at December 31, 2021 for which a specific allowance of $5.1 million was made. The ratio of allowance to total loans was 1.09% for September 30, 2022 and 1.08% for December 31, 2021.</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Allowance for Loan Losses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allowance and the percentage of the total amount of loans in each loan category listed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At September 30, 2022</w:t>
            </w:r>
          </w:p>
        </w:tc>
        <w:tc>
          <w:tcPr>
            <w:tcW w:w="240" w:type="dxa"/>
            <w:vAlign w:val="bottom"/>
          </w:tcPr>
          <w:p>
            <w:pPr>
              <w:spacing w:after="0"/>
              <w:rPr>
                <w:sz w:val="20"/>
                <w:szCs w:val="20"/>
                <w:color w:val="auto"/>
              </w:rPr>
            </w:pPr>
          </w:p>
        </w:tc>
        <w:tc>
          <w:tcPr>
            <w:tcW w:w="27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At December 31, 2021</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 loans</w:t>
            </w:r>
          </w:p>
        </w:tc>
      </w:tr>
      <w:tr>
        <w:trPr>
          <w:trHeight w:val="20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12,706</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24.8 %</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51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59.0 %</w:t>
            </w:r>
          </w:p>
        </w:tc>
      </w:tr>
      <w:tr>
        <w:trPr>
          <w:trHeight w:val="257"/>
        </w:trPr>
        <w:tc>
          <w:tcPr>
            <w:tcW w:w="5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32.2 %</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23"/>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retail portfolio</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12,776</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41.0 %</w:t>
            </w:r>
          </w:p>
        </w:tc>
      </w:tr>
      <w:tr>
        <w:trPr>
          <w:trHeight w:val="257"/>
        </w:trPr>
        <w:tc>
          <w:tcPr>
            <w:tcW w:w="5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allowance for loan losses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35,866</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Nonperforming assets include all loans categorized as nonaccrual or restructured, other real estate owned and other repossessed assets. The accrual of interest on loans is discontinued, or the loan is placed on nonaccrual, when the full collection of principal and interest is in doubt. We generally do not accrue interest on loans that are 90 days or more past due (unless we are in the process of collection or an extension and determine that the customer is not in financial difficulty). When a loan is placed on nonaccrual, previously accrued but unpaid interest is reversed and charged against interest income and future accruals of interest are discontinued. Payments by borrowers for loans on nonaccrual are applied to loan principal. Loans are returned to accrual status when, in our judgment, the borrower’s ability to satisfy principal and interest obligations under the loan agreement has improved sufficiently to reasonably assure recovery of principal and the borrower has demonstrated a sustained period of repayment performance.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loan is identified as a troubled debt restructuring, or TDR, when we, for economic or legal reasons related to the borrower’s financial difficulties, grant a concession to the borrower. The concessions may be granted in various forms, including interest rate reductions, principal forgiveness, extension of maturity date, waiver or deferral of payments and other actions intended to minimize potential losses. A loan that has been restructured as a TDR may not be disclosed as a TDR in years subsequent to the restructuring if certain conditions are met. Generally, a nonaccrual loan that is restructured remains on nonaccrual status for a period no less than six months to demonstrate that the borrower can meet the restructured terms. However, the borrower’s performance prior to the restructuring or other significant events at the time of restructuring may be considered in assessing whether the borrower can meet the new terms and may result in the loan being returned to accrual status after a shorter performance period. If the borrower’s performance under the new terms is not reasonably assured, the loan remains classified as a nonaccrual loan.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The following table sets forth our nonperforming assets as of September 30, 2022 and December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0"/>
                <w:szCs w:val="20"/>
                <w:color w:val="auto"/>
              </w:rPr>
            </w:pPr>
          </w:p>
        </w:tc>
        <w:tc>
          <w:tcPr>
            <w:tcW w:w="1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90 days past due and accruing</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held for sale</w:t>
            </w: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Troubled debt restructured loans - accruing loans held for sale</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excluding held for sale loans and restructured loans</w:t>
            </w: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14,722</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Troubled debt restructured loans - nonaccrual</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13,497</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Troubled debt restructured loans - accruing</w:t>
            </w: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24,997</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Impaired securities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54,291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54,586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 loans: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9,356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8,313</w:t>
            </w: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2,907</w:t>
            </w:r>
          </w:p>
        </w:tc>
      </w:tr>
      <w:tr>
        <w:trPr>
          <w:trHeight w:val="229"/>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4,054</w:t>
            </w:r>
          </w:p>
        </w:tc>
      </w:tr>
      <w:tr>
        <w:trPr>
          <w:trHeight w:val="23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8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17,764</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15,274</w:t>
            </w:r>
          </w:p>
        </w:tc>
      </w:tr>
      <w:tr>
        <w:trPr>
          <w:trHeight w:val="250"/>
        </w:trPr>
        <w:tc>
          <w:tcPr>
            <w:tcW w:w="7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12,525</w:t>
            </w: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7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retail portfolio</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2,057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12,945</w:t>
            </w:r>
          </w:p>
        </w:tc>
      </w:tr>
      <w:tr>
        <w:trPr>
          <w:trHeight w:val="248"/>
        </w:trPr>
        <w:tc>
          <w:tcPr>
            <w:tcW w:w="7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nonaccrual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28,219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0.77 %</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assets to total assets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0.42 %</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 to total loans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0.85 %</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 to nonaccrual loans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212.51 %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127.10 %</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to total loans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net charge-offs (recoveries) to average loans</w:t>
            </w: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0.17 %</w:t>
            </w:r>
          </w:p>
        </w:tc>
      </w:tr>
    </w:tbl>
    <w:p>
      <w:pPr>
        <w:spacing w:after="0" w:line="3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Nonperforming assets totaled $54.3 million, or 0.69% of period-end total assets at September 30, 2022, a decrease of $0.3 million, compared with $54.6 million, or 0.77% of period-end total assets at December 31, 2021. The decrease in non-performing assets at September 30, 2022 compared to December 31, 2021 assets was primarily driven by the sale of $3.9 million of residential loans held for sale during the quarter in addition to the pay down of $5.8 million of commercial and industrial loans that are part of one borrower relationship and one $3.5 million nonaccrual multifamily loan that was paid off. This decrease was almost entirely offset by the restructuring of $6.5 million in loans that are part of one borrower relationship, as well as two loans totaling $5.2 million that were moved to nonaccrual in the second quarter of 2022, leading to the overall stable balance of nonperforming assets.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Potential problem loans are loans which management has doubts as to the ability of the borrowers to comply with the present loan repayment terms. Potential problem loans are performing loans and include our special mention and substandard-accruing commercial loans and/or loans 30-89 days past due. Potential problem loans are not included in the nonperforming assets table above and totaled $84.9 million, or 1.1% of total assets, at September 30, 2022, as follows: $81.6 million are commercial loans currently in workout that management expects will be rehabilitated; $3.3 million are residential 1-4 family or retail loans, with $464 thousand at 30 days delinquent, and $2.8 million at 60 days delinquent.</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Resell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we have entered into $192.8 million of short term investments of resell agreements backed by residential first-lien mortgage loans, with a weighted interest rate of 3.69%. As of December 31, 2021, we have entered into $229.0 million of short term investments of resell agreements backed by residential first-lien mortgage loans, with a weighted interest rate of 1.21%.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 deferred tax asset, net of deferred tax liabilities, of $64.0 million at September 30, 2022 and $26.7 million at December 31, 2021. As of September 30, 2022, our deferred tax assets were fully realizable with no valuation allowance held against the balance. Our management concluded that it was more-likely-than-not that the entire amount will be realized.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evaluate the recoverability of our net deferred tax asset on a periodic basis and record decreases (increases) as a deferred tax provision (benefit) in the Consolidated Statements of Income as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Deposits represent our primary source of funds. We are focused on growing our core deposits through relationship-based banking with our business and consumer clients. Total deposits were $7.2 billion at September 30, 2022, compared to $6.4 billion at December 31, 2021. We believe that our strong deposit franchise is attributable to our mission-based strategy of developing and maintaining relationships with our clients who share similar values and through maintaining a high level of service.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gather deposits through each of our three branch locations across New York City, our one branch in Washington, D.C., our one branch in San Francisco and through the efforts of our commercial banking team including our Boston group which focuses nationally on business growth. Through our branch network, online, mobile and direct banking channels, we offer a variety of deposit products including demand deposit accounts, money market deposits, NOW accounts, savings and certificates of deposit. We bank politically active customers, such as campaigns, PACs, and state and national party committees, which we refer to as political deposits. These deposits exhibit seasonality based on election cycles. As of September 30, 2022 and December 31, 2021, we had approximately $1.2 billion and $989.6 million, respectively, in political deposits which are primarily in demand deposits.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time certificates of deposit and other time deposits of $100,000 or more outstanding at September 30, 2022 are summarized as follows:</w:t>
      </w:r>
    </w:p>
    <w:p>
      <w:pPr>
        <w:spacing w:after="0" w:line="2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Maturities as of September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3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three months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62,249</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three but within six months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39,056</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six months but within twelve months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46,688</w:t>
            </w:r>
          </w:p>
        </w:tc>
      </w:tr>
      <w:tr>
        <w:trPr>
          <w:trHeight w:val="23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twelve months</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35,018</w:t>
            </w:r>
          </w:p>
        </w:tc>
      </w:tr>
      <w:tr>
        <w:trPr>
          <w:trHeight w:val="248"/>
        </w:trPr>
        <w:tc>
          <w:tcPr>
            <w:tcW w:w="3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183,011</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Interest Rate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simulation models incorporate various assumptions, which we believe are reasonable but which may have a significant impact on results such as: (1) the timing of changes in interest rates, (2) shifts or rotations in the yield curve, (3) loan and securities prepayment speeds for different interest rate scenarios, (4) interest rates and balances of indeterminate-maturity deposits for different scenarios, and (5) new volume and yield assumptions for loans, securities and deposits. Because of limitations inherent in any approach used to measure interest rate risk, simulation results are not intended as a forecast of the actual effect of a change in market interest rates on our results but rather to better plan and execute appropriate asset-liability management strategies and manage our interest rate risk.</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Potential changes to our net interest income and economic value of equity in hypothetical rising and declining rate scenarios calculated as of September 30, 2022 are presented in the following table. The projections assume immediate, parallel shifts downward of the yield curve of 100 basis points and immediate, parallel shifts upward of the yield curve of 100, 200, 300 and 400</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basis points. In the current interest rate environment, a downward shift of the yield curve of 200, 300 and 400 basis points does not provide us with meaningful results and, therefore, is not shown.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this simulation analysis are hypothetical and should not be relied on as indicative of expected operating results. A variety of factors might cause actual results to differ substantially from what is depicted. For example, if the timing and magnitude of interest rate changes differ from those projected, our net interest income might vary significantly. Non-parallel yield curve shifts such as a flattening or steepening of the yield curve or changes in interest rate spreads, would also cause our net interest income to be different from that depicted. An increasing interest rate environment could reduce projected net interest income if deposits and other short-term liabilities re-price faster than expected or faster than our assets re-price. Actual results could differ from those projected if we grow assets and liabilities faster or slower than estimated, if we experience a net outflow of deposit liabilities or if our mix of assets and liabilities otherwise changes. Actual results could also differ from those projected if we experience substantially different repayment speeds in our loan portfolio than those assumed in the simulation model. Finally, these simulation results do not contemplate all the actions that we may undertake in response to potential or actual changes in interest rates, such as changes to our loan, investment, deposit, funding or hedging strategies.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Market Interest Rates as of</w:t>
            </w:r>
          </w:p>
        </w:tc>
        <w:tc>
          <w:tcPr>
            <w:tcW w:w="1900" w:type="dxa"/>
            <w:vAlign w:val="bottom"/>
          </w:tcPr>
          <w:p>
            <w:pPr>
              <w:spacing w:after="0"/>
              <w:rPr>
                <w:sz w:val="17"/>
                <w:szCs w:val="17"/>
                <w:color w:val="auto"/>
              </w:rPr>
            </w:pPr>
          </w:p>
        </w:tc>
        <w:tc>
          <w:tcPr>
            <w:tcW w:w="40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Estimated Increase (Decrease) in:</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900" w:type="dxa"/>
            <w:vAlign w:val="bottom"/>
          </w:tcPr>
          <w:p>
            <w:pPr>
              <w:spacing w:after="0"/>
              <w:rPr>
                <w:sz w:val="21"/>
                <w:szCs w:val="21"/>
                <w:color w:val="auto"/>
              </w:rPr>
            </w:pPr>
          </w:p>
        </w:tc>
        <w:tc>
          <w:tcPr>
            <w:tcW w:w="4020" w:type="dxa"/>
            <w:vAlign w:val="bottom"/>
            <w:gridSpan w:val="2"/>
            <w:vMerge w:val="continue"/>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Borders>
              <w:top w:val="single" w:sz="8" w:color="auto"/>
            </w:tcBorders>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8"/>
              </w:rPr>
              <w:t>Economic Value of</w:t>
            </w:r>
          </w:p>
        </w:tc>
        <w:tc>
          <w:tcPr>
            <w:tcW w:w="20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Economic Value of</w:t>
            </w:r>
          </w:p>
        </w:tc>
        <w:tc>
          <w:tcPr>
            <w:tcW w:w="2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Year 1 Net Interest</w:t>
            </w:r>
          </w:p>
        </w:tc>
        <w:tc>
          <w:tcPr>
            <w:tcW w:w="1900" w:type="dxa"/>
            <w:vAlign w:val="bottom"/>
            <w:tcBorders>
              <w:top w:val="single" w:sz="8" w:color="auto"/>
            </w:tcBorders>
          </w:tcPr>
          <w:p>
            <w:pPr>
              <w:jc w:val="center"/>
              <w:ind w:left="10"/>
              <w:spacing w:after="0" w:line="169" w:lineRule="exact"/>
              <w:rPr>
                <w:sz w:val="20"/>
                <w:szCs w:val="20"/>
                <w:color w:val="auto"/>
              </w:rPr>
            </w:pPr>
            <w:r>
              <w:rPr>
                <w:rFonts w:ascii="Times New Roman" w:cs="Times New Roman" w:eastAsia="Times New Roman" w:hAnsi="Times New Roman"/>
                <w:sz w:val="18"/>
                <w:szCs w:val="18"/>
                <w:color w:val="auto"/>
                <w:w w:val="98"/>
              </w:rPr>
              <w:t>Year 1 Net Interest</w:t>
            </w: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Immediate Shift</w:t>
            </w:r>
          </w:p>
        </w:tc>
        <w:tc>
          <w:tcPr>
            <w:tcW w:w="1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Equity</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Equity ($)</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1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Income ($)</w:t>
            </w: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basis points</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8"/>
              </w:rPr>
              <w:t>-24.1%</w:t>
            </w: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(349,850)</w:t>
            </w: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190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(20,062)</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1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-15.0%</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(218,710)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(4,427)</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19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-7.9%</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(114,645)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4,271</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-2.0%</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(29,518)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1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5,494</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9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-3.2%</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(46,575)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-3.7%</w:t>
            </w:r>
          </w:p>
        </w:tc>
        <w:tc>
          <w:tcPr>
            <w:tcW w:w="1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(10,531)</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Liquidity refers to our ability to maintain cash flow that is adequate to fund our operations, support asset growth, maintain reserve requirements and meet present and future obligations of deposit withdrawals, lending obligations and other contractual obligations through either the sale or maturity of existing assets or by obtaining additional funding through liability management. Our liquidity risk management policy provides the framework that we use to maintain adequate liquidity and sources of available liquidity at levels that enable us to meet all reasonably foreseeable short-term, long-term and strategic liquidity demands. The Asset and Liability Management Committee is responsible for oversight of liquidity risk management activities in accordance with the provisions of our liquidity risk policy and applicable bank regulatory capital and liquidity laws and regulations. Our liquidity risk management process includes (i) ongoing analysis and monitoring of our funding requirements under various balance sheet and economic scenarios, (ii) review and monitoring of lenders, depositors, brokers and other liability holders to ensure appropriate diversification of funding sources and (iii) liquidity contingency planning to address liquidity needs in the event of unforeseen market disruption impacting a wide range of variables. We continuously monitor our liquidity position in order for our assets and liabilities to be managed in a manner that will meet our immediate and long-term funding requirements. We manage our liquidity position to meet the daily cash flow needs of customers, while maintaining an appropriate balance between assets and liabilities to meet the return on investment objectives of our stockholders. We also monitor our liquidity requirements in light of interest rate trends, changes in the economy, and the scheduled maturity and interest rate sensitivity of our securities and loan portfolios and deposits. Liquidity management is made more complicated because different balance sheet components are subject to varying degrees of management control. For example, the timing of maturities of our investment portfolio is fairly predictable and subject to a high degree of control when we make investment decisions. Net deposit inflows and outflows, however, are far less predictable and are not subject to the same degree of certainty.</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position is supported by management of our liquid assets and liabilities and access to alternative sources of funds. Our short-term and long-term liquidity requirements are primarily to fund on-going operations, including payment of interest on deposits and debt, extensions of credit to borrowers and capital expenditures. These liquidity requirements are met primarily through our deposits, FHLB advances and the principal and interest payments we receive on loans and investment securities. Cash, interest-bearing deposits in third-party banks, securities available for sale and maturing or prepaying balances in our investment and loan portfolios are our most liquid assets. Other sources of liquidity that are available to us include the sale of loans we hold for investment, the ability to acquire additional national market non-core deposits, borrowings through the Federal</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Reserve’s discount window and the issuance of debt or equity securities. We believe that the sources of available liquidity are adequate to meet our current and reasonably foreseeable future liquidity needs.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2022, our cash and equivalents, which consist of cash and amounts due from banks and interest-bearing deposits in other financial institutions, amounted to $66.2 million, or 0.8% of total assets, compared to $330.5 million, or 4.7% of total assets at December 31, 2021. The $264.3 million, or 80.0%, decrease is due to deposit outflows during the quarter as well as significant loan funding. Our available for sale securities at September 30, 2022 were $2.0 billion, or 24.9% of total assets, compared to $2.1 billion, or 29.9% of total assets at December 31, 2021. Investment securities with an aggregate fair value of $92.4 million at September 30, 2022 were pledged to secure public deposits and repurchase agreements.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liability portion of the balance sheet serves as our primary source of liquidity. We plan to meet our future cash needs through the generation of deposits. Customer deposits have historically provided a sizeable source of relatively stable and low-cost funds. We are also a member of the FHLB, from which we can borrow for leverage or liquidity purposes. The FHLB requires that securities and qualifying loans be pledged to secure any advances. At September 30, 2022, we had $75.0 million in advances from the FHLB and a remaining credit availability of $1.4 billion. In addition, we maintain borrowing capacity of approximately $63.9 million with the Federal Reserve’s discount window that is secured by certain securities from our portfolio which are not pledged for other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Total stockholders’ equity at September 30, 2022 was $487.7 million, compared to $563.9 million at December 31, 2021, a decrease of $76.1 million. The decrease was primarily driven by a $113.3 million decrease in accumulated other comprehensive income due to the mark to market on our securities portfolio and was partially offset by $56.7 million of net income. Also attributing to the decrease in total stockholders' equity was an $11.5 million decrease in additional paid-in capital, which was primarily driven by $12.5 million of common stock that was purchased as part of our share repurchase program in the first three quarters of 2022. Further attributing to this decrease was $8.0 million of dividends paid.</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regulatory capital requirements administered by federal banking regulators. Failure to meet minimum capital requirements can initiate certain mandatory and possibly additional discretionary actions by federal banking regulators that, if undertaken, could have a direct material effect on our financial statements.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Regulatory capital rules adopted in July 2013 and fully phased in as of January 1, 2019, which are referred to as the Basel III rules, impose minimum capital requirements for bank holding companies and banks. The Basel III rules apply to all national and state banks and savings associations regardless of size and bank holding companies and savings and loan holding companies with consolidated assets of more than $3 billion. In order to avoid restrictions on capital distributions or discretionary bonus payments to executives, a covered banking organization must maintain the fully phased in “capital conservation buffer” of 2.5% on top of its minimum risk-based capital requirements. This buffer must consist solely of common equity Tier 1 risk-based capital, but the buffer applies to all three measurements (common equity Tier 1 risk-based capital, Tier 1 capital and total capital). The capital conservation is equal to 2.5% of risk-weighted assets.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The following table shows the regulatory capital ratios for the Bank and the Company at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For Capital</w:t>
            </w:r>
          </w:p>
        </w:tc>
        <w:tc>
          <w:tcPr>
            <w:tcW w:w="160" w:type="dxa"/>
            <w:vAlign w:val="bottom"/>
          </w:tcPr>
          <w:p>
            <w:pPr>
              <w:spacing w:after="0"/>
              <w:rPr>
                <w:sz w:val="20"/>
                <w:szCs w:val="20"/>
                <w:color w:val="auto"/>
              </w:rPr>
            </w:pPr>
          </w:p>
        </w:tc>
        <w:tc>
          <w:tcPr>
            <w:tcW w:w="20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 Be Considered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gridSpan w:val="4"/>
          </w:tcPr>
          <w:p>
            <w:pPr>
              <w:jc w:val="center"/>
              <w:ind w:right="420"/>
              <w:spacing w:after="0" w:line="243" w:lineRule="exact"/>
              <w:rPr>
                <w:sz w:val="20"/>
                <w:szCs w:val="20"/>
                <w:color w:val="auto"/>
              </w:rPr>
            </w:pPr>
            <w:r>
              <w:rPr>
                <w:rFonts w:ascii="Times New Roman" w:cs="Times New Roman" w:eastAsia="Times New Roman" w:hAnsi="Times New Roman"/>
                <w:sz w:val="18"/>
                <w:szCs w:val="18"/>
                <w:b w:val="1"/>
                <w:bCs w:val="1"/>
                <w:color w:val="auto"/>
                <w:w w:val="97"/>
              </w:rPr>
              <w:t>Adequacy Purposes</w:t>
            </w:r>
            <w:r>
              <w:rPr>
                <w:rFonts w:ascii="Times New Roman" w:cs="Times New Roman" w:eastAsia="Times New Roman" w:hAnsi="Times New Roman"/>
                <w:sz w:val="23"/>
                <w:szCs w:val="23"/>
                <w:b w:val="1"/>
                <w:bCs w:val="1"/>
                <w:color w:val="auto"/>
                <w:w w:val="97"/>
                <w:vertAlign w:val="superscript"/>
              </w:rPr>
              <w:t>(1)</w:t>
            </w:r>
          </w:p>
        </w:tc>
        <w:tc>
          <w:tcPr>
            <w:tcW w:w="160" w:type="dxa"/>
            <w:vAlign w:val="bottom"/>
          </w:tcPr>
          <w:p>
            <w:pPr>
              <w:spacing w:after="0"/>
              <w:rPr>
                <w:sz w:val="21"/>
                <w:szCs w:val="21"/>
                <w:color w:val="auto"/>
              </w:rPr>
            </w:pPr>
          </w:p>
        </w:tc>
        <w:tc>
          <w:tcPr>
            <w:tcW w:w="20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Well Capitalized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386,132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482,665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289,599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386,132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320,975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401,218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217,199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313,732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Bank:</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386,125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482,657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Tier I capital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289,594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386,125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320,973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401,217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217,195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313,727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656,719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329,471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411,839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247,103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329,471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280,454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350,567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185,327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267,695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Bank:</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329,376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411,720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247,032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329,376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280,433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205,860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13.98 %</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185,274</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267,618</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Amounts are shown exclusive of the capital conservation buffer of 2.50%.</w:t>
      </w:r>
    </w:p>
    <w:p>
      <w:pPr>
        <w:spacing w:after="0" w:line="25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and the Bank were categorized as “well capitalized” under the prompt corrective action measures and met the capital conservation buffer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have entered into contractual obligations in the normal course of business that involve elements of credit risk, interest rate risk and liquidity risk. The following table summarizes these relations as of September 30, 2022 and December 31,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2"/>
            <w:vMerge w:val="restart"/>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180"/>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5"/>
                <w:szCs w:val="15"/>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40" w:type="dxa"/>
            <w:vAlign w:val="bottom"/>
          </w:tcPr>
          <w:p>
            <w:pPr>
              <w:spacing w:after="0"/>
              <w:rPr>
                <w:sz w:val="15"/>
                <w:szCs w:val="15"/>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60" w:type="dxa"/>
            <w:vAlign w:val="bottom"/>
          </w:tcPr>
          <w:p>
            <w:pPr>
              <w:spacing w:after="0"/>
              <w:rPr>
                <w:sz w:val="15"/>
                <w:szCs w:val="15"/>
                <w:color w:val="auto"/>
              </w:rPr>
            </w:pPr>
          </w:p>
        </w:tc>
        <w:tc>
          <w:tcPr>
            <w:tcW w:w="2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Subordinated Debt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77,679</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77,679</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Leases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Purchase Obligations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Certificates of Deposit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183,011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85,181</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175"/>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5"/>
                <w:szCs w:val="15"/>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240" w:type="dxa"/>
            <w:vAlign w:val="bottom"/>
          </w:tcPr>
          <w:p>
            <w:pPr>
              <w:spacing w:after="0"/>
              <w:rPr>
                <w:sz w:val="15"/>
                <w:szCs w:val="15"/>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40" w:type="dxa"/>
            <w:vAlign w:val="bottom"/>
          </w:tcPr>
          <w:p>
            <w:pPr>
              <w:spacing w:after="0"/>
              <w:rPr>
                <w:sz w:val="15"/>
                <w:szCs w:val="15"/>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50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Subordinated Debt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83,831</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83,831</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Leases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Purchase Obligations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Certificates of Deposit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207,152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93,457</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Obligations</w:t>
      </w:r>
    </w:p>
    <w:p>
      <w:pPr>
        <w:spacing w:after="0" w:line="2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are a party to agreements with Pace Funding Group LLC, which operates Home Run Financing, for the purchase of property assessed clean energy, or PACE, assessment securities until the end of 2022. These investments are to be held in our held-to-maturity investment portfolio. As of September 30, 2022, we had purchased $409.6 million of these obligations and had an estimated remaining commitment of $45.0 million. The PACE assessments have equal-lien priority with property taxes and generally rank senior to first lien mortgages. We anticipate these commitments will be funded by means of normal cash flows, by a reduction in cash and cash equivalents, or by pay-downs and maturities of loans and other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68" w:right="499" w:bottom="1440" w:gutter="0" w:footer="0" w:header="0"/>
        </w:sectPr>
      </w:pPr>
    </w:p>
    <w:bookmarkStart w:id="67" w:name="page68"/>
    <w:bookmarkEnd w:id="67"/>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market risk as of September 30, 2022 from that presented in the 2021 Annual Report. Our interest rate sensitivity position at September 30, 2022 is set forth in the table labeled “Evaluation of Interest Rate Risk” in Management’s Discussion and Analysis of Financial Condition and Results of Operation of this Quarterly Report on Form 10-Q and incorporated herein by this reference.</w:t>
      </w:r>
    </w:p>
    <w:p>
      <w:pPr>
        <w:spacing w:after="0" w:line="200" w:lineRule="exact"/>
        <w:rPr>
          <w:sz w:val="20"/>
          <w:szCs w:val="20"/>
          <w:color w:val="auto"/>
        </w:rPr>
      </w:pPr>
    </w:p>
    <w:p>
      <w:pPr>
        <w:spacing w:after="0" w:line="20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have evaluated the effectiveness of our disclosure controls and procedures (as defined in Exchange Act Rule 13a-15(e), as of September 30, 2022. Based on such evaluations, our principal executive officer and principal financial officer concluded that, as of such date, our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such term is defined in Exchange Act Rule 13a-15(f)) that occurred during the quarter ended September 30, 2022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certain pending and threatened legal proceedings that arise out of the ordinary course of business. Additionally, we, like all banking organizations, are subject to regulatory examinations and investigations. Based upon management’s current knowledge, following consultation with legal counsel, in the opinion of management, there is no pending or threatened legal matter that would result in a material adverse effect on our consolidated financial condition or results of operation, either individually or in the aggregate.</w:t>
      </w:r>
    </w:p>
    <w:p>
      <w:pPr>
        <w:spacing w:after="0" w:line="200" w:lineRule="exact"/>
        <w:rPr>
          <w:sz w:val="20"/>
          <w:szCs w:val="20"/>
          <w:color w:val="auto"/>
        </w:rPr>
      </w:pPr>
    </w:p>
    <w:p>
      <w:pPr>
        <w:spacing w:after="0" w:line="21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shares of our common stock involves certain risks, including those identified and described in Item 1A. of our Annual Report on Form 10-K for the fiscal year ended December 31, 2021, as filed with the SEC on March 11, 2022, as well as cautionary statements contained in this report, including those under the caption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risks and matters described elsewhere in this report and in our other filings with the SEC.</w:t>
      </w:r>
    </w:p>
    <w:p>
      <w:pPr>
        <w:spacing w:after="0" w:line="19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regarding purchases of our common stock during the three months ended September 30, 2022 by or on behalf of the Company or any “affiliate purchaser” as defined in Rule 10b-18(a)(3) under the Exchange Act:</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Period (Settlement Date)</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 through July 31, 2022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1 through August 31, 2022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September 1 through September 30, 2022</w:t>
      </w:r>
    </w:p>
    <w:p>
      <w:pPr>
        <w:spacing w:after="0" w:line="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Approximate dollar value</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0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40" w:type="dxa"/>
            <w:vAlign w:val="bottom"/>
          </w:tcPr>
          <w:p>
            <w:pPr>
              <w:spacing w:after="0"/>
              <w:rPr>
                <w:sz w:val="15"/>
                <w:szCs w:val="15"/>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that may yet be</w:t>
            </w:r>
          </w:p>
        </w:tc>
        <w:tc>
          <w:tcPr>
            <w:tcW w:w="0" w:type="dxa"/>
            <w:vAlign w:val="bottom"/>
          </w:tcPr>
          <w:p>
            <w:pPr>
              <w:spacing w:after="0"/>
              <w:rPr>
                <w:sz w:val="1"/>
                <w:szCs w:val="1"/>
                <w:color w:val="auto"/>
              </w:rPr>
            </w:pPr>
          </w:p>
        </w:tc>
      </w:tr>
      <w:tr>
        <w:trPr>
          <w:trHeight w:val="189"/>
        </w:trPr>
        <w:tc>
          <w:tcPr>
            <w:tcW w:w="1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00" w:type="dxa"/>
            <w:vAlign w:val="bottom"/>
          </w:tcPr>
          <w:p>
            <w:pPr>
              <w:spacing w:after="0"/>
              <w:rPr>
                <w:sz w:val="16"/>
                <w:szCs w:val="16"/>
                <w:color w:val="auto"/>
              </w:rPr>
            </w:pPr>
          </w:p>
        </w:tc>
        <w:tc>
          <w:tcPr>
            <w:tcW w:w="206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purchased under plans or</w:t>
            </w:r>
          </w:p>
        </w:tc>
        <w:tc>
          <w:tcPr>
            <w:tcW w:w="0" w:type="dxa"/>
            <w:vAlign w:val="bottom"/>
          </w:tcPr>
          <w:p>
            <w:pPr>
              <w:spacing w:after="0"/>
              <w:rPr>
                <w:sz w:val="1"/>
                <w:szCs w:val="1"/>
                <w:color w:val="auto"/>
              </w:rPr>
            </w:pPr>
          </w:p>
        </w:tc>
      </w:tr>
      <w:tr>
        <w:trPr>
          <w:trHeight w:val="230"/>
        </w:trPr>
        <w:tc>
          <w:tcPr>
            <w:tcW w:w="1880" w:type="dxa"/>
            <w:vAlign w:val="bottom"/>
            <w:gridSpan w:val="2"/>
          </w:tcPr>
          <w:p>
            <w:pPr>
              <w:jc w:val="center"/>
              <w:ind w:right="200"/>
              <w:spacing w:after="0" w:line="230" w:lineRule="exact"/>
              <w:rPr>
                <w:sz w:val="20"/>
                <w:szCs w:val="20"/>
                <w:color w:val="auto"/>
              </w:rPr>
            </w:pPr>
            <w:r>
              <w:rPr>
                <w:rFonts w:ascii="Times New Roman" w:cs="Times New Roman" w:eastAsia="Times New Roman" w:hAnsi="Times New Roman"/>
                <w:sz w:val="18"/>
                <w:szCs w:val="18"/>
                <w:b w:val="1"/>
                <w:bCs w:val="1"/>
                <w:color w:val="auto"/>
                <w:w w:val="94"/>
              </w:rPr>
              <w:t xml:space="preserve">shares purchased </w:t>
            </w:r>
            <w:r>
              <w:rPr>
                <w:rFonts w:ascii="Times New Roman" w:cs="Times New Roman" w:eastAsia="Times New Roman" w:hAnsi="Times New Roman"/>
                <w:sz w:val="23"/>
                <w:szCs w:val="23"/>
                <w:b w:val="1"/>
                <w:bCs w:val="1"/>
                <w:color w:val="auto"/>
                <w:w w:val="94"/>
                <w:vertAlign w:val="superscript"/>
              </w:rPr>
              <w:t>(1)</w:t>
            </w:r>
          </w:p>
        </w:tc>
        <w:tc>
          <w:tcPr>
            <w:tcW w:w="14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47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programs </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18"/>
        </w:trPr>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19,756</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22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14,656</w:t>
            </w:r>
          </w:p>
        </w:tc>
        <w:tc>
          <w:tcPr>
            <w:tcW w:w="200" w:type="dxa"/>
            <w:vAlign w:val="bottom"/>
          </w:tcPr>
          <w:p>
            <w:pPr>
              <w:spacing w:after="0"/>
              <w:rPr>
                <w:sz w:val="18"/>
                <w:szCs w:val="18"/>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28,553,565</w:t>
            </w:r>
          </w:p>
        </w:tc>
        <w:tc>
          <w:tcPr>
            <w:tcW w:w="0" w:type="dxa"/>
            <w:vAlign w:val="bottom"/>
          </w:tcPr>
          <w:p>
            <w:pPr>
              <w:spacing w:after="0"/>
              <w:rPr>
                <w:sz w:val="1"/>
                <w:szCs w:val="1"/>
                <w:color w:val="auto"/>
              </w:rPr>
            </w:pPr>
          </w:p>
        </w:tc>
      </w:tr>
      <w:tr>
        <w:trPr>
          <w:trHeight w:val="230"/>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28,098,365</w:t>
            </w:r>
          </w:p>
        </w:tc>
        <w:tc>
          <w:tcPr>
            <w:tcW w:w="0" w:type="dxa"/>
            <w:vAlign w:val="bottom"/>
          </w:tcPr>
          <w:p>
            <w:pPr>
              <w:spacing w:after="0"/>
              <w:rPr>
                <w:sz w:val="1"/>
                <w:szCs w:val="1"/>
                <w:color w:val="auto"/>
              </w:rPr>
            </w:pPr>
          </w:p>
        </w:tc>
      </w:tr>
      <w:tr>
        <w:trPr>
          <w:trHeight w:val="234"/>
        </w:trPr>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28,098,365</w:t>
            </w:r>
          </w:p>
        </w:tc>
        <w:tc>
          <w:tcPr>
            <w:tcW w:w="0" w:type="dxa"/>
            <w:vAlign w:val="bottom"/>
          </w:tcPr>
          <w:p>
            <w:pPr>
              <w:spacing w:after="0"/>
              <w:rPr>
                <w:sz w:val="1"/>
                <w:szCs w:val="1"/>
                <w:color w:val="auto"/>
              </w:rPr>
            </w:pPr>
          </w:p>
        </w:tc>
      </w:tr>
      <w:tr>
        <w:trPr>
          <w:trHeight w:val="223"/>
        </w:trPr>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43,588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21.78</w:t>
            </w:r>
          </w:p>
        </w:tc>
        <w:tc>
          <w:tcPr>
            <w:tcW w:w="22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34,656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-334010</wp:posOffset>
            </wp:positionV>
            <wp:extent cx="713232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-633730</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720"/>
            <w:col w:w="7440"/>
          </w:cols>
          <w:pgMar w:left="320" w:top="927" w:right="339" w:bottom="1440" w:gutter="0" w:footer="0" w:header="0"/>
          <w:type w:val="continuous"/>
        </w:sectPr>
      </w:pPr>
    </w:p>
    <w:p>
      <w:pPr>
        <w:spacing w:after="0" w:line="115" w:lineRule="exact"/>
        <w:rPr>
          <w:sz w:val="20"/>
          <w:szCs w:val="20"/>
          <w:color w:val="auto"/>
        </w:rPr>
      </w:pP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withheld by the Company to pay the taxes associated with the vesting of stock options. There were 8,932 shares withheld for taxes during the quarter.</w:t>
      </w:r>
    </w:p>
    <w:p>
      <w:pPr>
        <w:spacing w:after="0" w:line="244" w:lineRule="exact"/>
        <w:rPr>
          <w:rFonts w:ascii="Times New Roman" w:cs="Times New Roman" w:eastAsia="Times New Roman" w:hAnsi="Times New Roman"/>
          <w:sz w:val="14"/>
          <w:szCs w:val="14"/>
          <w:color w:val="auto"/>
        </w:rPr>
      </w:pPr>
    </w:p>
    <w:p>
      <w:pPr>
        <w:jc w:val="both"/>
        <w:ind w:firstLine="8"/>
        <w:spacing w:after="0" w:line="281" w:lineRule="auto"/>
        <w:tabs>
          <w:tab w:leader="none" w:pos="20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February 25, 2022, the Company’s Board of Directors approved an increase to the share repurchase program authorizing the repurchase of an aggregate amount up to $40 million of the Company's outstanding common stock. The authorization did not require the Company to acquire any specified number of shares and can be suspended or discontinued without prior notice. Under this authorization, $0.7 million of common stock was purchased during the second quarter of 2022.</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797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19685</wp:posOffset>
            </wp:positionV>
            <wp:extent cx="51263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34" w:lineRule="exact"/>
        <w:rPr>
          <w:sz w:val="20"/>
          <w:szCs w:val="20"/>
          <w:color w:val="auto"/>
        </w:rPr>
      </w:pPr>
    </w:p>
    <w:p>
      <w:pPr>
        <w:jc w:val="both"/>
        <w:ind w:right="539"/>
        <w:spacing w:after="0" w:line="282"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Certificate of Incorporation of Amalgamated Financial Corp. (incorporated by reference to Exhibit 3.1 to</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Amalgamated Financial Corp.’s Current Report on Form 8-K filed with the SEC on March 1, 2021).</w:t>
        </w:r>
      </w:hyperlink>
    </w:p>
    <w:p>
      <w:pPr>
        <w:spacing w:after="0" w:line="270" w:lineRule="exact"/>
        <w:rPr>
          <w:sz w:val="20"/>
          <w:szCs w:val="20"/>
          <w:color w:val="auto"/>
        </w:rPr>
      </w:pPr>
    </w:p>
    <w:p>
      <w:pPr>
        <w:jc w:val="both"/>
        <w:ind w:right="559"/>
        <w:spacing w:after="0" w:line="282" w:lineRule="auto"/>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Bylaws of Amalgamated Financial Corp. (incorporated by reference to Exhibit 3.2 to Amalgamated Financial</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Corp.’s Current Report on Form 8-K filed with the SEC on March 1, 2021).</w:t>
        </w:r>
      </w:hyperlink>
    </w:p>
    <w:p>
      <w:pPr>
        <w:spacing w:after="0" w:line="270" w:lineRule="exact"/>
        <w:rPr>
          <w:sz w:val="20"/>
          <w:szCs w:val="20"/>
          <w:color w:val="auto"/>
        </w:rPr>
      </w:pPr>
    </w:p>
    <w:p>
      <w:pPr>
        <w:jc w:val="both"/>
        <w:ind w:right="539"/>
        <w:spacing w:after="0" w:line="261" w:lineRule="auto"/>
        <w:rPr>
          <w:sz w:val="20"/>
          <w:szCs w:val="20"/>
          <w:color w:val="auto"/>
        </w:rPr>
      </w:pPr>
      <w:r>
        <w:rPr>
          <w:rFonts w:ascii="Times New Roman" w:cs="Times New Roman" w:eastAsia="Times New Roman" w:hAnsi="Times New Roman"/>
          <w:sz w:val="18"/>
          <w:szCs w:val="18"/>
          <w:color w:val="auto"/>
        </w:rPr>
        <w:t>Pursuant to Item 601(b)(4)(iii)(A), other instruments that define the rights of holders of the long-term indebtedness of Amalgamated Financial Corp. and its subsidiaries that does not exceed 10% of its consolidated assets have not been filed; however, Amalgamated Financial Corp. agrees to furnish a copy of any such agreement to the SEC upon request.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the Chief Executive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the Chief Financial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Section 1350 Certifications</w:t>
      </w:r>
    </w:p>
    <w:p>
      <w:pPr>
        <w:spacing w:after="0" w:line="266" w:lineRule="exact"/>
        <w:rPr>
          <w:sz w:val="20"/>
          <w:szCs w:val="20"/>
          <w:color w:val="auto"/>
        </w:rPr>
      </w:pPr>
    </w:p>
    <w:p>
      <w:pPr>
        <w:jc w:val="both"/>
        <w:ind w:right="539"/>
        <w:spacing w:after="0" w:line="222" w:lineRule="auto"/>
        <w:rPr>
          <w:sz w:val="20"/>
          <w:szCs w:val="20"/>
          <w:color w:val="auto"/>
        </w:rPr>
      </w:pPr>
      <w:r>
        <w:rPr>
          <w:rFonts w:ascii="Times New Roman" w:cs="Times New Roman" w:eastAsia="Times New Roman" w:hAnsi="Times New Roman"/>
          <w:sz w:val="18"/>
          <w:szCs w:val="18"/>
          <w:color w:val="auto"/>
        </w:rPr>
        <w:t>Interactive data files for the Quarterly Report on Form 10-Q of Amalgamated Financial Corp. for the quarter ended September 30, 2022, formatted in iXBRL (Inline eXtensible Business Reporting Language): (i)</w:t>
      </w:r>
    </w:p>
    <w:p>
      <w:pPr>
        <w:spacing w:after="0" w:line="2" w:lineRule="exact"/>
        <w:rPr>
          <w:sz w:val="20"/>
          <w:szCs w:val="20"/>
          <w:color w:val="auto"/>
        </w:rPr>
      </w:pPr>
    </w:p>
    <w:p>
      <w:pPr>
        <w:jc w:val="both"/>
        <w:ind w:right="539"/>
        <w:spacing w:after="0" w:line="208" w:lineRule="auto"/>
        <w:rPr>
          <w:sz w:val="20"/>
          <w:szCs w:val="20"/>
          <w:color w:val="auto"/>
        </w:rPr>
      </w:pPr>
      <w:r>
        <w:rPr>
          <w:rFonts w:ascii="Times New Roman" w:cs="Times New Roman" w:eastAsia="Times New Roman" w:hAnsi="Times New Roman"/>
          <w:sz w:val="18"/>
          <w:szCs w:val="18"/>
          <w:color w:val="auto"/>
        </w:rPr>
        <w:t>Consolidated Statements of Financial Condition at September 30, 2022 and December 31, 2021, (ii) Consolidated Statements of Income for the quarters ended September 30, 2022 and 2021, (iii) Consolidated Statements of Comprehensive Income for the quarters ended September 30, 2022 and 2021, (iv) Consolidated</w:t>
      </w:r>
    </w:p>
    <w:p>
      <w:pPr>
        <w:spacing w:after="0" w:line="2" w:lineRule="exact"/>
        <w:rPr>
          <w:sz w:val="20"/>
          <w:szCs w:val="20"/>
          <w:color w:val="auto"/>
        </w:rPr>
      </w:pPr>
    </w:p>
    <w:p>
      <w:pPr>
        <w:jc w:val="both"/>
        <w:ind w:right="539"/>
        <w:spacing w:after="0" w:line="218" w:lineRule="auto"/>
        <w:rPr>
          <w:sz w:val="20"/>
          <w:szCs w:val="20"/>
          <w:color w:val="auto"/>
        </w:rPr>
      </w:pPr>
      <w:r>
        <w:rPr>
          <w:rFonts w:ascii="Times New Roman" w:cs="Times New Roman" w:eastAsia="Times New Roman" w:hAnsi="Times New Roman"/>
          <w:sz w:val="18"/>
          <w:szCs w:val="18"/>
          <w:color w:val="auto"/>
        </w:rPr>
        <w:t>Statements of Changes in Shareholders’ Equity for the quarters ended September 30, 2022 and 2021, (v) Consolidated Statements of Cash Flows for the quarters ended September 30, 2022 and 2021 and (vi) Notes to Consolidated Financial Statements (unaudited).</w:t>
      </w:r>
    </w:p>
    <w:p>
      <w:pPr>
        <w:spacing w:after="0" w:line="226" w:lineRule="exact"/>
        <w:rPr>
          <w:sz w:val="20"/>
          <w:szCs w:val="20"/>
          <w:color w:val="auto"/>
        </w:rPr>
      </w:pPr>
    </w:p>
    <w:p>
      <w:pPr>
        <w:jc w:val="both"/>
        <w:ind w:right="559"/>
        <w:spacing w:after="0" w:line="237" w:lineRule="auto"/>
        <w:rPr>
          <w:sz w:val="20"/>
          <w:szCs w:val="20"/>
          <w:color w:val="auto"/>
        </w:rPr>
      </w:pPr>
      <w:r>
        <w:rPr>
          <w:rFonts w:ascii="Times New Roman" w:cs="Times New Roman" w:eastAsia="Times New Roman" w:hAnsi="Times New Roman"/>
          <w:sz w:val="18"/>
          <w:szCs w:val="18"/>
          <w:color w:val="auto"/>
        </w:rPr>
        <w:t>The cover page of Amalgamated Financial Corp.’s Form 10-Q Report for the quarter ended September 30, 2022, formatted in iXBRL (included with the Exhibit 101 attachments).</w:t>
      </w: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227330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280"/>
            <w:col w:w="8579"/>
          </w:cols>
          <w:pgMar w:left="320" w:top="1130" w:right="1440" w:bottom="1440" w:gutter="0" w:footer="0" w:header="0"/>
        </w:sectPr>
      </w:pPr>
    </w:p>
    <w:bookmarkStart w:id="70" w:name="page71"/>
    <w:bookmarkEnd w:id="70"/>
    <w:p>
      <w:pPr>
        <w:spacing w:after="0" w:line="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AMALGAMATED FINANCIAL CORP.</w:t>
      </w:r>
    </w:p>
    <w:p>
      <w:pPr>
        <w:spacing w:after="0" w:line="162" w:lineRule="exact"/>
        <w:rPr>
          <w:sz w:val="20"/>
          <w:szCs w:val="20"/>
          <w:color w:val="auto"/>
        </w:rPr>
      </w:pPr>
    </w:p>
    <w:tbl>
      <w:tblPr>
        <w:tblLayout w:type="fixed"/>
        <w:tblInd w:w="3160" w:type="dxa"/>
        <w:tblCellMar>
          <w:top w:w="0" w:type="dxa"/>
          <w:left w:w="0" w:type="dxa"/>
          <w:bottom w:w="0" w:type="dxa"/>
          <w:right w:w="0" w:type="dxa"/>
        </w:tblCellMar>
      </w:tblPr>
      <w:tr>
        <w:trPr>
          <w:trHeight w:val="261"/>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2022</w:t>
            </w: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Priscilla Sims Brown</w:t>
            </w:r>
          </w:p>
        </w:tc>
      </w:tr>
      <w:tr>
        <w:trPr>
          <w:trHeight w:val="218"/>
        </w:trPr>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Priscilla Sims Brown</w:t>
            </w:r>
          </w:p>
        </w:tc>
      </w:tr>
      <w:tr>
        <w:trPr>
          <w:trHeight w:val="228"/>
        </w:trPr>
        <w:tc>
          <w:tcPr>
            <w:tcW w:w="1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1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50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2022</w:t>
            </w: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Darby</w:t>
            </w:r>
          </w:p>
        </w:tc>
      </w:tr>
      <w:tr>
        <w:trPr>
          <w:trHeight w:val="218"/>
        </w:trPr>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Darby</w:t>
            </w:r>
          </w:p>
        </w:tc>
      </w:tr>
      <w:tr>
        <w:trPr>
          <w:trHeight w:val="228"/>
        </w:trPr>
        <w:tc>
          <w:tcPr>
            <w:tcW w:w="1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2"/>
        </w:trPr>
        <w:tc>
          <w:tcPr>
            <w:tcW w:w="1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 Accounting</w:t>
            </w:r>
          </w:p>
        </w:tc>
      </w:tr>
      <w:tr>
        <w:trPr>
          <w:trHeight w:val="236"/>
        </w:trPr>
        <w:tc>
          <w:tcPr>
            <w:tcW w:w="1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r>
      <w:tr>
        <w:trPr>
          <w:trHeight w:val="925"/>
        </w:trPr>
        <w:tc>
          <w:tcPr>
            <w:tcW w:w="180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4280" w:type="dxa"/>
            <w:vAlign w:val="bottom"/>
          </w:tcPr>
          <w:p>
            <w:pPr>
              <w:spacing w:after="0"/>
              <w:rPr>
                <w:sz w:val="24"/>
                <w:szCs w:val="24"/>
                <w:color w:val="auto"/>
              </w:rPr>
            </w:pPr>
          </w:p>
        </w:tc>
      </w:tr>
    </w:tbl>
    <w:p>
      <w:pPr>
        <w:sectPr>
          <w:pgSz w:w="11900" w:h="16838" w:orient="portrait"/>
          <w:cols w:equalWidth="0" w:num="1">
            <w:col w:w="10920"/>
          </w:cols>
          <w:pgMar w:left="320" w:top="1440" w:right="6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Priscilla Sims Brown,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60" w:hanging="4"/>
        <w:spacing w:after="0" w:line="282"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5744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Priscilla Sims Brown, President and Chief Executive Officer</w:t>
      </w:r>
    </w:p>
    <w:p>
      <w:pPr>
        <w:sectPr>
          <w:pgSz w:w="11900" w:h="16838" w:orient="portrait"/>
          <w:cols w:equalWidth="0" w:num="1">
            <w:col w:w="11240"/>
          </w:cols>
          <w:pgMar w:left="320" w:top="88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Darby,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2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36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17145</wp:posOffset>
            </wp:positionV>
            <wp:extent cx="3111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Jason Darby, Chief Financial Officer</w:t>
      </w:r>
    </w:p>
    <w:p>
      <w:pPr>
        <w:sectPr>
          <w:pgSz w:w="11900" w:h="16838" w:orient="portrait"/>
          <w:cols w:equalWidth="0" w:num="1">
            <w:col w:w="11240"/>
          </w:cols>
          <w:pgMar w:left="320" w:top="110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Amalgamated Financial Corp. (the “Company”) on Form 10-Q for the period ended September 30, 2022 as filed with the U.S. Securities and Exchange Commission on the date hereof (the “Report”), the undersigned officers each certify, pursuant to 18 U.S.C. Section 1350, as adopted pursuant to Section 906 of the Sarbanes-Oxley Act of 2002 that, to his knowledge:</w:t>
      </w:r>
    </w:p>
    <w:p>
      <w:pPr>
        <w:spacing w:after="0" w:line="176"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Priscilla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27857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November 4, 2022</w:t>
      </w:r>
    </w:p>
    <w:p>
      <w:pPr>
        <w:spacing w:after="0" w:line="200" w:lineRule="exact"/>
        <w:rPr>
          <w:sz w:val="20"/>
          <w:szCs w:val="20"/>
          <w:color w:val="auto"/>
        </w:rPr>
      </w:pPr>
    </w:p>
    <w:p>
      <w:pPr>
        <w:spacing w:after="0" w:line="35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27857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Jason Darby</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November 4, 2022</w:t>
      </w:r>
    </w:p>
    <w:sectPr>
      <w:pgSz w:w="11900" w:h="16838" w:orient="portrait"/>
      <w:cols w:equalWidth="0" w:num="1">
        <w:col w:w="11100"/>
      </w:cols>
      <w:pgMar w:left="320" w:top="88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9"/>
    </w:lvl>
  </w:abstractNum>
  <w:abstractNum w:abstractNumId="6">
    <w:nsid w:val="1190CDE7"/>
    <w:multiLevelType w:val="hybridMultilevel"/>
    <w:lvl w:ilvl="0">
      <w:lvlJc w:val="left"/>
      <w:lvlText w:val="%1."/>
      <w:numFmt w:val="decimal"/>
      <w:start w:val="10"/>
    </w:lvl>
  </w:abstractNum>
  <w:abstractNum w:abstractNumId="7">
    <w:nsid w:val="66EF438D"/>
    <w:multiLevelType w:val="hybridMultilevel"/>
    <w:lvl w:ilvl="0">
      <w:lvlJc w:val="left"/>
      <w:lvlText w:val="%1."/>
      <w:numFmt w:val="decimal"/>
      <w:start w:val="12"/>
    </w:lvl>
  </w:abstractNum>
  <w:abstractNum w:abstractNumId="8">
    <w:nsid w:val="140E0F76"/>
    <w:multiLevelType w:val="hybridMultilevel"/>
    <w:lvl w:ilvl="0">
      <w:lvlJc w:val="left"/>
      <w:lvlText w:val="%1."/>
      <w:numFmt w:val="decimal"/>
      <w:start w:val="13"/>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29" Type="http://schemas.openxmlformats.org/officeDocument/2006/relationships/hyperlink" Target="https://www.sec.gov/Archives/edgar/data/1823608/000119312521062425/d132716dex31.htm" TargetMode="External"/><Relationship Id="rId130" Type="http://schemas.openxmlformats.org/officeDocument/2006/relationships/hyperlink" Target="https://www.sec.gov/Archives/edgar/data/1823608/000119312521062425/d13271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2022-11-04T07:33:09Z</dcterms:created>
  <dcterms:modified xsi:type="dcterms:W3CDTF">2022-11-04T07:33:09Z</dcterms:modified>
</cp:coreProperties>
</file>