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1083310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58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7"/>
              </w:rPr>
              <w:t>UNITED STATES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920" w:type="dxa"/>
            <w:vAlign w:val="bottom"/>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40" w:type="dxa"/>
            <w:vAlign w:val="bottom"/>
            <w:gridSpan w:val="6"/>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Washington, D.C. 20549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4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380"/>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ANNUAL REPORT PURSUANT TO SECTION 13 OR 15(d) OF</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THE SECURITIES EXCHANGE ACT OF 1934</w:t>
            </w:r>
          </w:p>
        </w:tc>
      </w:tr>
      <w:tr>
        <w:trPr>
          <w:trHeight w:val="36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30"/>
              <w:spacing w:after="0"/>
              <w:rPr>
                <w:sz w:val="20"/>
                <w:szCs w:val="20"/>
                <w:color w:val="auto"/>
              </w:rPr>
            </w:pPr>
            <w:r>
              <w:rPr>
                <w:rFonts w:ascii="Times New Roman" w:cs="Times New Roman" w:eastAsia="Times New Roman" w:hAnsi="Times New Roman"/>
                <w:sz w:val="18"/>
                <w:szCs w:val="18"/>
                <w:color w:val="auto"/>
              </w:rPr>
              <w:t>For the fiscal year ended December 31, 2025</w:t>
            </w:r>
          </w:p>
        </w:tc>
      </w:tr>
      <w:tr>
        <w:trPr>
          <w:trHeight w:val="234"/>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2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w w:val="95"/>
              </w:rPr>
              <w:t>OR</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20" w:type="dxa"/>
            <w:vAlign w:val="bottom"/>
          </w:tcPr>
          <w:p>
            <w:pPr>
              <w:spacing w:after="0"/>
              <w:rPr>
                <w:sz w:val="20"/>
                <w:szCs w:val="20"/>
                <w:color w:val="auto"/>
              </w:rPr>
            </w:pPr>
          </w:p>
        </w:tc>
      </w:tr>
      <w:tr>
        <w:trPr>
          <w:trHeight w:val="312"/>
        </w:trPr>
        <w:tc>
          <w:tcPr>
            <w:tcW w:w="460" w:type="dxa"/>
            <w:vAlign w:val="bottom"/>
          </w:tcPr>
          <w:p>
            <w:pPr>
              <w:ind w:left="120"/>
              <w:spacing w:after="0" w:line="221" w:lineRule="exact"/>
              <w:rPr>
                <w:sz w:val="20"/>
                <w:szCs w:val="20"/>
                <w:color w:val="auto"/>
              </w:rPr>
            </w:pPr>
            <w:r>
              <w:rPr>
                <w:rFonts w:ascii="MS PGothic" w:cs="MS PGothic" w:eastAsia="MS PGothic" w:hAnsi="MS PGothic"/>
                <w:sz w:val="22"/>
                <w:szCs w:val="22"/>
                <w:color w:val="auto"/>
              </w:rPr>
              <w:t>☐</w:t>
            </w:r>
          </w:p>
        </w:tc>
        <w:tc>
          <w:tcPr>
            <w:tcW w:w="10780" w:type="dxa"/>
            <w:vAlign w:val="bottom"/>
            <w:gridSpan w:val="10"/>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TRANSITION REPORT PURSUANT TO SECTION 13 OR 15(d) OF THE</w:t>
            </w:r>
          </w:p>
        </w:tc>
      </w:tr>
      <w:tr>
        <w:trPr>
          <w:trHeight w:val="238"/>
        </w:trPr>
        <w:tc>
          <w:tcPr>
            <w:tcW w:w="4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7320" w:type="dxa"/>
            <w:vAlign w:val="bottom"/>
            <w:gridSpan w:val="9"/>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SECURITIES EXCHANGE ACT OF 1934</w:t>
            </w:r>
          </w:p>
        </w:tc>
      </w:tr>
      <w:tr>
        <w:trPr>
          <w:trHeight w:val="313"/>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58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For transition period from</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0"/>
        </w:trPr>
        <w:tc>
          <w:tcPr>
            <w:tcW w:w="4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18"/>
        </w:trPr>
        <w:tc>
          <w:tcPr>
            <w:tcW w:w="4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7320" w:type="dxa"/>
            <w:vAlign w:val="bottom"/>
            <w:gridSpan w:val="9"/>
          </w:tcPr>
          <w:p>
            <w:pPr>
              <w:jc w:val="center"/>
              <w:ind w:right="3810"/>
              <w:spacing w:after="0"/>
              <w:rPr>
                <w:sz w:val="20"/>
                <w:szCs w:val="20"/>
                <w:color w:val="auto"/>
              </w:rPr>
            </w:pPr>
            <w:r>
              <w:rPr>
                <w:rFonts w:ascii="Times New Roman" w:cs="Times New Roman" w:eastAsia="Times New Roman" w:hAnsi="Times New Roman"/>
                <w:sz w:val="18"/>
                <w:szCs w:val="18"/>
                <w:b w:val="1"/>
                <w:bCs w:val="1"/>
                <w:color w:val="auto"/>
              </w:rPr>
              <w:t>Commission File Number: 001-40136</w:t>
            </w:r>
          </w:p>
        </w:tc>
      </w:tr>
      <w:tr>
        <w:trPr>
          <w:trHeight w:val="427"/>
        </w:trPr>
        <w:tc>
          <w:tcPr>
            <w:tcW w:w="460" w:type="dxa"/>
            <w:vAlign w:val="bottom"/>
          </w:tcPr>
          <w:p>
            <w:pPr>
              <w:spacing w:after="0"/>
              <w:rPr>
                <w:sz w:val="24"/>
                <w:szCs w:val="24"/>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32"/>
                <w:szCs w:val="32"/>
                <w:b w:val="1"/>
                <w:bCs w:val="1"/>
                <w:color w:val="auto"/>
              </w:rPr>
              <w:t>Amalgamated Financial Corp.</w:t>
            </w:r>
          </w:p>
        </w:tc>
      </w:tr>
      <w:tr>
        <w:trPr>
          <w:trHeight w:val="234"/>
        </w:trPr>
        <w:tc>
          <w:tcPr>
            <w:tcW w:w="460" w:type="dxa"/>
            <w:vAlign w:val="bottom"/>
          </w:tcPr>
          <w:p>
            <w:pPr>
              <w:spacing w:after="0"/>
              <w:rPr>
                <w:sz w:val="20"/>
                <w:szCs w:val="20"/>
                <w:color w:val="auto"/>
              </w:rPr>
            </w:pPr>
          </w:p>
        </w:tc>
        <w:tc>
          <w:tcPr>
            <w:tcW w:w="10780" w:type="dxa"/>
            <w:vAlign w:val="bottom"/>
            <w:gridSpan w:val="10"/>
          </w:tcPr>
          <w:p>
            <w:pPr>
              <w:jc w:val="center"/>
              <w:ind w:right="3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51"/>
        </w:trPr>
        <w:tc>
          <w:tcPr>
            <w:tcW w:w="460" w:type="dxa"/>
            <w:vAlign w:val="bottom"/>
          </w:tcPr>
          <w:p>
            <w:pPr>
              <w:spacing w:after="0"/>
              <w:rPr>
                <w:sz w:val="24"/>
                <w:szCs w:val="24"/>
                <w:color w:val="auto"/>
              </w:rPr>
            </w:pPr>
          </w:p>
        </w:tc>
        <w:tc>
          <w:tcPr>
            <w:tcW w:w="6040" w:type="dxa"/>
            <w:vAlign w:val="bottom"/>
            <w:gridSpan w:val="5"/>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80" w:type="dxa"/>
            <w:vAlign w:val="bottom"/>
            <w:gridSpan w:val="3"/>
          </w:tcPr>
          <w:p>
            <w:pPr>
              <w:jc w:val="right"/>
              <w:ind w:right="1910"/>
              <w:spacing w:after="0"/>
              <w:rPr>
                <w:sz w:val="20"/>
                <w:szCs w:val="20"/>
                <w:color w:val="auto"/>
              </w:rPr>
            </w:pPr>
            <w:r>
              <w:rPr>
                <w:rFonts w:ascii="Times New Roman" w:cs="Times New Roman" w:eastAsia="Times New Roman" w:hAnsi="Times New Roman"/>
                <w:sz w:val="18"/>
                <w:szCs w:val="18"/>
                <w:b w:val="1"/>
                <w:bCs w:val="1"/>
                <w:color w:val="auto"/>
              </w:rPr>
              <w:t>85-2757101</w:t>
            </w:r>
          </w:p>
        </w:tc>
      </w:tr>
      <w:tr>
        <w:trPr>
          <w:trHeight w:val="228"/>
        </w:trPr>
        <w:tc>
          <w:tcPr>
            <w:tcW w:w="460" w:type="dxa"/>
            <w:vAlign w:val="bottom"/>
            <w:tcBorders>
              <w:top w:val="single" w:sz="8" w:color="auto"/>
            </w:tcBorders>
          </w:tcPr>
          <w:p>
            <w:pPr>
              <w:spacing w:after="0"/>
              <w:rPr>
                <w:sz w:val="19"/>
                <w:szCs w:val="19"/>
                <w:color w:val="auto"/>
              </w:rPr>
            </w:pPr>
          </w:p>
        </w:tc>
        <w:tc>
          <w:tcPr>
            <w:tcW w:w="5020" w:type="dxa"/>
            <w:vAlign w:val="bottom"/>
            <w:tcBorders>
              <w:top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900" w:type="dxa"/>
            <w:vAlign w:val="bottom"/>
            <w:gridSpan w:val="2"/>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jc w:val="center"/>
              <w:ind w:right="85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65"/>
        </w:trPr>
        <w:tc>
          <w:tcPr>
            <w:tcW w:w="46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28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275 Seventh Avenue, New York, NY</w:t>
            </w:r>
          </w:p>
        </w:tc>
        <w:tc>
          <w:tcPr>
            <w:tcW w:w="5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10001</w:t>
            </w:r>
          </w:p>
        </w:tc>
        <w:tc>
          <w:tcPr>
            <w:tcW w:w="3920" w:type="dxa"/>
            <w:vAlign w:val="bottom"/>
          </w:tcPr>
          <w:p>
            <w:pPr>
              <w:spacing w:after="0"/>
              <w:rPr>
                <w:sz w:val="23"/>
                <w:szCs w:val="23"/>
                <w:color w:val="auto"/>
              </w:rPr>
            </w:pPr>
          </w:p>
        </w:tc>
      </w:tr>
      <w:tr>
        <w:trPr>
          <w:trHeight w:val="228"/>
        </w:trPr>
        <w:tc>
          <w:tcPr>
            <w:tcW w:w="46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73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r>
    </w:tbl>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(212) 255-6200</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AMAL</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67" w:lineRule="exact"/>
        <w:rPr>
          <w:sz w:val="24"/>
          <w:szCs w:val="24"/>
          <w:color w:val="auto"/>
        </w:rPr>
      </w:pPr>
    </w:p>
    <w:p>
      <w:pPr>
        <w:ind w:right="1360"/>
        <w:spacing w:after="0" w:line="304"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Section 15(d) of the Act. Yes </w:t>
      </w:r>
      <w:r>
        <w:rPr>
          <w:rFonts w:ascii="MS PGothic" w:cs="MS PGothic" w:eastAsia="MS PGothic" w:hAnsi="MS PGothic"/>
          <w:sz w:val="21"/>
          <w:szCs w:val="21"/>
          <w:color w:val="auto"/>
          <w:highlight w:val="black"/>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83"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42"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highlight w:val="black"/>
        </w:rPr>
        <w:t>☐</w:t>
      </w:r>
    </w:p>
    <w:p>
      <w:pPr>
        <w:spacing w:after="0" w:line="116" w:lineRule="exact"/>
        <w:rPr>
          <w:sz w:val="24"/>
          <w:szCs w:val="24"/>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42" w:lineRule="exact"/>
        <w:tabs>
          <w:tab w:leader="none" w:pos="1200" w:val="left"/>
        </w:tabs>
        <w:rPr>
          <w:sz w:val="20"/>
          <w:szCs w:val="20"/>
          <w:color w:val="auto"/>
        </w:rPr>
      </w:pPr>
      <w:r>
        <w:rPr>
          <w:rFonts w:ascii="Times New Roman" w:cs="Times New Roman" w:eastAsia="Times New Roman" w:hAnsi="Times New Roman"/>
          <w:sz w:val="18"/>
          <w:szCs w:val="18"/>
          <w:color w:val="auto"/>
        </w:rPr>
        <w:t xml:space="preserve">files). Yes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highlight w:val="black"/>
        </w:rPr>
        <w:t>☐</w:t>
      </w:r>
    </w:p>
    <w:p>
      <w:pPr>
        <w:spacing w:after="0" w:line="130" w:lineRule="exact"/>
        <w:rPr>
          <w:sz w:val="24"/>
          <w:szCs w:val="24"/>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55" w:orient="portrait"/>
          <w:cols w:equalWidth="0" w:num="1">
            <w:col w:w="11240"/>
          </w:cols>
          <w:pgMar w:left="320" w:top="1440" w:right="339" w:bottom="0" w:gutter="0" w:footer="0" w:header="0"/>
        </w:sectPr>
      </w:pPr>
    </w:p>
    <w:p>
      <w:pPr>
        <w:spacing w:after="0" w:line="33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83" w:lineRule="exact"/>
        <w:rPr>
          <w:sz w:val="24"/>
          <w:szCs w:val="24"/>
          <w:color w:val="auto"/>
        </w:rPr>
      </w:pPr>
    </w:p>
    <w:p>
      <w:pPr>
        <w:sectPr>
          <w:pgSz w:w="11900" w:h="16855" w:orient="portrait"/>
          <w:cols w:equalWidth="0" w:num="4">
            <w:col w:w="1640" w:space="620"/>
            <w:col w:w="800" w:space="720"/>
            <w:col w:w="1880" w:space="720"/>
            <w:col w:w="4860"/>
          </w:cols>
          <w:pgMar w:left="320" w:top="1440" w:right="339" w:bottom="0" w:gutter="0" w:footer="0" w:header="0"/>
          <w:type w:val="continuous"/>
        </w:sectPr>
      </w:pPr>
    </w:p>
    <w:p>
      <w:pPr>
        <w:spacing w:after="0" w:line="7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600"/>
        <w:spacing w:after="0" w:line="191" w:lineRule="exact"/>
        <w:rPr>
          <w:sz w:val="20"/>
          <w:szCs w:val="20"/>
          <w:color w:val="auto"/>
        </w:rPr>
      </w:pPr>
      <w:r>
        <w:rPr>
          <w:rFonts w:ascii="MS PGothic" w:cs="MS PGothic" w:eastAsia="MS PGothic" w:hAnsi="MS PGothic"/>
          <w:sz w:val="19"/>
          <w:szCs w:val="19"/>
          <w:color w:val="auto"/>
          <w:highlight w:val="black"/>
        </w:rPr>
        <w:t>☐</w:t>
      </w:r>
    </w:p>
    <w:p>
      <w:pPr>
        <w:spacing w:after="0" w:line="262" w:lineRule="exact"/>
        <w:rPr>
          <w:sz w:val="24"/>
          <w:szCs w:val="24"/>
          <w:color w:val="auto"/>
        </w:rPr>
      </w:pPr>
    </w:p>
    <w:p>
      <w:pPr>
        <w:sectPr>
          <w:pgSz w:w="11900" w:h="16855" w:orient="portrait"/>
          <w:cols w:equalWidth="0" w:num="6">
            <w:col w:w="1540" w:space="720"/>
            <w:col w:w="800" w:space="720"/>
            <w:col w:w="1960" w:space="640"/>
            <w:col w:w="840" w:space="720"/>
            <w:col w:w="1960" w:space="540"/>
            <w:col w:w="800"/>
          </w:cols>
          <w:pgMar w:left="320" w:top="1440" w:right="339" w:bottom="0" w:gutter="0" w:footer="0" w:header="0"/>
          <w:type w:val="continuous"/>
        </w:sectPr>
      </w:pPr>
    </w:p>
    <w:p>
      <w:pPr>
        <w:spacing w:after="0" w:line="77" w:lineRule="exact"/>
        <w:rPr>
          <w:sz w:val="24"/>
          <w:szCs w:val="24"/>
          <w:color w:val="auto"/>
        </w:rPr>
      </w:pPr>
    </w:p>
    <w:p>
      <w:pPr>
        <w:spacing w:after="0" w:line="24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highlight w:val="black"/>
        </w:rPr>
        <w:t>☐</w:t>
      </w:r>
    </w:p>
    <w:p>
      <w:pPr>
        <w:spacing w:after="0" w:line="340"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21"/>
          <w:szCs w:val="21"/>
          <w:color w:val="auto"/>
        </w:rPr>
        <w:t>☒</w:t>
      </w:r>
    </w:p>
    <w:p>
      <w:pPr>
        <w:spacing w:after="0" w:line="178"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highlight w:val="black"/>
        </w:rPr>
        <w:t>☐</w:t>
      </w:r>
    </w:p>
    <w:p>
      <w:pPr>
        <w:spacing w:after="0" w:line="179" w:lineRule="exact"/>
        <w:rPr>
          <w:sz w:val="24"/>
          <w:szCs w:val="24"/>
          <w:color w:val="auto"/>
        </w:rPr>
      </w:pPr>
    </w:p>
    <w:p>
      <w:pPr>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highlight w:val="black"/>
        </w:rPr>
        <w:t>☐</w:t>
      </w:r>
    </w:p>
    <w:p>
      <w:pPr>
        <w:spacing w:after="0" w:line="298" w:lineRule="exact"/>
        <w:rPr>
          <w:sz w:val="24"/>
          <w:szCs w:val="24"/>
          <w:color w:val="auto"/>
        </w:rPr>
      </w:pPr>
    </w:p>
    <w:p>
      <w:pPr>
        <w:spacing w:after="0" w:line="242" w:lineRule="exact"/>
        <w:tabs>
          <w:tab w:leader="none" w:pos="83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21"/>
          <w:szCs w:val="21"/>
          <w:color w:val="auto"/>
          <w:highlight w:val="black"/>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20"/>
          <w:szCs w:val="20"/>
          <w:color w:val="auto"/>
        </w:rPr>
        <w:t>☒</w:t>
      </w:r>
    </w:p>
    <w:p>
      <w:pPr>
        <w:sectPr>
          <w:pgSz w:w="11900" w:h="16855" w:orient="portrait"/>
          <w:cols w:equalWidth="0" w:num="1">
            <w:col w:w="11240"/>
          </w:cols>
          <w:pgMar w:left="320" w:top="1440" w:right="339" w:bottom="0" w:gutter="0" w:footer="0" w:header="0"/>
          <w:type w:val="continuous"/>
        </w:sectPr>
      </w:pPr>
    </w:p>
    <w:bookmarkStart w:id="1" w:name="page2"/>
    <w:bookmarkEnd w:id="1"/>
    <w:p>
      <w:pPr>
        <w:jc w:val="both"/>
        <w:spacing w:after="0" w:line="228" w:lineRule="exact"/>
        <w:rPr>
          <w:sz w:val="20"/>
          <w:szCs w:val="20"/>
          <w:color w:val="auto"/>
        </w:rPr>
      </w:pPr>
      <w:r>
        <w:rPr>
          <w:rFonts w:ascii="Times New Roman" w:cs="Times New Roman" w:eastAsia="Times New Roman" w:hAnsi="Times New Roman"/>
          <w:sz w:val="18"/>
          <w:szCs w:val="18"/>
          <w:color w:val="auto"/>
        </w:rPr>
        <w:t>The aggregate market value of the voting stock of the registrant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was approximately $547,055,889 based on the closing sale price of $31.20 per share on June 30, 2025. For purposes of the foregoing calculation only, Workers United and all directors and named executive officers of the registrant have been deemed affiliates. As of March 4, 2026, the registrant had 29,829,356 shares of common stock outstanding at $0.01 par value per share</w:t>
      </w:r>
      <w:r>
        <w:rPr>
          <w:rFonts w:ascii="Times New Roman" w:cs="Times New Roman" w:eastAsia="Times New Roman" w:hAnsi="Times New Roman"/>
          <w:sz w:val="14"/>
          <w:szCs w:val="14"/>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Part III of this Annual Report on Form 10-K is incorporated by reference from the registrant’s definitive proxy statement relating to the 2026 Annual Meeting of Stockholders, which will be filed with the U.S. Securities and Exchange Commission within 120 days after the end of the fiscal year to which this Annual Report on Form 10-K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2" w:name="page3"/>
    <w:bookmarkEnd w:id="2"/>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340" w:type="dxa"/>
            <w:vAlign w:val="bottom"/>
            <w:gridSpan w:val="10"/>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60" w:type="dxa"/>
            <w:vAlign w:val="bottom"/>
          </w:tcPr>
          <w:p>
            <w:pPr>
              <w:spacing w:after="0"/>
              <w:rPr>
                <w:sz w:val="20"/>
                <w:szCs w:val="20"/>
                <w:color w:val="auto"/>
              </w:rPr>
            </w:pPr>
          </w:p>
        </w:tc>
      </w:tr>
      <w:tr>
        <w:trPr>
          <w:trHeight w:val="63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97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1</w:t>
            </w:r>
          </w:p>
        </w:tc>
      </w:tr>
      <w:tr>
        <w:trPr>
          <w:trHeight w:val="250"/>
        </w:trPr>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7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Business</w:t>
            </w:r>
          </w:p>
        </w:tc>
        <w:tc>
          <w:tcPr>
            <w:tcW w:w="3940" w:type="dxa"/>
            <w:vAlign w:val="bottom"/>
            <w:gridSpan w:val="7"/>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88"/>
              </w:rPr>
              <w:t>3</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7760" w:type="dxa"/>
            <w:vAlign w:val="bottom"/>
            <w:gridSpan w:val="20"/>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31</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6620" w:type="dxa"/>
            <w:vAlign w:val="bottom"/>
            <w:gridSpan w:val="13"/>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46</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7660" w:type="dxa"/>
            <w:vAlign w:val="bottom"/>
            <w:gridSpan w:val="19"/>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46</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Properties</w:t>
            </w:r>
          </w:p>
        </w:tc>
        <w:tc>
          <w:tcPr>
            <w:tcW w:w="7940" w:type="dxa"/>
            <w:vAlign w:val="bottom"/>
            <w:gridSpan w:val="22"/>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48</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7340" w:type="dxa"/>
            <w:vAlign w:val="bottom"/>
            <w:gridSpan w:val="17"/>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48</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6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48</w:t>
            </w:r>
          </w:p>
        </w:tc>
      </w:tr>
      <w:tr>
        <w:trPr>
          <w:trHeight w:val="56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Market for Registrant’s Common Equity, Related Stockholder Matters and Issuer Purchases of Equity Securities</w:t>
            </w:r>
          </w:p>
        </w:tc>
        <w:tc>
          <w:tcPr>
            <w:tcW w:w="600" w:type="dxa"/>
            <w:vAlign w:val="bottom"/>
          </w:tcPr>
          <w:p>
            <w:pPr>
              <w:spacing w:after="0"/>
              <w:rPr>
                <w:sz w:val="19"/>
                <w:szCs w:val="19"/>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49</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7880" w:type="dxa"/>
            <w:vAlign w:val="bottom"/>
            <w:gridSpan w:val="21"/>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w:t>
            </w:r>
          </w:p>
        </w:tc>
        <w:tc>
          <w:tcPr>
            <w:tcW w:w="86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52</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220" w:type="dxa"/>
            <w:vAlign w:val="bottom"/>
            <w:gridSpan w:val="4"/>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75</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1020" w:type="dxa"/>
            <w:vAlign w:val="bottom"/>
            <w:tcBorders>
              <w:top w:val="single" w:sz="8" w:color="0000FF"/>
            </w:tcBorders>
            <w:gridSpan w:val="2"/>
          </w:tcPr>
          <w:p>
            <w:pPr>
              <w:spacing w:after="0"/>
              <w:rPr>
                <w:sz w:val="21"/>
                <w:szCs w:val="21"/>
                <w:color w:val="auto"/>
              </w:rPr>
            </w:pPr>
          </w:p>
        </w:tc>
        <w:tc>
          <w:tcPr>
            <w:tcW w:w="4320" w:type="dxa"/>
            <w:vAlign w:val="bottom"/>
            <w:gridSpan w:val="8"/>
          </w:tcPr>
          <w:p>
            <w:pPr>
              <w:spacing w:after="0"/>
              <w:rPr>
                <w:sz w:val="21"/>
                <w:szCs w:val="21"/>
                <w:color w:val="auto"/>
              </w:rPr>
            </w:pPr>
          </w:p>
        </w:tc>
        <w:tc>
          <w:tcPr>
            <w:tcW w:w="8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9"/>
              </w:rPr>
              <w:t>77</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w:t>
            </w:r>
          </w:p>
        </w:tc>
        <w:tc>
          <w:tcPr>
            <w:tcW w:w="86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147</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4700" w:type="dxa"/>
            <w:vAlign w:val="bottom"/>
            <w:tcBorders>
              <w:top w:val="single" w:sz="8" w:color="0000FF"/>
            </w:tcBorders>
            <w:gridSpan w:val="12"/>
          </w:tcPr>
          <w:p>
            <w:pPr>
              <w:spacing w:after="0"/>
              <w:rPr>
                <w:sz w:val="21"/>
                <w:szCs w:val="21"/>
                <w:color w:val="auto"/>
              </w:rPr>
            </w:pPr>
          </w:p>
        </w:tc>
        <w:tc>
          <w:tcPr>
            <w:tcW w:w="2200" w:type="dxa"/>
            <w:vAlign w:val="bottom"/>
            <w:gridSpan w:val="3"/>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147</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360" w:type="dxa"/>
            <w:vAlign w:val="bottom"/>
            <w:gridSpan w:val="18"/>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147</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9C.</w:t>
            </w:r>
          </w:p>
        </w:tc>
        <w:tc>
          <w:tcPr>
            <w:tcW w:w="49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Disclosures Regarding Foreign Jurisdiction that Prevent Inspections</w:t>
            </w:r>
          </w:p>
        </w:tc>
        <w:tc>
          <w:tcPr>
            <w:tcW w:w="520" w:type="dxa"/>
            <w:vAlign w:val="bottom"/>
          </w:tcPr>
          <w:p>
            <w:pPr>
              <w:spacing w:after="0"/>
              <w:rPr>
                <w:sz w:val="21"/>
                <w:szCs w:val="21"/>
                <w:color w:val="auto"/>
              </w:rPr>
            </w:pPr>
          </w:p>
        </w:tc>
        <w:tc>
          <w:tcPr>
            <w:tcW w:w="1880" w:type="dxa"/>
            <w:vAlign w:val="bottom"/>
            <w:gridSpan w:val="3"/>
          </w:tcPr>
          <w:p>
            <w:pPr>
              <w:spacing w:after="0"/>
              <w:rPr>
                <w:sz w:val="21"/>
                <w:szCs w:val="21"/>
                <w:color w:val="auto"/>
              </w:rPr>
            </w:pPr>
          </w:p>
        </w:tc>
        <w:tc>
          <w:tcPr>
            <w:tcW w:w="1380" w:type="dxa"/>
            <w:vAlign w:val="bottom"/>
            <w:gridSpan w:val="2"/>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147</w:t>
            </w:r>
          </w:p>
        </w:tc>
      </w:tr>
      <w:tr>
        <w:trPr>
          <w:trHeight w:val="56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4580" w:type="dxa"/>
            <w:vAlign w:val="bottom"/>
            <w:gridSpan w:val="9"/>
          </w:tcPr>
          <w:p>
            <w:pPr>
              <w:spacing w:after="0"/>
              <w:rPr>
                <w:sz w:val="19"/>
                <w:szCs w:val="19"/>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148</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11.</w:t>
            </w:r>
          </w:p>
        </w:tc>
        <w:tc>
          <w:tcPr>
            <w:tcW w:w="86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1380" w:type="dxa"/>
            <w:vAlign w:val="bottom"/>
            <w:gridSpan w:val="2"/>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148</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13.</w:t>
            </w:r>
          </w:p>
        </w:tc>
        <w:tc>
          <w:tcPr>
            <w:tcW w:w="54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3260" w:type="dxa"/>
            <w:vAlign w:val="bottom"/>
            <w:gridSpan w:val="5"/>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148</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14.</w:t>
            </w:r>
          </w:p>
        </w:tc>
        <w:tc>
          <w:tcPr>
            <w:tcW w:w="86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148</w:t>
            </w:r>
          </w:p>
        </w:tc>
      </w:tr>
      <w:tr>
        <w:trPr>
          <w:trHeight w:val="561"/>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29"/>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15.</w:t>
            </w:r>
          </w:p>
        </w:tc>
        <w:tc>
          <w:tcPr>
            <w:tcW w:w="868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149</w:t>
            </w:r>
          </w:p>
        </w:tc>
      </w:tr>
      <w:tr>
        <w:trPr>
          <w:trHeight w:val="25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16.</w:t>
            </w:r>
          </w:p>
        </w:tc>
        <w:tc>
          <w:tcPr>
            <w:tcW w:w="3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5520" w:type="dxa"/>
            <w:vAlign w:val="bottom"/>
            <w:gridSpan w:val="11"/>
          </w:tcPr>
          <w:p>
            <w:pPr>
              <w:spacing w:after="0"/>
              <w:rPr>
                <w:sz w:val="21"/>
                <w:szCs w:val="21"/>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149</w:t>
            </w:r>
          </w:p>
        </w:tc>
      </w:tr>
      <w:tr>
        <w:trPr>
          <w:trHeight w:val="520"/>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rPr>
              <w:t>153</w:t>
            </w:r>
          </w:p>
        </w:tc>
      </w:tr>
      <w:tr>
        <w:trPr>
          <w:trHeight w:val="20"/>
        </w:trPr>
        <w:tc>
          <w:tcPr>
            <w:tcW w:w="8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380" w:top="1440" w:right="939" w:bottom="1440" w:gutter="0" w:footer="0" w:header="0"/>
        </w:sectPr>
      </w:pPr>
    </w:p>
    <w:bookmarkStart w:id="3" w:name="page4"/>
    <w:bookmarkEnd w:id="3"/>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Statements included in this report that are not historical in nature are intended to be, and are hereby identified as, forward-looking statements for purposes of the safe harbor provided by Section 21E of the Exchange Act. The words “may,” “approximately,” “will,” “anticipate,” “should,” “would,” “believe,” “contemplate,” “expect,” “estimate,” “continue,” “plan,” “possible,” and “intend,” as well as other similar words and expressions of the future, are intended to identify forward-looking statements. These forward-looking statements include, but are not limited to, statements related to our projected growth, anticipated future financial performance, and management’s long-term performance goals, as well as statements relating to the anticipated effects on results of operations and financial condition from expected developments or events, or business and growth strategies, including anticipated internal growth.</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Forward-looking statements are subject to risks, uncertainties and assumptions that are difficult to predict as to timing, extent, likelihood and degree of occurrence, which could cause our actual results to differ materially from those anticipated in or by such statements. Potential risks and uncertainties include, but are not limited to, the following:</w:t>
      </w:r>
    </w:p>
    <w:p>
      <w:pPr>
        <w:spacing w:after="0" w:line="203" w:lineRule="exact"/>
        <w:rPr>
          <w:sz w:val="20"/>
          <w:szCs w:val="20"/>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conditions in the banking industry and in national, regional and local economies in core markets, which may have an adverse impact on business, operations and financial performance;</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deterioration in the financial condition of borrowers resulting in significant increases in credit losses and provisions for those losses;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outflows and subsequent declines in liquidity caused by factors that could include lack of confidence in the banking system, a deterioration in market conditions or the financial condition of depositors;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deposits, including an increase in uninsured deposits;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sufficient liquidity to meet deposit and debt obligations as they come due, which may require that the Company sell investment securities at a loss, negatively impacting net income, earnings and capital;</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capital markets, which may cause declines in stock price and the value of investments;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economic and political conditions that adversely affect the general economy, housing prices, the real estate market, the job market, consumer confidence, the financial condition of borrowers and consumer spending habits, which may affect, among other things, the level of non-performing assets, charge-offs and provision expense;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unanticipated changes in the interest rate environment including changes in net interest margin or changes in the yield curve that affect investments, loans or deposits;</w:t>
      </w:r>
    </w:p>
    <w:p>
      <w:pPr>
        <w:ind w:left="660" w:hanging="328"/>
        <w:spacing w:after="0" w:line="250"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decline in the real estate and lending markets, particularly in commercial real estate in the Company’s market areas, and the effects of the enactment of or changes to rent-control and other similar regulations on multi-family housing;</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by the current presidential administration of a regulatory reform agenda that is significantly different from that of the prior presidential administration, impacting the rule making, supervision, examination and enforcement of the banking regulation agencies;</w:t>
      </w:r>
    </w:p>
    <w:p>
      <w:pPr>
        <w:ind w:left="660" w:hanging="328"/>
        <w:spacing w:after="0" w:line="250" w:lineRule="auto"/>
        <w:tabs>
          <w:tab w:leader="none" w:pos="64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trade policies and other global political factors beyond the Company’s control, including the imposition of tariffs, which raise economic uncertainty, potentially leading to slower growth and a decrease in loan demand;</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legal or regulatory proceedings that may be instituted against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organic loan and deposit growth and the composition of that growth;</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composition of the Company’s loan portfolio, including any concentration in industries or sectors that may experience unanticipated or anticipated adverse conditions greater than other industries or sectors in the national or local economies in which the Company operates;</w:t>
      </w: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inaccuracy of the assumptions and estimates the Company makes and policies that the Company implements in establishing the allowance for credit losses;</w:t>
      </w:r>
    </w:p>
    <w:p>
      <w:pPr>
        <w:ind w:left="660" w:right="2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loan underwriting, credit review or loss reserve policies associated with economic conditions, examination conclusions, or regulatory developments;</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matter that would cause the Company to conclude that there was impairment of any asset, including intangible assets;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ability to declare and pay dividends;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with other financial institutions, including pricing pressures and the resulting impact on results, including as a result of compression to net interest margin;</w:t>
      </w: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for experienced members of the workforce including executives in the banking industry;</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or breach of operational or security systems or infrastructure, or those of third party vendors or other service providers, including as a result of unauthorized access, computer viruses, phishing schemes, spam attacks, human error, natural disasters, power loss and other security breaches;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2"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privacy concerns, and exposure from the use of “big data” techniques, machine learning, and artificial intelligence;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downgrade in the Company’s credit rating;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“greenwashing claims” against the Company and environmental, social, and governance ("ESG") products and increased scrutiny and political opposition to ESG and diversity, equity, and inclusion ("DEI") practices;</w:t>
      </w:r>
    </w:p>
    <w:p>
      <w:pPr>
        <w:ind w:left="660" w:hanging="328"/>
        <w:spacing w:after="0" w:line="25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unanticipated or greater than anticipated adverse conditions (including the possibility of earthquakes, wildfires, and other natural disasters) affecting the markets in which the Company operates;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and transitional risks related to climate change as they impact the business and the businesses that the Company finances;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repurchase of the Company’s shares through the Company’s common stock repurchase program;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descriptions of assumptions underlying or relating to any of the foregoing.</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caution readers that the foregoing list of factors is not exclusive, is not necessarily in order of importance and readers should not place undue reliance on any forward-looking statements, which should be read in conjunction with the other cautionary statements that are included elsewhere in this report. In particular, you should consider the numerous risks described in Item 1A, “Risk Factors,” for a description of some of the important factors that may affect actual outcomes.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unless required to do so under the federal securities laws.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Amalgamated Financial Corp., a Delaware public benefit corporation ("we" or the "Company"), was formed on August 25, 2020 to serve as the holding company for Amalgamated Bank (the "Bank") and is a bank holding company registered with the Board of Governors of the Federal Reserve under the Bank Holding Company Act of 1956, as amended. On March 1, 2021 (the “Effective Date”),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Pursuant to the Reorganization, the Bank became the sole subsidiary of the Company, the Company became the holding company for the Bank and the stockholders of the Bank became stockholders of the Company.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was formed in 1923 as Amalgamated Bank of New York by the Amalgamated Clothing Workers of America, one of the country’s oldest labor unions.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38% of our equity as of December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full-service commercial bank offering a complete suite of commercial and retail banking products, investment management and trust and custody services, and lending services. We generate relationship deposits from our values-based commercial clients and consumer customers. We further develop new and existing relationships through our trust, custody, and investment management services, which generate fee income, and we also offer investment, brokerage, asset management, and insurance products to our retail customers through a third-party broker dealer.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America's Socially Responsible Bank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an explicit commitment to the highest corporate social responsibility standards. Under the direction of our Board of Directors (the "Board") and executive management, we are diligent in fulfilling our mission to be America’s socially responsible bank, empowering organizations and individuals to advance positive change. The full Board of Directors oversees our Corporate Social Responsibility activities and communications. In addition, a formal cross-departmental Corporate Social Responsibility (“CSR”) Committee is comprised of employees and executive leadership responsible for implementing various policies, strategies, and communications. The CSR Committee is led by the Chief Sustainability Officer and reports quarterly to the Board.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strategy is focused on providing impact banking and lending services to a customer base that cares about how their money is invested. That strategy is rooted in our 100-year history as a bank serving working people, labor unions, nonprofits, foundations, and impact businesses. We believe that there is a growing base of customers becoming aware of what their money does in the banking system and wanting a bank that aligns with their values and financial stewardship. Using proven risk-based policies as a foundation, we specialize in banking for mission-aligned customer segments including businesses that promote net zero renewable energy, affordable housing, and other aligned or adjacent businesses. Our business focus is designed to promote our reputation as a trustworthy banking partner reflective of our client segments.</w:t>
      </w:r>
    </w:p>
    <w:p>
      <w:pPr>
        <w:spacing w:after="0" w:line="17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have been a leader in supporting strong environmental standards, sustainable finance, and responsible and sustainable banking practices. We publicly committed to promote finance as a tool to build a more sustainable planet. We have taken several steps to continue our leadership in climate finance. We were one of the first U.S. banks to publish data in accordance with the Global Partnership for Carbon Accounting Financials and were the first U.S. bank to publish a net zero climate target validated by the Science Based Targets ("SBTi") methodology. We published our loan portfolio climate targets in October 2021, which built on a 2030 target of 49% reduction in absolute emissions from our 2020 baseline and reaching Net Zero in 2045. As a part of our Net Zero Report we disclosed asset class level targets and transition details. In 2025, we released an update on our progress towards climate targets in our Climate Impact report.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calculating the carbon impact of Company operations, we report to the standards of the Greenhouse Gas Protocol and disclose our Scope 1, 2, and 3 emissions, including voluntarily for Scope 3 Category 15 which covers our balance sheet loans and investments as well as our Assets Under Management. Within our operational emission, we measure our Scope 1, Scope 2 and Scope 3 greenhouse gas emissions and purchase carbon offsets for any unavoidable carbon emissions. As part of our net zero</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climate targets, we are also seeking to reduce our direct or "operational" emissions to net zero by 2030. We are committed to 100% renewable energy across our corporate footprint where attainable.</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Amalgamated Bank maintains a certification by B Labs USA, allowing it to promote itself to clients and the public as a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certified business. The median score of an ordinary business is 50.9. With the 2023 impact score of 155.3, Amalgamated Bank has secured important external validation for its commitment to be America's socially responsible bank.</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Through our institutional investing platform, we regularly engage portfolio companies on climate transition, workplace fairness and other matters in accordance with our fiduciary duties as a trustee. In 2025, as in previous years we engaged in shareholder advocacy and voted our proxies with clear and strategy aligned guidelines. This work is overseen by the Trust Committee of the Board of Directors and led by the Chief Trust Officer and Chief Sustainability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geographic markets with large and growing populations of our target customer base. Our primary geographic markets in which we have branch offices include New York City, Washington, D.C., San Francisco, and one commercial office in Boston. Based on research we commissioned, each of these markets is densely populated with a significant number of values-based businesses and non-profit organizations. We are also able to leverage our heritage as a socially responsible bank to market to customers nationwide.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our success in New York, a community we have now been a part of for over a century, we entered the Washington, D.C. market with a successful strategic expansion in 1998. We bolstered our efforts in the Washington, D.C. market in 2012 and have generated a 6% compound annual deposit growth rate during the five-year period ended December 31, 2025. Additionally, following the successful acquisition of New Resource Bank in 2018, we have become a trusted commercial lender in San Francisco. In addition, we established ourselves in Boston in 2020.</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corporate divisions include Commercial Banking, Trust and Investment Management and Consumer Banking. Product line includes residential mortgage loans through our marketing services agreement with Embrace Home Loans, commercial and industrial ("C&amp;I") loans, commercial real estate ("CRE") loans, multifamily loans, consumer loans (predominantly residential solar) and a variety of commercial and consumer deposit products, including non-interest-bearing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 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balance their profit-making activities with activities that benefit their other stakeholders and constituents.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financial services industry is highly competitive and we compete for loans, deposits, and customer relationships in our geographic markets. We strive to be the bank of choice for socially responsible companies, organizations and individuals working to advance positive social change. Competition involves efforts to retain current customers, make new loans and obtain new deposits, increase the scope and sophistication of services offered, and offer competitive interest rates paid on deposits and charged on loans. Our cost of funds fluctuates with market interest rates and may be affected by higher rates offered by other financial institutions. In certain interest rate environments, additional significant competition for deposits may be expected to arise from corporate and government debt securities and money market mutual funds. We have a small but growing market share of the total deposit-gathering or lending activities in the metropolitan areas of New York City, Washington, D.C., Boston, and San Francisco.</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financial services industry, market demands, technology advances, regulatory changes and economic pressures have increased competition among banks, as well as other financial institutions. As a result of increased competition, we believe that all existing banks must adapt and become more cost efficient. Meanwhile, corresponding changes in the regulatory framework have resulted in increasing cost burden on banking institutions. These market dynamics have increased the number of non-bank competitors and have increased customer awareness of product and service differences among bank and non-bank competitors.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3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primarily face competition from the five major categories of competitors listed below. In each case, we rely on our focus on our socially responsible banking model to attract mission-aligned customers to successfully compete.</w:t>
      </w:r>
    </w:p>
    <w:p>
      <w:pPr>
        <w:spacing w:after="0" w:line="108" w:lineRule="exact"/>
        <w:rPr>
          <w:sz w:val="20"/>
          <w:szCs w:val="20"/>
          <w:color w:val="auto"/>
        </w:rPr>
      </w:pPr>
    </w:p>
    <w:p>
      <w:pPr>
        <w:jc w:val="both"/>
        <w:ind w:left="980" w:hanging="324"/>
        <w:spacing w:after="0" w:line="266"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and regional bank competition within our branch footprint of the metropolitan areas of New York City, Washington, D.C., and San Francisco and our commercial office in Boston. These local and regional banks have the same local focus and engagement with the community and typically offer similar products and servicing capabilities.</w:t>
      </w:r>
    </w:p>
    <w:p>
      <w:pPr>
        <w:spacing w:after="0" w:line="12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banks which have been and are expanding their physical footprint in the metropolitan areas of New York City, Washington, D.C., Boston, and San Francisco. These large banks have significant national-scale resources.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“direct” banks, which have sophisticated digital offerings and significant national brand investments that appeal to segments of the population that do not require a physical branch to conduct banking and may offer higher interest rates on deposits.</w:t>
      </w:r>
    </w:p>
    <w:p>
      <w:pPr>
        <w:spacing w:after="0" w:line="107"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Fintech “non-banks.” There are numerous emerging business models and technology innovators entering the field of personal finance. Much of the Fintech innovation has significant capabilities and may be disruptive to traditional banks.</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socially responsible banks and financial services companies, including credit unions.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commercial banking, we compete to underwrite loans to sound, stable businesses and real estate projects at competitive price levels that also make sense for our business and risk profile. Our major commercial bank competitors include national, regional and local banks that are larger than us and, as a consequence of their size, have the ability to make loans on larger projects or provide a greater mix of product offerings. We also compete with local banks, some of which may offer aggressive pricing and unique terms on various types of loans.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retail banking, we primarily compete with banks that have a visible retail presence and personnel in our market areas. The primary factors driving competition in consumer banking are customer service, interest rates, fees charged, branch location and hours of operation, online banking capabilities, and the range of products offered. We compete for deposits by advertising, offering competitive interest rates, and seeking to provide a high level of personal service.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retail lending, we also compete with non-bank mortgage companies. The non-bank competition has access to a wide array of products and services offered through the secondary market and private participants. The ability to quickly utilize the latest technologies, while benefiting from lower regulatory and compliance costs, allow the non-bank competition to add new products at a fast pace.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investment management and trust services, we compete with a variety of custodial banks as well as a diverse group of investment managers to those client segments. From a custody standpoint, we mainly compete against larger custodial institutions, such as State Street and BNY Mellon, US Bank, Regions Bank and M&amp;T Bank. In investment management, we regularly compete against a host of firms that provide passive equity index replication to their clients, including State Street, BlackRock, and Vanguard. Our active products, both in equities and fixed-income, compete against dozens of institutional managers who traditionally provide services to Taft-Hartley funds, public funds and endowments/foundations. Our agreement with Invesco to be our principal investment sub-adviser has added to this suite of products.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focused on providing value-added products and services to our clients, which we are able to do because of our close relationships with them, and our affinity to their missions. We believe our ability to provide flexible, sophisticated products and a customer-centric process to our customers and clients allows us to stay competitive in the financial services environment.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Deposits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gather deposits primarily through teams of bankers organized based on region and client segment. In addition, we bank politically active customers, such as campaigns, political action committees, and state and national party committees, which we refer to as political deposits. These deposits exhibit seasonality based on election cycles. Our teams of dedicated bankers have expertise with the segments they cover, and many have worked with or within organizations that make up our target customer base before starting their career in banking. We believe our deep understanding of these segments, customized solutions and relationship-based, personalized service model enable us to address our customers’ unique banking needs. As a result, we believe we have become one of the leading banks of choice for many of these groups who, in turn, contribute a significant source of low-</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core deposits to the bank. Our total deposit base is composed of 41% non-interest-bearing accounts and has an average cost of deposits of only 160 basis points for the year ended December 31, 2025. We believe that our focus on serving the banking interests of the mission-driven customer market gives us a competitive advantage over other commercial banks in generating business from our target customer base.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this commercial business development structure, we source consumer deposits through our branch network, online network, and mobile platform. Through these channels, we offer a variety of deposit products, including demand deposit accounts, interest-bearing products, savings accounts, and certificates of deposit. As of December 31, 2025, our deposit base consisted of $3.23 billion of checking deposits, $4.51 billion of other liquid deposits such as money market checking, savings and passbook deposits, and $203.2 million of certificate of deposits, which includes $0.2 million of brokered deposits. The vast majority of our commercial deposits are derived from socially responsible organizations.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 and Investment Management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providing institutional trust, custody and investment management services since 1973. This business has become an integral contributor to our franchise and is complementary to our commercial banking business, as they each help support and grow the other. Approximately one-third of our trust and investment management clients utilize our deposit products. The majority of our trust and investment management business consists of institutional investment clients, such as multi-employer pension funds and Taft-Hartley funds.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custody service bankers have considerable experience with our target customer base, offering a highly personal approach to customer support and customizable solutions including those which are specifically designed to meet the requirements of the Employee Retirement Income Security Act of 1974 and public sector employee benefit and pension plans, endowments, foundations and family offices. Our core custody services feature a wide-ranging and comprehensive product suite, including asset safekeeping, corporate actions, income collections, proxy services, account transition, asset transfers and conversion management, which focus on adding value for our clients.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investment management offerings are currently composed of a broad range of both index and actively-managed funds spanning equity, fixed-income, real estate assets and alternative investment strategies. Our experienced team specifically tailors our investment strategy to align with the values of our clients. We launched our LongView family of funds in 1992 to promote advocacy through ownership guided by the investment belief that companies with strong corporate governance deliver stockholders greater and less volatile returns over the long term. We view accountability, prudent risk oversight, social and environmental awareness, relationship with workers, stockholders and the community as the key principles for sustainable value creation that define good governance best practices and enhance the prospects for sound stockholder returns. We play an active role in promoting strong corporate governance through our proxy-voting guidelines, the filing of socially-aligned stockholder proposals, and litigation brought by us on behalf of our investors, and we believe this distinguishes our index funds from similarly situated funds and provides us with a competitive marketing advantage.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growth of our commercial banking business has contributed to our trust, custody and investment management services business in recent years. As of December 31, 2025, we had over 1,000 custody accounts with $38.63 billion in assets under custody and approximately 500 investment management accounts with $16.63 billion in assets under management. For the years ended December 31, 2025 and December 31, 2024, we generated $16.2 million and $15.2 million of investment and trust fees,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Allocation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target customer base provides us with what has historically been a stable source of low-cost core deposits, with generally limited credit needs. Therefore, we have historically had a substantial amount of excess liquidity. We believe a key benefit of our differentiated business model is our flexibility to allocate our excess liquidity to achieve attractive risk-adjusted returns. Our earning asset mix today is composed of a combination of loans to target commercial customers, various types of real estate loans, and securities. We have a robust governance process in place to maintain conservative credit standards and underwrite each loan on our balance sheet.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and Industrial Lending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take a relationship-based approach to our target customer loan origination strategy, as our bankers have developed a deep level of experience with our customers within our target customer base and their unique banking needs. Our business strategy involves us growing our business by earning the trust of these customers through a demonstrated dedication to our shared values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mission-aligned customers seek our expertise in order to obtain various forms of specialty lending. Our specialty lending includes bridge financing guaranteed by philanthropic grants, financing for owner-occupied union facilities, loans to affordable housing construction funds administered by leading Community Development Financial Institutions Funds, loans for commercial solar deployment and other renewable power and energy efficiency projects, and loans to political organizations.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Real Estate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real estate portfolio consists of loans to individuals and commercial businesses, including residential, multifamily, and CRE.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Residential Real Estate</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portfolio of originated one-to-four family real estate loans to individuals is based primarily in our geographic markets, but also a minority of residential loans are to individuals outside our geographic markets, some of which are affinity mortgage programs we have developed for members of certain commercial customers, such as the Service Employees International Union and American Federation of Teachers. Our residential loans are primarily closed-end mortgage loans, secured by a first lien on one-to-four family dwellings primarily in our geographic footprint. The dwellings are typically residential structures consisting of principal residences, second or vacation homes and investment properties, with property types including single family homes, two-to-four unit homes, condominiums, and cooperative apartments. We also own portfolios of purchased one-to-four family loans, representing 2.5% of total assets as of December 31, 2025. Beginning in February 2026, in order to maintain strong client relationships, the Company entered into a marketing services agreement with Embrace Home Loans to refer its customers for residential loans services, while advancing its broader strategic focus.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Multifamily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substantial portion of our portfolio is composed of multifamily loans made to customers in New York, predominantly for rent-stabilized buildings. We generally apply stringent underwriting guidelines for LTV and debt service coverage ratios, which are intended to mitigate credit and concentration risk in this loan category. The average current LTV of our multifamily loans is approximately 56%.</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December 31, 2025 our total multifamily portfolio is $1.64 billion, and our total multifamily loan exposure in New York State is approximately $1.01 billion. Approximately 81% of these loans are to buildings with at least one rent regulated unit.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Real Estate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apply stringent underwriting guidelines for LTV and debt service coverage ratios, which are intended to mitigate credit and concentration risk in this loan category. Our CRE exposure is also predominantly in the New York metropolitan area and includes loans on office buildings, owner-occupied office buildings, retail centers, industrial facilities, mixed-use buildings, and education centers, with an average current LTV of 45%.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CRE portfolio composition by property type at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gridSpan w:val="2"/>
          </w:tcPr>
          <w:p>
            <w:pPr>
              <w:ind w:left="1240"/>
              <w:spacing w:after="0"/>
              <w:rPr>
                <w:sz w:val="20"/>
                <w:szCs w:val="20"/>
                <w:color w:val="auto"/>
              </w:rPr>
            </w:pPr>
            <w:r>
              <w:rPr>
                <w:rFonts w:ascii="Times New Roman" w:cs="Times New Roman" w:eastAsia="Times New Roman" w:hAnsi="Times New Roman"/>
                <w:sz w:val="18"/>
                <w:szCs w:val="18"/>
                <w:b w:val="1"/>
                <w:bCs w:val="1"/>
                <w:color w:val="auto"/>
              </w:rPr>
              <w:t>Property Type</w:t>
            </w:r>
          </w:p>
        </w:tc>
        <w:tc>
          <w:tcPr>
            <w:tcW w:w="750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w:t>
            </w:r>
          </w:p>
        </w:tc>
        <w:tc>
          <w:tcPr>
            <w:tcW w:w="140" w:type="dxa"/>
            <w:vAlign w:val="bottom"/>
            <w:tcBorders>
              <w:top w:val="single" w:sz="8" w:color="CCEEFF"/>
            </w:tcBorders>
            <w:shd w:val="clear" w:color="auto" w:fill="CCEEFF"/>
          </w:tcPr>
          <w:p>
            <w:pPr>
              <w:spacing w:after="0"/>
              <w:rPr>
                <w:sz w:val="19"/>
                <w:szCs w:val="19"/>
                <w:color w:val="auto"/>
              </w:rPr>
            </w:pPr>
          </w:p>
        </w:tc>
        <w:tc>
          <w:tcPr>
            <w:tcW w:w="2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16.1 %</w:t>
            </w:r>
          </w:p>
        </w:tc>
        <w:tc>
          <w:tcPr>
            <w:tcW w:w="5160" w:type="dxa"/>
            <w:vAlign w:val="bottom"/>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Office - Owner Occupied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5160" w:type="dxa"/>
            <w:vAlign w:val="bottom"/>
          </w:tcPr>
          <w:p>
            <w:pPr>
              <w:spacing w:after="0"/>
              <w:rPr>
                <w:sz w:val="19"/>
                <w:szCs w:val="19"/>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Retail</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5160" w:type="dxa"/>
            <w:vAlign w:val="bottom"/>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Industrial</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28.3 %</w:t>
            </w:r>
          </w:p>
        </w:tc>
        <w:tc>
          <w:tcPr>
            <w:tcW w:w="516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Mixed Use</w:t>
            </w: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5160" w:type="dxa"/>
            <w:vAlign w:val="bottom"/>
          </w:tcPr>
          <w:p>
            <w:pPr>
              <w:spacing w:after="0"/>
              <w:rPr>
                <w:sz w:val="19"/>
                <w:szCs w:val="19"/>
                <w:color w:val="auto"/>
              </w:rPr>
            </w:pPr>
          </w:p>
        </w:tc>
      </w:tr>
      <w:tr>
        <w:trPr>
          <w:trHeight w:val="230"/>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5160" w:type="dxa"/>
            <w:vAlign w:val="bottom"/>
          </w:tcPr>
          <w:p>
            <w:pPr>
              <w:spacing w:after="0"/>
              <w:rPr>
                <w:sz w:val="19"/>
                <w:szCs w:val="19"/>
                <w:color w:val="auto"/>
              </w:rPr>
            </w:pPr>
          </w:p>
        </w:tc>
      </w:tr>
      <w:tr>
        <w:trPr>
          <w:trHeight w:val="230"/>
        </w:trPr>
        <w:tc>
          <w:tcPr>
            <w:tcW w:w="3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5160" w:type="dxa"/>
            <w:vAlign w:val="bottom"/>
          </w:tcPr>
          <w:p>
            <w:pPr>
              <w:spacing w:after="0"/>
              <w:rPr>
                <w:sz w:val="19"/>
                <w:szCs w:val="19"/>
                <w:color w:val="auto"/>
              </w:rPr>
            </w:pPr>
          </w:p>
        </w:tc>
      </w:tr>
      <w:tr>
        <w:trPr>
          <w:trHeight w:val="223"/>
        </w:trPr>
        <w:tc>
          <w:tcPr>
            <w:tcW w:w="3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51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r>
      <w:tr>
        <w:trPr>
          <w:trHeight w:val="898"/>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w:t>
            </w:r>
          </w:p>
        </w:tc>
        <w:tc>
          <w:tcPr>
            <w:tcW w:w="5160" w:type="dxa"/>
            <w:vAlign w:val="bottom"/>
          </w:tcPr>
          <w:p>
            <w:pPr>
              <w:spacing w:after="0"/>
              <w:rPr>
                <w:sz w:val="24"/>
                <w:szCs w:val="24"/>
                <w:color w:val="auto"/>
              </w:rPr>
            </w:pPr>
          </w:p>
        </w:tc>
      </w:tr>
      <w:tr>
        <w:trPr>
          <w:trHeight w:val="115"/>
        </w:trPr>
        <w:tc>
          <w:tcPr>
            <w:tcW w:w="3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4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securities portfolio primarily consists of high quality investments in mortgage-backed securities to government sponsored entities, other asset-backed securities and Property Assessed Clean Energy ("PACE") investments. All non-agency securities, composed of non-agency commercial mortgage-backed securities, collateralized loan obligations, non-agency mortgage-backed securities, and asset-backed securities, are senior tranche and approximately 86.2% carry AAA credit ratings and 13.8% carry A credit ratings or higher. As of December 31, 2025, our securities portfolio has a weighted average yield of 4.87% and an estimated weighted average life of 5.6 years. Approximately 53.4% of this portfolio is classified as “available for sale.” In total, our securities portfolio including FHLBNY stock represented 38.7% of total interest-earning assets as of December 31, 2025.</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PACE financing allows borrowers to finance energy efficient and other socially responsible building improvements with the repayment made through property tax assessments collected by municipalities. PACE assessments are typically pari passu with tax liens and senior to mortgage debt. We have purchased PACE assessments backed by improvements to residential and commercial properties. The residential assessments were originated by three different companies and were backed mostly by properties from California and Florida. The average assessment-to-value at origination for our residential and commercial PACE portfolios is approximately 9% and 24%, respectively. We added $197.8 million in PACE assets in 2025. PACE assessments are generally non-rated pass-through securities with no structural protections or guarantees added at the security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Strategy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 clearly defined mission to be America’s socially responsible bank, empowering organizations and individuals to advance positive change. Our differentiated model of providing relationship-based, personalized-service and customized solutions while sharing our customers’ values has driven the growth of our commercial banking, trust and investment management, and contributes to our consumer banking businesses.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further enhance our franchise value by continuing to develop organic relationships with our target customer base in existing markets, expanding strategically into new geographies while maintaining our risk and expense discipline. We believe this will drive growth in our core banking business and our trust and investment management business. Protecting our banking franchise also requires disciplined risk and expense management, which we believe is essential to our business strategy. Commitment to our customers’ values is a central tenet of our differentiated business model and we expect it to continue to serve as the pillar of our broader business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Focus on Deposit-led Organic Growth</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primary goal is to develop organic relationships in our target customer segments to support the growth of our high quality, low-cost core deposit base. Our growth has been achieved by providing relationship-based, personalized-service and customized solutions. The success of our deposit gathering strategy has enabled us to become a primarily core deposit-funded institution, resulting in a lower cost funding base. Core deposits, which include checking accounts, money market accounts, and savings accounts, totaled $7.75 billion as of December 31, 2025 and represented 97% of total deposits. Our deposit strategy enables us to attract commercial depositors that also borrow and invest with us. Our total deposit growth has increased at a 5.8% compound annual growth rate over the last five years. We believe our reputation within our target customer base positions us well to sustain our growth trajectory.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Expansion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consider strategic expansions into new geographic markets that share the same characteristics as our other current markets with a dense constituency of socially responsible organizations and individuals. We demonstrated our ability to grow through our expansion into Washington, D.C. and through the completed acquisition of New Resource Bank in 2018, based in San Francisco. In 2020, we opened our first commercial office in Boston as part of our efforts to expand organically into new markets. We intend to continue evaluating opportunities to efficiently expand our geographic footprint into other large metropolitan areas throughout the United States.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Trust and Investment Management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Trust and Investment Management business has been dedicated to serving the investment needs of our institutional clients for more than 50 years. We are committed to fostering strong client relationships and unparalleled understanding of our clients’ goals and objectives. Our investment strategies consist of both index and actively-managed portfolios spanning across Equity and Fixed Income asset classes. As of December 31, 2025, we had $38.63 billion of assets under custody and $16.63 billion of assets under management. The growth of our commercial banking business has fueled the continued growth of our trust and investment management business, as approximately one-third of our trust and investment management clients utilize our deposit products. Our existing commercial clients have large trust and investment management needs. Our current infrastructure provides the necessary scale to increase our market presence among corporations, endowments, foundations and family offices. Invesco serves as our primary investment management subadvisor, bringing significant scale and experience to our investment management business, with over $2.17 trillion in assets under management, as of December 2025. Invesco has a wide range of investment management services across asset classes, with experience in Taft-Hartley plans, and a significant range of social responsibility investment products aligned with our mission.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Prudent Approach to Asset Allocation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model has historically generated a substantial source of low-cost core deposits and we believe that it will continue to do so. As noted above, our target deposit customers have historically had limited credit needs and we do not expect that these needs will change meaningfully. As such, our business model gives us access to excess liquidity, which we intend to prudently manage to optimize risk-adjusted returns. We expect that our lending strategy will continue to consist of commercial real estate loans, C&amp;I loans, and clean energy project finance, as well as purchases of high-quality loans such as government guaranteed loans supported by the Small Business Administration or the United States Department of Agriculture, or syndicated loans originated by other financial institutions with a track record of strong credit quality and prudent underwriting.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and Credit Risk Management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Underwriting. </w:t>
      </w:r>
      <w:r>
        <w:rPr>
          <w:rFonts w:ascii="Times New Roman" w:cs="Times New Roman" w:eastAsia="Times New Roman" w:hAnsi="Times New Roman"/>
          <w:sz w:val="18"/>
          <w:szCs w:val="18"/>
          <w:color w:val="auto"/>
        </w:rPr>
        <w:t>Certain credit risks are inherent in all loans. These include risks resulting from uncertainties in the future value of collateral, risks resulting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changes in economic and industry conditions, changing regulatory requirements, and risks inherent in dealing with individual borrowers. Although we both originate and purchase pools of loans, we apply the following underwriting standards to all of our loans. We attempt to mitigate repayment risks by adhering to internal credit limits, a multi-layered approval process for loans, documentation examination, and follow-up procedures for any exceptions to credit policies. Our management, lending officers and credit administration team emphasize a strong risk management culture which is supported by comprehensive policies and procedures for credit underwriting, funding and administration that we believe has enabled us to maintain sound asset quality. Our underwriting methodology emphasizes analysis of enterprise cash flow coverage, property cash flow in the case of real estate loans, loan to collateral value, and obtaining personal guaranties where appropriate. For project finance transactions, consideration of developer experience and financial stability and quality of off take contracts is paramount. Also, in the case of most income-property loans, we require that borrowers are special purpose entities.</w:t>
      </w:r>
    </w:p>
    <w:p>
      <w:pPr>
        <w:spacing w:after="0" w:line="1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Board of Directors has delegated oversight responsibility for our credit risk functions to its Credit Policy Committee, which is responsible for setting our credit risk appetite and approving our credit policy. This policy is updated periodically and reviewed in its entirety annually. Our Board has established a management level Credit Committee, which is charged with updating and administering our credit policy, subject to the Credit Policy Committee’s approval. The Management Credit Committee reviews and has the authority to approve, delay or deny requests for new and existing credit exposures within the limits and practices established by our credit policy. Among other responsibilities, the Management Credit Committee reviews and approves (i) all C&amp;I and CRE non-multifamily commercial credit exposure requests greater than $20 million; (ii) CRE multifamily credit exposure requests greater than $20 million; and (iii) approves residential lending credit requests of more than $3 million. The Credit Policy Committee must approve any loan over $35 million, as well as specific programs that are new to the Bank or are subject to heightened risk.</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Credit Committee includes our Chief Credit Risk Officer, Chief Banking Officer, Director of Commercial Banking, Treasurer, Senior CRE Credit Officer, Senior C&amp;I Credit Officer, Director of Climate and C&amp;I Lending, Director of Commercial Real Estate, and Director of C&amp;I and Climate Underwriting and Loan Administration. Our Management Credit Committee generally meets weekly to evaluate and approve credits brought by loan officers. Prior to submitting a loan for approval, the loan will have gone through several rounds of underwriting and credit review starting with deal screens, underwriting performed by the lending unit, a review of the underwriting by our Credit Risk Management team, submission of a formal credit application memorandum that is also reviewed by our Credit Risk Management team, and an approval to move forward by a Senior Credit Officer. Particularly, during the underwriting process and prior to presentation to the Management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Committee, the collateral properties on multifamily and CRE loans are visited by the originating relationship manager. There are no automatic factors that preclude a loan from being approved as we focus on the totality of the credit opportunity including the borrower’s financial strength, industry, loan structure, strategic fit, and economics. In evaluating each potential loan relationship, we adhere to a disciplined underwriting evaluation process which includes, but is not limited to, the following:</w:t>
      </w:r>
    </w:p>
    <w:p>
      <w:pPr>
        <w:spacing w:after="0" w:line="126"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the customer’s financial condition and ability to repay the loan;</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that the primary and secondary sources of repayment are adequate in relation to the amount and structure of the loan;</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observing appropriate LTV guidelines for collateral secured loans;</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our targeted levels of diversification for the loan portfolio, both as to type of borrower, industry and geographic location of collateral;</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each loan is properly documented with perfected liens on collateral; and</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loan.</w:t>
      </w:r>
    </w:p>
    <w:p>
      <w:pPr>
        <w:spacing w:after="0" w:line="2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policy is to lend to, and invest our own money in, industries that match the expertise of the Bank, in which we have extensive experience and understand both the specific and inherent risks of individual asset classes for which we have a demonstrated track record. The Bank does not lend to, or invest our own money in, sectors where we do not have the personnel or institutional track record to properly assess the risks at the necessary level to make such credit determinations, nor sectors inconsistent with the risk-adjusted revenue growth strategies of the enterprise, as prescribed by our Risk Appetite Statement and reflected in the Bank’s Credit Risk Policy. The Bank maintains a restricted industries and activities list according to its risk appetite; a loan falling within a restricted industry or activity may still be approved on an exception basis. The review of such a loan must include a review of the mitigations for the exception and a reason to continue considering the loan.</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third party appraisers to appraise the properties on which we make CRE loans. We choose these appraisers from a group of qualified individuals and firms based on the specific type of property and the geographic area in which the property is located. The appraisal review process has been outsourced. The Bank's Senior CRE Credit Officer (in his dual-capacity as Chief Appraiser) selects the appraising individual or firm (from a Bank-approved list), orders the appraisal, then engages an unrelated appraiser to conduct a formal appraisal review of the submitted appraisal report. The full process is managed by the Credit Risk Management Group. For multifamily and CRE loans, our policies are to obtain an appraisal on each loan and, generally, to not exceed an LTV of 80% and 75%, respectively.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Residential real estate loans are underwritten in accordance with the Bank’s credit policies, which consider borrower creditworthiness, collateral value, and regulatory lending standards, and are secured by residential properties. Loan structures and pricing are designed to manage credit risk and support the Bank’s overall asset quality and balance sheet objectives. The Bank's general policy is not to exceed an LTV of 80% unless the borrower obtains mortgage insurance.</w:t>
      </w:r>
    </w:p>
    <w:p>
      <w:pPr>
        <w:spacing w:after="0" w:line="17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Loans to One Borrower</w:t>
      </w:r>
      <w:r>
        <w:rPr>
          <w:rFonts w:ascii="Times New Roman" w:cs="Times New Roman" w:eastAsia="Times New Roman" w:hAnsi="Times New Roman"/>
          <w:sz w:val="18"/>
          <w:szCs w:val="18"/>
          <w:color w:val="auto"/>
        </w:rPr>
        <w:t>. In accordance with “loans-to-one-borrower” regulations promulgated by the New York State Department of Financial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("NYDFS"), we are generally limited to lending no more than 15% of our unimpaired capital and unimpaired surplus to any one borrower or borrowing entity. This limit may be increased by an additional 10% for loans secured by readily marketable collateral having a market value, as determined by reliable and continuously available price quotations, at least equal to the amount of funds outstanding. To qualify for this additional 10%, we must perfect a security interest in the collateral, and the collateral must have a market value at all times of at least 100% of the loan amount that exceeds 15% of our unimpaired capital and unimpaired surplus. At December 31, 2025, our regulatory limit on loans-to-one borrower was approximately $134 million. Our Management Credit Committee approval limit is $35 million; any loan over $35 million must be approved by the Credit Policy Committee or their approved delegate(s). We regularly monitor concentration risk, which is the risk of lending too much to one particular customer or type of customer. Our loan policy establishes detailed concentration limits and sub limits by loan type and geography. Our Credit Policy Committee reviews our concentration reports on a quarterly basis and approves the concentration limits annually.</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Ongoing Credit Risk Management</w:t>
      </w:r>
      <w:r>
        <w:rPr>
          <w:rFonts w:ascii="Times New Roman" w:cs="Times New Roman" w:eastAsia="Times New Roman" w:hAnsi="Times New Roman"/>
          <w:sz w:val="18"/>
          <w:szCs w:val="18"/>
          <w:color w:val="auto"/>
        </w:rPr>
        <w:t>. Credit risk management involves a collaboration among our loan officers or relationship managers, underwriters,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approval, credit administration, portfolio management and collections or loan workout personnel. We apply our collection policies uniformly to both our portfolio loans and loans serviced for others. We conduct monthly loan quality meetings, attended by representatives from each of the aforementioned groups, including the business unit leaders. Our Loan Quality Committee is our executive and senior management governing body for monitoring loans that have classified or criticized regulatory risk ratings, or as determined by our Chief Credit Risk Officer or Senior Credit Officers.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 w:name="page14"/>
    <w:bookmarkEnd w:id="13"/>
    <w:p>
      <w:pPr>
        <w:spacing w:after="0" w:line="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Criticized loans are special mention loans as they show potential weakness that may result in the deterioration of future repayment. Classified loans are substandard loans and doubtful loans.</w:t>
      </w:r>
    </w:p>
    <w:p>
      <w:pPr>
        <w:spacing w:after="0" w:line="108" w:lineRule="exact"/>
        <w:rPr>
          <w:sz w:val="20"/>
          <w:szCs w:val="20"/>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assets have potential weaknesses that deserve management’s close attention. If left uncorrected, these potential weaknesses may result in deterioration of the repayment prospects for the asset or in the institution’s credit position at some future date.</w:t>
      </w:r>
    </w:p>
    <w:p>
      <w:pPr>
        <w:spacing w:after="0" w:line="107"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assets are inadequately protected by the current sound worth and paying capacity of the borrower or of the collateral pledged, if any. Assets so classified must have a well-defined weakness, or weaknesses, that jeopardize the liquidation of the debt. They are characterized by the distinct possibility that the bank will sustain some loss if the deficiencies are not corrected. For some Substandard assets, the likelihood of full collection of interest and principal may be in doubt; such assets should be placed on non-accrual.</w:t>
      </w:r>
    </w:p>
    <w:p>
      <w:pPr>
        <w:spacing w:after="0" w:line="125"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assets have all the weaknesses inherent in one classified Substandard with the added characteristic that the weaknesses make collection or liquidation in full, on the basis of currently existing facts, conditions, and values, highly questionable and improbable.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review of classified and criticized loans includes an evaluation of the market conditions, the property’s (or business entity’s) trends, the borrower and guarantor status, and loan accrual status.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 Quality Committee also reviews: delinquent loans, upcoming maturities, credit review cycles, and other credit monitoring reports across segments of the loan portfolio. The Loan Quality Committee has approval authority for loan amendments and credit risk rating changes for reviewed credit exposures. A credit risk rating change requires a majority vote of the Loan Quality Committee and is reported to the Credit Policy Committee.</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our policy, we perform annual asset reviews of our multifamily, CRE, and C&amp;I loans. All C&amp;I loans in excess of $1 million are reviewed at least annually, or quarterly based on size and credit criteria. Pass-rated CRE and multifamily loans are reviewed annually or biannually based on size and location, and all criticized and classified loans are reviewed monthly. As part of these credit reviews, we analyze recent financial statements of the borrower and any additional market data that may impact the borrower’s ability to repay the loan. Upon completion, we update the risk rating assigned to each loan. Relationship managers are encouraged to bring potential credit issues to the attention of credit administration personnel. Our credit policy requires at least 50% of our loans to be reviewed by an independent third party credit review firm to ensure that our assigned risk ratings are appropriate. The loans are typically selected by the independent third-party credit review firm except that the reviewer must review all loans with over $25 million exposure, a sample of pass-rated CRE loans with balances greater than $15 million, a sample of pass-rated CRE borrowers with relationship commitments greater than $25 million, a sample of C&amp;I loans with relationship commitments exceeding $10 million exposure, a sample of construction, land development and farmland loans with commitments greater than $1 million, a sample of new individual loan commitments exceeding $5 million booked since the prior review, a sample of loans in our lowest pass-rated risk rating with exposures over $10 million, and a sample of criticized or classified loans with relationship commitments greater than $1 million. Additional loans may be selected to complete the sample size, and additional targeted reviews may also be requested based upon portfolio composition, local events, industry/market events or other factors.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Management reviews the reports prepared by the independent reviewers and presents these reports to the Credit Policy Committee of the Board. These asset review procedures provide management and the Board with additional information for assessing our asset quality.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Climate Risk Management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Climate-related risks are composed of (1) transitional risks, which are risks associated with the transition towards a low-carbon economy, (2) physical risks, which consist of the physical impacts from climate change including increased frequency and severity of natural disasters, sea levels rising, and extreme temperatures, and (3) regulatory risk as local, state and federal policy makers respond to the climate crisis with new regulations and market influence designed to speed up the transition to a low-carbon economy, mitigate climate risk and protect the economy from climate impacts. These impacts and events have broad material implications on business operations, supply chains, distribution channels, customers, and markets. The impacts of transition risk can lead to and amplify credit risk or market risk by reducing our customers’ operating income or the value of their assets as well as expose us to reputational and/or litigation risk due to increased regulatory scrutiny or negative public sentiment. Physical risk can lead to increased credit risk by diminishing borrowers’ repayment capacity or impacting the value of collateral.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closely monitor the stability in the insurance markets and the impact of climate losses on the availability and pricing of insurance for the real estate sector. Disruption in these markets could impact the economic circumstances of borrowers, the valuation of assets and borrower ability to meet lending terms on insurance coverage.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embed climate risk into our business strategy, and we are committed to ambitious action through risk management programs. The Bank uses the Task Force on Climate Related Financial Disclosures ("TCFD") framework across governance, strategy, risk management and targets for disclosing clear, comparable and consistent information about our risks and opportunities presented by climate change. Our climate risk mitigation efforts are communicated through our Net Zero Climate Target Report, which is our plan to measure our impact, set targets that guide our business growth and the impact we have in the world, and to be transparent about what this will mean for our business and operations. Similarly, our annual CSR report includes the key pillars of TCFD reporting and our approach to climate risk management. The Bank has onboarded the use of software to identify climate change physical risk in order to provide our first and second line managers the data needed to evaluate risk at an asset and portfolio level. The capacity to look across timelines, financial consequences of climate impacts and risk tolerances is an important mitigant for managing climate risk. The information on our website is not incorporated by reference in this report.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respect to operational risk, we maintain business continuity plans that factor in extreme weather events and our ability to adapt to physical events that change our access to certain locations. This plan is maintained by management and reviewed by the Enterprise Risk Oversight Committee of the board on an annual basis.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regulatory and policy risk, regulators at the federal level and at NYDFS have outlined approaches and expectations for supervision of climate risk for financial institutions, including banks.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Security and Technology Systems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recognize the critical role of technology in driving operational efficiency and maintaining competitive advantage in today’s financial services landscape. We make investments in order to maintain scalable, efficient, secure and modern scalable information technology systems. We outsource a significant portion of our processing and services, which allows us to leverage vendors’ economies of scale and enables us to expand our capabilities as needed without the burden of legacy infrastructure. We work with our third-party vendors to ensure we are utilizing their applications efficiently and to their fullest capability. We use an integrated core system to originate and process loan and deposit accounts, which provides us with a high degree of automation, improves customer experience and reduces costs.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dedicated to continuously enhancing our cybersecurity measures through a multi-layered defense strategy that safeguards customers and confidential data. By actively monitoring the cybersecurity threat landscape, especially within the financial services sector, we stay ahead of emerging trends and threats. Our Information Security Department diligently identifies and assesses risks, implementing appropriate mitigating controls. Regular security awareness training sessions are conducted to boost employee awareness of cyber threats. Additionally, we maintain both our primary and disaster recovery sites in colocation data centers and regularly conduct business continuity and disaster recovery exercises to ensure our contingency plans are effective and robust.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People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450 employees, approximately 21% of whom are represented by a collective bargaining agreement. We consider our relationship with our employees to be good and have not experienced interruptions of operations due to labor disagreements. All employees are aware of our stance in supporting organized labor and workers' rights.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Four of our service employees at our headquarters, responsible for mechanical and technical repairs, are covered by a 2024 Independent Office Agreement effective January 1, 2024, between us and Local 32BJ, Service Employees International Union, which shall expire at the conclusion of December 31, 2027, for those persons employed by the Bank. The agreement generally governs, among other things, the subject employee’s compensation, vacation, severance, and working conditions and provides the union will only strike under very limited circumstances.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office and clerical employees are covered by the Collective Bargaining Agreement between us and the Office and Professional Employees International Union ("OPEIU") local 153. The agreement generally governs, among other things, the subject employees’ compensation, vacation, severance, and working conditions and contains a “no-strike” clause, whereby, during the term of the agreement, the union will not strike and we will not initiate a lockout. On November 29, 2024, the Company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 w:name="page16"/>
    <w:bookmarkEnd w:id="15"/>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OPEIU entered into a new Collective Bargaining Agreement, which (i) extended the term of the Collective Bargaining Agreement to June 30, 2026, (ii) provided for a 3.5% wage increase per annum for the term of the Agreement, and (iii) made certain modifications to reflect improved terms, inclusive of a healthcare reimbursement.</w:t>
      </w:r>
    </w:p>
    <w:p>
      <w:pPr>
        <w:spacing w:after="0" w:line="16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Diversity is important to us and is a contributing factor to our ability to deliver on our growth strategy by ensuring a wide range of client acquisition opportunities. Additionally, our Board of Directors is currently comprised of seven women, five racially or ethnically diverse members, and one LGBTQ+ member. We believe maintaining and promoting a diverse and inclusive workplace and ensuring equal pay for equal work is essential for our growth. We are committed to merit based strategies to attract, retain, and develop top talent to create value for stockholders. In our employee recruitment and selection process and operation of our business, we adhere to equal employment opportunity policies and provide annual employee trainings on ethics and workplace conduct. We have established employee resource groups to support employees and help cultivate a healthy workplace culture. As of December 31, 2025, approximately 55% of our employees identify as women and women hold 16 of 42 senior management positions, and 63% of our employees identify as minorities and they hold 40% of senior management positions.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Competitive Pay/Benefits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attract and retain talent, we offer a comprehensive compensation and benefits package that includes health insurance, pension, savings plans, employee stock purchase plan and tuition reimbursement. Since 2021, we have participated in the Living Wage Initiative along with a select group of corporate leaders with strong human capital management track records and we are certified as a Living Wage Employer.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engage a nationally recognized outside compensation and benefits consulting firm to independently evaluate the effectiveness of our executive pay programs and to benchmark them against those of industry peers. We align our executives’ pay with performance by linking incentive pay to financial performance, and we have stock ownership requirements for senior executives and our Board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publish in our CSR Report annual data on employee recruitment, advancement and retention, and an analysis of pay equity, which is an analysis conducted for the purposes of identifying whether there is the presence of statistically significant pay differences in our practices that potentially penalize any one demographic group or protected class versus another through the lens of specific legally defined categories.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Promotions and Tenure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December 31, 2024 to December 31, 2025, approximately 9% of our workforce was promoted. The average tenure of our employees is approximately six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Employee Engagement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President and Chief Executive Officer, and members of executive management, hold town hall-style meetings in-person and virtually with all employees, covering topics such as business strategy and outlook, our competitive landscape, emerging industry trends, employee recognition, and includes a question and answer session with management. We believe this format, in addition to other on-going interactions between leadership and employees, promotes strong and productive conversations across our organization that foster alignment across the company to deliver shareholder value through our differentiated business model.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and Safety</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health and safety of our employees and customers is our highest priority. We leverage federal, state, and local guidelines and requirements, in addition to consultation with an external healthcare consulting firm to guide our health and safety protocols.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owns all of the capital stock of the Bank.</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Bank owns a subsidiary, Amalgamated Real Estate Management Company (“AREMCO”), which was formed to serve as a consolidated real estate investment trust holding certain of our purchased and originated loans. During the year ending December 31, 2024, the holders of the voting stock and the Board of Directors of AREMCO approved a plan of liquidation of AREMCO. All stockholders of AREMCO were paid a liquidating distribution in accordance with the terms of the respective classes of securities. The legal dissolution of AREMCO should be finalized in 2026.</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also has several other insignificant subsidiaries, including subsidiaries to hold our other real estate owned property ("OREO"), which is real estate property owned by us that is not directly related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00"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We provide our Annual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and amendments to those reports filed or furnished pursuant to Section 13(a) or 15(d) of the Exchange Act on our website at www.amalgamatedbank.com under the Investor Relations section. These filings are made accessible as soon as reasonably practicable after they have been filed electronically with the SEC. These reports are also available free of charge on the SEC's website at www.sec.gov. The information on our website is not incorporated by reference into this report.</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SUPERVISION AND REGULATION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the Company and the Bank are subject to extensive banking regulations that impose restrictions on and provide for general regulatory oversight of their operations. These laws generally are intended primarily for the protection of customers, depositors and other consumers, the FDIC’s Deposit Insurance Fund (the “DIF”), and the banking system as a whole; not for the protection of our other creditors and stockholders.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discussion is not intended to be a complete list of all the activities regulated by the banking laws or of the impact of those laws and regulations on our operations. The following is a general summary of the material aspects of certain statutes and regulations applicable to us. These summary descriptions are not complete, and you should refer to the full text of the statutes, regulations, and corresponding guidance for more information. These statutes and regulations are subject to change, and additional statutes, regulations, and corresponding guidance may be adopted. We are unable to predict these future changes or the effects, if any, that these changes could have on our business, revenues,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and Regulatory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Dodd-Frank Wall Street Reform and Consumer Protection Act (“Dodd-Frank Act”)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Dodd-Frank Act was signed into law in July 2010 and impacts financial institutions in numerous ways, including:</w:t>
      </w:r>
    </w:p>
    <w:p>
      <w:pPr>
        <w:spacing w:after="0" w:line="139"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creation of a Financial Stability Oversight Council responsible for monitoring and managing systemic risk;</w:t>
      </w:r>
    </w:p>
    <w:p>
      <w:pPr>
        <w:spacing w:after="0" w:line="130" w:lineRule="exact"/>
        <w:rPr>
          <w:rFonts w:ascii="Times New Roman" w:cs="Times New Roman" w:eastAsia="Times New Roman" w:hAnsi="Times New Roman"/>
          <w:sz w:val="22"/>
          <w:szCs w:val="22"/>
          <w:color w:val="auto"/>
        </w:rPr>
      </w:pPr>
    </w:p>
    <w:p>
      <w:pPr>
        <w:ind w:left="660" w:hanging="328"/>
        <w:spacing w:after="0" w:line="234" w:lineRule="auto"/>
        <w:tabs>
          <w:tab w:leader="none" w:pos="65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Granting additional authority to the Board of Governors of the Federal Reserve (the “Federal Reserve”) to regulate certain types of nonbank financial companies;</w:t>
      </w:r>
    </w:p>
    <w:p>
      <w:pPr>
        <w:spacing w:after="0" w:line="11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Granting new authority to the FDIC as liquidator and receiver;</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Changing the manner in which deposit insurance assessments are made;</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Requiring regulators to modify capital standards;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Establishing the Consumer Financial Protection Bureau (the “CFPB”);</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Capping interchange fees that certain banks charge merchants for debit card transactions;</w:t>
      </w:r>
    </w:p>
    <w:p>
      <w:pPr>
        <w:spacing w:after="0" w:line="11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Imposing more stringent requirements on mortgage lenders; and</w:t>
      </w:r>
    </w:p>
    <w:p>
      <w:pPr>
        <w:spacing w:after="0" w:line="12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Limiting banks’ proprietary trading activities.</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There are many provisions in the Dodd-Frank Act mandating regulators to adopt new regulations and conduct studies upon which future regulation may be based. While some have been issued, many remain to be issued. In 2025, key regulatory updates focused on easing capital requirements for large institutions, reconsidering small business lending data rules, and streamlining supervisory practices, including by focusing examinations on material financial risks. For example, in October 2025, joint agencies issued a proposed rule to define the term “unsafe or unsound practice” to refer to whether a practice is likely to materially harm, or has materially harmed, the financial condition of an institution. Transition costs and uncertainty in regulations could materially and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owns 100% of the outstanding capital stock of the Bank, and is considered to be a bank holding company registered under the federal Bank</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Holding Company Act of 1956 (the “BHC Act”). As a result, we are primarily subject to the supervision, examination and reporting requirements of the Federal Reserve under the BHC Act and its regulations promulgated thereunder.</w:t>
      </w:r>
    </w:p>
    <w:p>
      <w:pPr>
        <w:spacing w:after="0" w:line="200" w:lineRule="exact"/>
        <w:rPr>
          <w:sz w:val="20"/>
          <w:szCs w:val="20"/>
          <w:color w:val="auto"/>
        </w:rPr>
      </w:pPr>
    </w:p>
    <w:p>
      <w:pPr>
        <w:jc w:val="both"/>
        <w:ind w:right="20"/>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Permitted Activities. </w:t>
      </w:r>
      <w:r>
        <w:rPr>
          <w:rFonts w:ascii="Times New Roman" w:cs="Times New Roman" w:eastAsia="Times New Roman" w:hAnsi="Times New Roman"/>
          <w:sz w:val="18"/>
          <w:szCs w:val="18"/>
          <w:color w:val="auto"/>
        </w:rPr>
        <w:t>Under the BHC Act, a bank holding company is generally permitted to engage in, or acquire direct or indirect control of more than 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voting shares of any company engaged in, the following activities:</w:t>
      </w:r>
    </w:p>
    <w:p>
      <w:pPr>
        <w:spacing w:after="0" w:line="11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banking or managing or controlling banks;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Times New Roman" w:cs="Times New Roman" w:eastAsia="Times New Roman" w:hAnsi="Times New Roman"/>
          <w:sz w:val="18"/>
          <w:szCs w:val="18"/>
          <w:color w:val="auto"/>
        </w:rPr>
        <w:t>furnishing services to or performing services for our subsidiaries;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 w:name="page19"/>
    <w:bookmarkEnd w:id="18"/>
    <w:p>
      <w:pPr>
        <w:spacing w:after="0" w:line="72" w:lineRule="exact"/>
        <w:rPr>
          <w:sz w:val="20"/>
          <w:szCs w:val="20"/>
          <w:color w:val="auto"/>
        </w:rPr>
      </w:pPr>
    </w:p>
    <w:p>
      <w:pPr>
        <w:ind w:right="800" w:firstLine="332"/>
        <w:spacing w:after="0" w:line="447" w:lineRule="auto"/>
        <w:tabs>
          <w:tab w:leader="none" w:pos="643" w:val="left"/>
        </w:tabs>
        <w:numPr>
          <w:ilvl w:val="0"/>
          <w:numId w:val="8"/>
        </w:numPr>
        <w:rPr>
          <w:rFonts w:ascii="Arial" w:cs="Arial" w:eastAsia="Arial" w:hAnsi="Arial"/>
          <w:sz w:val="21"/>
          <w:szCs w:val="21"/>
          <w:color w:val="auto"/>
        </w:rPr>
      </w:pPr>
      <w:r>
        <w:rPr>
          <w:rFonts w:ascii="Times New Roman" w:cs="Times New Roman" w:eastAsia="Times New Roman" w:hAnsi="Times New Roman"/>
          <w:sz w:val="17"/>
          <w:szCs w:val="17"/>
          <w:color w:val="auto"/>
        </w:rPr>
        <w:t>any activity that the Federal Reserve determines to be so closely related to banking as to be a proper incident to the business of banking. Activities that the Federal Reserve has found to be so closely related to banking as to be a proper incident to the business of banking include:</w:t>
      </w:r>
    </w:p>
    <w:p>
      <w:pPr>
        <w:spacing w:after="0" w:line="18" w:lineRule="exact"/>
        <w:rPr>
          <w:rFonts w:ascii="Arial" w:cs="Arial" w:eastAsia="Arial" w:hAnsi="Arial"/>
          <w:sz w:val="21"/>
          <w:szCs w:val="21"/>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factoring accounts receivable;</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making, acquiring, brokering or servicing loans and usual related activities;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leasing personal or real property;</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operating a non-bank depository institution, such as a savings association;</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trust company functions;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financial and investment advisory activities;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conducting discount securities brokerage activities;</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underwriting and dealing in government obligations and money market instruments;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providing specified management consulting and counseling activities;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performing selected data processing services and support services;</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acting as agent or broker in selling credit life insurance and other types of insurance in connection with credit transactions; and</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Times New Roman" w:cs="Times New Roman" w:eastAsia="Times New Roman" w:hAnsi="Times New Roman"/>
          <w:sz w:val="18"/>
          <w:szCs w:val="18"/>
          <w:color w:val="auto"/>
        </w:rPr>
        <w:t>performing selected insurance underwriting activities.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bank holding company, the Company can elect to be treated as a “financial holding company,” which would allow it to engage in a broader array of activities. In summary, a financial holding company can engage in activities that are financial in nature or incidental or complementary to financial activities, including insurance underwriting, sales and brokerage activities, providing financial and investment advisory services, underwriting services and limited merchant banking activities. We are contemplating seeking designation as a financial holding company. In order to elect financial holding company status, at the time of such election, each insured depository institution that the Company controls must be well capitalized, well managed and have at least a satisfactory rating under the Community Reinvestment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Reserve has the authority to order a bank holding company or its subsidiaries to terminate any of these activities or to terminate its ownership or control of any subsidiary when it has reasonable cause to believe that the bank holding company’s continued ownership, activity or control constitutes a serious risk to the financial safety, soundness or stability of it or any of its bank subsidiaries.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Recently, regulators have focused on streamlining supervision, adjusting capital requirements for large institutions, and increasing transparency in stress testing required under the BHC Act. The Federal Reserve's Statement of Supervisory Operating Principles, issued in November 2025, represents a significant shift in the scope and methodology of bank supervision, directing staff to focus on material financial risks (capital, liquidity, and overall safety and soundness) over technical or procedural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Expansion Activities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BHC Act requires a bank holding company to obtain the prior approval of the Federal Reserve before merging with another bank holding company, acquiring substantially all the assets of any bank or bank holding company, or acquiring directly or indirectly any ownership or control of more than 5% of the voting shares of any bank. A bank holding company is also prohibited from acquiring direct or indirect ownership or control of more than 5% of the voting shares of any company engaged in nonbanking activities, other than those determined by the Federal Reserve to be so closely related to banking as to be a proper incident to the business of banking.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Two statutes, the BHC Act and the Change in Bank Control Act, together with regulations promulgated under them, require some form of regulatory review before any company may acquire “control” of a bank or a bank holding company. Under the BHC Act, control is deemed to exist if a company acquires 25% or more of any class of voting securities of a bank holding company; controls the election of a majority of the members of the Board of Directors; or exercises a controlling influence over the management or policies of a bank or bank holding company. The Federal Reserve has clarified and codified its standards for determining whether one company has control over another. There are four categories of tiered presumptions of noncontrol that are based on the percentage of voting shares held by the investor (less than 5%, 5-9.9%, 10-14.9% and 15-24.9%) and the presence of other indicia of control. As the percentage of ownership increases, fewer indicia of control are permitted without falling outside of the presumption of noncontrol. These indicia of control include nonvoting equity ownership, director representation, management interlocks, business relationship and restrictive contractual covenants. Under the final rule, investors can hold up to 24.9% of the voting securities and up to 33% of the total equity of a company without necessarily having a controlling influence. State laws, including New York law, require state approval before an acquirer may become the holding company of a state bank.</w:t>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Change in Bank Control Act, a person or company is required to file a notice with the Federal Reserve if it will, as a result of the transaction, own or control 10% or more of any class of voting securities or direct the management or policies of a bank or bank holding company and either if the bank or bank holding company has registered securities or if the acquirer would be the largest holder of that class of voting securities after the acquisition. For a change in control at the holding company level, both the Federal Reserve and the subsidiary bank's primary federal regulator must approve the change in</w:t>
      </w:r>
    </w:p>
    <w:p>
      <w:pPr>
        <w:spacing w:after="0" w:line="4"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control; at the bank level, only the bank’s primary federal regulator is involved. Transactions subject to the BHC Act are exempt from Change in Control Act requirements. For state banks, state laws, including that of New York, typically require approval by the state bank regulator as well.</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of Strength</w:t>
      </w:r>
    </w:p>
    <w:p>
      <w:pPr>
        <w:spacing w:after="0" w:line="2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There are a number of obligations and restrictions imposed by law and regulatory policy on bank holding companies with regard to their depository institution subsidiaries that are designed to minimize potential loss to depositors and to the FDIC insurance funds in the event that the depository institution</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becomes in danger of defaulting under its obligations to repay deposits. Under a policy of the Federal Reserve, a bank holding company is required to serve as a source of financial strength to its subsidiary depository institutions and to commit resources to support such institutions in circumstances where it might not do so absent such policy. Under the Federal Deposit Insurance Corporation Improvement Act of 1991, to avoid receivership of its insured depository institution subsidiary, a bank holding company is required to guarantee the compliance of any insured depository institution subsidiary that may become “undercapitalized” within the terms of any capital restoration plan filed by such subsidiary with its appropriate federal banking agency up to the lesser of (i) an amount equal to 5% of the institution’s total assets at the time the institution became undercapitalized, or (ii) the amount which is necessary (or would have been necessary) to bring the institution into compliance with all applicable capital standards as of the time the institution fails to comply with such capital restoration plan.</w:t>
      </w:r>
    </w:p>
    <w:p>
      <w:pPr>
        <w:spacing w:after="0" w:line="19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 Federal Reserve also has the authority under the BHC Act to require a bank holding company to terminate any activity or relinquish control of a nonbank subsidiary (other than a nonbank subsidiary of a bank) upon the Federal Reserve's determination that such activity or control constitutes a serious</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risk to the financial soundness or stability of any subsidiary depository institution of the bank holding company. Further, federal law grants federal bank regulatory authorities’ additional discretion to require a bank holding company to divest itself of any bank or nonbank subsidiary if the agency determines that divestiture may aid the depository institution's financial condition.</w:t>
      </w:r>
    </w:p>
    <w:p>
      <w:pPr>
        <w:spacing w:after="0" w:line="17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addition, the “cross guarantee” provisions of the Federal Deposit Insurance Act (the “FDIA”) require insured depository institutions under common control to reimburse the FDIC for any loss suffered or reasonably anticipated by the FDIC as a result of the default of a commonly controlled insured</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depository institution or for any assistance provided by the FDIC to a commonly controlled insured depository institution in danger of default. The FDIC’s claim for damages is superior to claims of stockholders of the insured depository institution or its holding company, but is subordinate to claims of depositors, secured creditors and holders of subordinated debt (other than affiliates) of the commonly controlled insured depository institutions.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FDIA also provides that amounts received from the liquidation or other resolution of any insured depository institution by any receiver must be distributed (after payment of secured claims) to pay the deposit liabilities of the institution prior to payment of any other general or unsecured senior liability, subordinated liability, general creditor or stockholder. This provision would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 depositors a preference over general and subordinated creditors and stockholders in the event a receiver is appointed to distribute the assets of our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capital loans by a bank holding company to any of its subsidiary banks are subordinate in right of payment to deposits and to certain other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indebtedness of such subsidiary bank. In the event of a bank holding company’s bankruptcy, any commitment by the bank holding company to a federal bank regulatory agency to maintain the capital of a subsidiary bank will be assumed by the bankruptcy trustee and entitled to a priority of payment.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Requirements and Payment of 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Federal Reserve imposes certain capital requirements on the bank holding companies under the BHC Act, including a minimum leverage ratio and a minimum ratio of “qualifying” capital to risk-weighted assets. These requirements are essentially the same as those that apply to the Bank and are described below under “Amalgamated Bank—Capital and Related Requirements” Subject to our capital requirements and certain other restrictions, including the consent of the Federal Reserve, we are able to borrow money to make a capital contribution to the Bank, and these loans may be repaid from dividends paid from the Bank to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ability to pay dividends to its stockholders may be affected by both general corporate law considerations and policies of the Federal Reserve applicable to bank holding companies. As a Delaware public benefit corporation, the Company is subject to the limitations of the Delaware General Corporation Law ("DGCL"). The DGCL allows the Company to pay dividends only out of its surplus (as defined and computed in accordance with the provisions of the DGCL) or if the Company has no such surplus, out of its net profits for the fiscal year in which the dividend is declared and/or the preceding fiscal year.</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general matter, the Federal Reserve has indicated that the Board of Directors of a bank holding company should eliminate, defer or significantly reduce dividends to stockholders if: (a) the company’s net income available to stockholders for the past four quarters, net of dividends previously paid during that period, is not sufficient to fully fund the dividends; (b) the prospective rate of earnings retention is inconsistent with the company’s capital needs and overall current and prospective financial condition; or (c)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capital rules, financial institutions that seek to</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 dividends will have to maintain the 2.5% capital conservation buffer. See “Amalgamated Bank—Capital and Related Requirements.”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Affiliate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legal entity separate and distinct from the Bank and its other subsidiaries. Various legal limitations restrict the Bank from lending or otherwise supplying funds to the Company or its non-bank subsidiaries. The Company and the Bank are subject to Sections 23A and 23B of the Federal Reserve Act and Federal Reserve Regulation W.</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Section 23A of the Federal Reserve Act places limits on the amount of loans or extensions of credit by a bank to any affiliate, including its holding company, and on a bank’s investments in, or certain other transactions with, affiliates and on the amount of advances to third parties collateralized by the securities or obligations any of affiliates of the bank. Section 23A also applies to derivative transactions, repurchase agreements and securities lending and borrowing transactions that cause a bank to have credit exposure to an affiliate. The aggregate of all covered transactions is limited in amount, as to any one affiliate, to 10% of the Bank’s capital and surplus and, as to all affiliates combined, to 20% of the Bank’s capital and surplus. Furthermore, within the foregoing limitations as to amount, each covered transaction must meet specified collateral requirements. The Bank is forbidden to purchase low quality assets from an affiliate.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Section 23B of the Federal Reserve Act, among other things, prohibits a bank from engaging in certain transactions with certain affiliates unless the transactions are on terms and under circumstances, including credit standards, that are substantially the same, or at least as favorable to such bank or its subsidiaries, as those prevailing at the time for comparable transactions with or involving other nonaffiliated companies. If there are no comparable transactions, a bank’s (or one of its subsidiaries’) affiliate transaction must be on terms and under circumstances, including credit standards, that in good faith would be offered to, or would apply to, nonaffiliated companies. These requirements apply to all transactions subject to Section 23A as well as to certain other transactions.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affiliates of a bank include any holding company of the bank, any other company under common control with the bank (including any company controlled by the same stockholders who control the bank), any subsidiary of the bank that is itself a bank, any company in which the majority of the directors or trustees also constitute a majority of the directors or trustees of the bank or holding company of the bank, any company sponsored and advised on a contractual basis by the bank or an affiliate, and any mutual fund advised by a bank or any of the bank’s affiliates. Regulation W generally excludes all non-bank and non-savings association subsidiaries of banks from treatment as affiliates, except to the extent that the Federal Reserve decides to treat these subsidiaries as affiliates.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Amalgamated Bank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New York state-chartered bank with FDIC-insured deposits, we are examined, supervised and regulated by the NYDFS, our primary regulator and the FDIC, our primary federal regulator. The statutes enforced by, and regulations and policies of, these agencies affect most aspects of our business, including prescribing the permissible scope of our activities, permissible types of loans and investments, the amount of required reserves, requirements for branch offices, and various other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York Law</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New York-chartered bank, New York law governs our licensing and regulation, including organizational and capital requirements, fiduciary powers, investment authority, branch offices and electronic terminals, cybersecurity standards declaration of dividends, changes of control and mergers, out of state activities, interstate branching and banking, debt offerings, borrowing limits, limits on loans to one obligor, liquidation, sale of shares or options in Amalgamated to its directors, officers, employees and others, the purchase by Amalgamated of its own shares, and the issuance of capital notes or debentures. The NYDFS is charged with our supervision and regulation.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Unsecured loans to one person generally may not exceed 15% of the sum of our capital stock, surplus fund and undivided profits, allowance and capital notes and debentures, and both secured and unsecured loans to one person (excluding certain secured lending and letters of credit) at any given time generally may not exceed 25% of the sum of our capital stock, surplus fund and undivided profits allowance and capital notes and debentures. We are required to invest our funds in accordance with limitations under New York law and may only make investments that are permissible investments for banks, subject to any limitations under any other applicable law.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remedies available to the FDIC (which are discussed below), the Superintendent of the NYDFS may take possession of our bank if certain conditions exist, such as conducting business in an unsafe or unauthorized manner, impairments of capital, suspended payments of obligations, or violation of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FDIC</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deposits are insured by the FDIC to the fullest extent permissible by law. As an insurer of deposits, the FDIC issues regulations, conducts examinations, requires the filing of reports and generally supervises the operations of all institutions to which it provides deposit insurance. The approval of the FDIC is required for certain transactions in which we may engage, including any merger or consolidation involving us, a change in control over us, or the establishment or relocation of any of our branch offices. In reviewing applications seeking approval of such transactions, the FDIC may consider, among other things, the competitive effect and public benefits of the transactions, the capital position, financial and managerial resources and future prospects of the organizations involved in the transaction, the risks to the stability of the U.S. banking or financial system, the applicant’s performance record under the Community Reinvestment Act (see “Community Reinvestment Act” below) and the effectiveness of the organizations involved in the transaction in combating money laundering activities. The FDIC also has the power to prohibit these and other transactions even if approval is not required, and could do so if we have otherwise failed to comply with all laws and regulations applicable to us.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and Soundness Regulation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insured depository institution, we are subject to prudential regulation and supervision and must undergo regular on-site examinations by our banking agencies. The cost of examinations of insured depository institutions and any affiliates may be assessed by the appropriate agency against each institution or affiliate as it deems necessary or appropriate. We file quarterly consolidated reports of condition and income (“call reports”) with the NYDFS and FDIC. The FDIC has developed a method for insured depository institutions to provide supplemental disclosure of the estimated fair market value of assets and liabilities, to the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2" w:name="page23"/>
    <w:bookmarkEnd w:id="22"/>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extent feasible and practicable, in any balance sheet, financial statement, report of condition or any other report of any insured depository institution.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federal banking agencies have also adopted guidelines establishing safety and soundness standards for all insured depository institutions including our bank. The safety and soundness guidelines relate to, among other things, our internal controls, information systems, internal audit systems, credit underwriting and documentation, compensation, fees, benefits, asset quality, asset growth, earnings, and interest rate exposure. The standards assist the federal banking agencies with early identification and resolution of problems at insured depository institutions. If we were to fail to meet these standards, the FDIC could require us to submit a compliance plan and take enforcement action if an acceptable compliance plan were not submitted. In addition, the FDIC could terminate our deposit insurance if it determines that our financial condition was unsafe or unsound or that we engaged in unsafe or unsound practices that violated an applicable rule, regulation, order or condition enacted or imposed on us by our regulators.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power of the Board of Directors of an insured depository institution to declare a cash dividend or other distribution with respect to capital is subject to statutory and regulatory restrictions that limit the amount available for such distribution depending upon earnings, financial condition and cash needs of the institution, as well as general business conditions. Insured depository institutions are also prohibited from paying management fees to any controlling persons or, with certain limited exceptions, making capital distributions, including dividends, if after such transaction the institution would be less than adequately capitalized.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New York law, we are prohibited from declaring a dividend so long as there is any impairment of our capital stock. In addition, we would be required to obtain approval from the NYDFS prior to declaring a dividend if the dividend would cause the total aggregate amount of our dividends in the calendar year to exceed our total net profits for that calendar year combined with retained net profits of the preceding two years, less any required transfer to surplus or a fund for the retirement of any preferred stock.</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certain circumstances, the FDIC may determine that the payment of a dividend would be an unsafe or unsound practice as a result of our financial condition and to prohibit the payment thereof. In particular, the FDIC has stated that excessive dividends can negate strong earnings performance and result in a weakened capital position and that dividends generally can be disbursed, in reasonable amounts, only after losses are eliminated and necessary reserves and prudent capital levels are established. In addition, the capital rules (and in particular, the capital conservation buffer, which was fully phased-in on January 1, 2019), require us to maintain a 2.5% capital conservation buffer in Common Equity Tier 1 capital in order to pay a cash dividend. See “</w:t>
      </w:r>
      <w:r>
        <w:rPr>
          <w:rFonts w:ascii="Times New Roman" w:cs="Times New Roman" w:eastAsia="Times New Roman" w:hAnsi="Times New Roman"/>
          <w:sz w:val="18"/>
          <w:szCs w:val="18"/>
          <w:i w:val="1"/>
          <w:iCs w:val="1"/>
          <w:color w:val="auto"/>
        </w:rPr>
        <w:t>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Related Requirements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and Related Requirements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comprehensive capital adequacy requirements intended to protect against losses that we may incur. Regulatory capital rules adopted in July 2013 and fully phased in as of January 1, 2019, which we refer to as Basel III, impose minimum capital requirements for bank holding companies and banks. The Basel III rules apply to all state and national banks and savings and loan associations regardless of size and bank holding companies and savings and loan holding companies other than "small bank holding companies," generally holding companies with consolidated assets of less than $3 billion. More stringent requirements are imposed on “advanced approaches” banking organizations—those organizations with $250 billion or more in total consolidated assets, $10 billion or more in total foreign exposures, or that have opted into the Basel II capital regime.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rules include certain higher risk-based capital and leverage requirements than those previously in place. Specifically, we are required to maintain the following minimum capital requirements:</w:t>
      </w:r>
    </w:p>
    <w:p>
      <w:pPr>
        <w:spacing w:after="0" w:line="12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common equity Tier 1 (“CET1”) risk-based capital ratio of 4.5%;</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Tier 1 risk-based capital ratio of 6%;</w:t>
      </w:r>
    </w:p>
    <w:p>
      <w:pPr>
        <w:spacing w:after="0" w:line="165"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total risk-based capital ratio of 8%; and</w:t>
      </w:r>
    </w:p>
    <w:p>
      <w:pPr>
        <w:spacing w:after="0" w:line="179"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Times New Roman" w:cs="Times New Roman" w:eastAsia="Times New Roman" w:hAnsi="Times New Roman"/>
          <w:sz w:val="18"/>
          <w:szCs w:val="18"/>
          <w:color w:val="auto"/>
        </w:rPr>
        <w:t>a leverage ratio of 4%.</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Basel III, Tier 1 capital includes two components: CET1 capital and additional Tier 1 capital. The highest form of capital, CET1 capital, consists solely of common stock (plus related surplus), retained earnings, accumulated other comprehensive income, otherwise referred to as AOCI, and limited amounts of minority interests that are in the form of common stock. Additional Tier 1 capital is primarily comprised of noncumulative perpetual preferred stock, Tier 1 minority interests and grandfathered trust preferred securities. Tier 2 capital generally includes the allowance for credit losses up to 1.25% of risk-weighted assets, qualifying preferred stock, subordinated debt and qualifying tier 2 minority interests, less any deductions in Tier 2 instruments of an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unconsolidated financial institution. AOCI is presumptively included in CET1 capital and often would operate to reduce this category of capital. When</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implemented, Basel III provided a one-time opportunity for covered banking organizations to opt out of much of this treatment of AOCI. We made this opt-out election in order to avoid significant variations in the level of capital depending upon the impact of interest rate fluctuations on the fair value of our investment securities portfolio.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to avoid restrictions on capital distributions or discretionary bonus payments to executives, under Basel III, a banking organization must maintain a “capital conservation buffer” on top of its minimum risk-based capital requirements. This buffer must consist solely of Tier 1 Common Equity, but the buffer applies to all three risk-based measurements (CET1, Tier 1 capital and total capital). The 2.5% capital conservation buffer was phased in incrementally over time, and became fully effective for us on January 1, 2019, resulting in the following effective minimum capital plus capital conservation buffer ratios: (i) a CET1 capital ratio of 7.0%, (ii) a Tier 1 risk-based capital ratio of 8.5%, and (iii) a total risk-based capital ratio of 10.5%.</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November 2019, the federal banking regulators published final rules implementing a simplified measure of capital adequacy for certain banking organizations that have less than $10 billion in total consolidated assets. Under the final rules, which went into effect on January 1, 2020, banks and holding companies that have less than $10 billion in total consolidated assets and meet other qualifying criteria, including a leverage ratio of greater than 9%, off-balance-sheet exposures of 25% or less of total consolidated assets and trading assets plus trading liabilities of 5% or less of total consolidated assets, are deemed “qualifying community banking organizations” and are eligible to opt into the “community bank leverage ratio framework.” A qualifying community banking organization that elects to use the community bank leverage ratio framework and that maintains a leverage ratio of greater than 9% is considered to have satisfied the generally applicable risk-based and leverage capital requirements under the Basel III rules and, if applicable, is considered to have met the “well capitalized” ratio requirements for purposes of its primary federal regulator’s prompt corrective action rules, discussed below. The final rules include a two-quarter grace period during which a qualifying community banking organization that temporarily fails to meet any of the qualifying criteria, including the greater-than-9% leverage capital ratio requirement, is generally still deemed “well capitalized” so long as the banking organization maintains a leverage capital ratio greater than 8%. A banking organization that fails to maintain a leverage capital ratio greater than 8% is not permitted to use the grace period and must comply with the generally applicable requirements under the Basel III rules and file the appropriate regulatory reports. We do not have any immediate plans to elect to use the community bank leverage ratio framework but may make such an election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Prompt Corrective Action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an insured depository institution, we are required to comply with the capital requirements promulgated under the FDIA. The FDIA requires each federal banking agency to take prompt corrective action (“PCA”) to resolve the problems of insured depository institutions, including those that fall below one or more prescribed minimum capital ratios. The law requires each federal banking agency to promulgate regulations defining the following five categories in which an insured depository institution will be placed, based on the level of capital ratios: “well capitalized,” “adequately capitalized,” “undercapitalized,” “significantly undercapitalized,” or “critically undercapitalized.” As of December 31, 2025, our capital ratios exceeded the standard minimum ratios established for a “well capitalized” institution, which are more rigorous than the ratios established for qualifying community banking organizations.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standard criteria for each PCA capital category:</w:t>
      </w:r>
    </w:p>
    <w:p>
      <w:pPr>
        <w:spacing w:after="0" w:line="169"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Well Capitalized</w:t>
      </w:r>
      <w:r>
        <w:rPr>
          <w:rFonts w:ascii="Times New Roman" w:cs="Times New Roman" w:eastAsia="Times New Roman" w:hAnsi="Times New Roman"/>
          <w:sz w:val="18"/>
          <w:szCs w:val="18"/>
          <w:color w:val="auto"/>
        </w:rPr>
        <w:t>—The institution exceeds the required minimum level for each relevant capital measure. A well-capitalized institution:</w:t>
      </w:r>
    </w:p>
    <w:p>
      <w:pPr>
        <w:spacing w:after="0" w:line="173" w:lineRule="exact"/>
        <w:rPr>
          <w:rFonts w:ascii="Times New Roman" w:cs="Times New Roman" w:eastAsia="Times New Roman" w:hAnsi="Times New Roman"/>
          <w:sz w:val="18"/>
          <w:szCs w:val="18"/>
          <w:i w:val="1"/>
          <w:iCs w:val="1"/>
          <w:color w:val="auto"/>
        </w:rPr>
      </w:pPr>
    </w:p>
    <w:p>
      <w:pPr>
        <w:ind w:left="1940" w:hanging="312"/>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total risk-based capital ratio of 10%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8%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6.5%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5% or greater;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2" w:lineRule="exact"/>
        <w:rPr>
          <w:sz w:val="20"/>
          <w:szCs w:val="20"/>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subject to any order or written directive to meet and maintain a specific capital level for any capital measure.</w:t>
      </w:r>
    </w:p>
    <w:p>
      <w:pPr>
        <w:spacing w:after="0" w:line="169"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Adequately Capitalized</w:t>
      </w:r>
      <w:r>
        <w:rPr>
          <w:rFonts w:ascii="Times New Roman" w:cs="Times New Roman" w:eastAsia="Times New Roman" w:hAnsi="Times New Roman"/>
          <w:sz w:val="18"/>
          <w:szCs w:val="18"/>
          <w:color w:val="auto"/>
        </w:rPr>
        <w:t>—The institution meets the required minimum level for each relevant capital measure. The institution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make a capital distribution if it would result in the institution becoming undercapitalized. An adequately capitalized institution:</w:t>
      </w:r>
    </w:p>
    <w:p>
      <w:pPr>
        <w:spacing w:after="0" w:line="10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total risk-based capital ratio of 8%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6%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4.5% or greater; and</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4% or greater.</w:t>
      </w:r>
    </w:p>
    <w:p>
      <w:pPr>
        <w:spacing w:after="0" w:line="169"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Undercapitalized</w:t>
      </w:r>
      <w:r>
        <w:rPr>
          <w:rFonts w:ascii="Times New Roman" w:cs="Times New Roman" w:eastAsia="Times New Roman" w:hAnsi="Times New Roman"/>
          <w:sz w:val="18"/>
          <w:szCs w:val="18"/>
          <w:color w:val="auto"/>
        </w:rPr>
        <w:t>—The institution fails to meet the required minimum level for any relevant capital measure. An undercapitalized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institution:</w:t>
      </w:r>
    </w:p>
    <w:p>
      <w:pPr>
        <w:spacing w:after="0" w:line="106"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total risk-based capital ratio of less than 8%;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less than 6%;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less than 4.5% or greater;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less than 4%.</w:t>
      </w:r>
    </w:p>
    <w:p>
      <w:pPr>
        <w:spacing w:after="0" w:line="169" w:lineRule="exact"/>
        <w:rPr>
          <w:rFonts w:ascii="Times New Roman" w:cs="Times New Roman" w:eastAsia="Times New Roman" w:hAnsi="Times New Roman"/>
          <w:sz w:val="18"/>
          <w:szCs w:val="18"/>
          <w:color w:val="auto"/>
        </w:rPr>
      </w:pPr>
    </w:p>
    <w:p>
      <w:pPr>
        <w:ind w:left="1300" w:right="20" w:hanging="320"/>
        <w:spacing w:after="0" w:line="284" w:lineRule="auto"/>
        <w:tabs>
          <w:tab w:leader="none" w:pos="129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Significantly Undercapitalized</w:t>
      </w:r>
      <w:r>
        <w:rPr>
          <w:rFonts w:ascii="Times New Roman" w:cs="Times New Roman" w:eastAsia="Times New Roman" w:hAnsi="Times New Roman"/>
          <w:sz w:val="18"/>
          <w:szCs w:val="18"/>
          <w:color w:val="auto"/>
        </w:rPr>
        <w:t>—The institution is significantly below the required minimum level for any relevant capital measure.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significantly undercapitalized institution:</w:t>
      </w:r>
    </w:p>
    <w:p>
      <w:pPr>
        <w:spacing w:after="0" w:line="106" w:lineRule="exact"/>
        <w:rPr>
          <w:rFonts w:ascii="Times New Roman" w:cs="Times New Roman" w:eastAsia="Times New Roman" w:hAnsi="Times New Roman"/>
          <w:sz w:val="18"/>
          <w:szCs w:val="18"/>
          <w:i w:val="1"/>
          <w:iCs w:val="1"/>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total risk-based capital ratio of less than 6%;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Tier 1 risk-based capital ratio of less than 4%;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common equity Tier 1 risk-based capital ratio of less than 3% or greater; or</w:t>
      </w:r>
    </w:p>
    <w:p>
      <w:pPr>
        <w:spacing w:after="0" w:line="171"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leverage capital ratio of less than 3%.</w:t>
      </w:r>
    </w:p>
    <w:p>
      <w:pPr>
        <w:spacing w:after="0" w:line="169" w:lineRule="exact"/>
        <w:rPr>
          <w:rFonts w:ascii="Times New Roman" w:cs="Times New Roman" w:eastAsia="Times New Roman" w:hAnsi="Times New Roman"/>
          <w:sz w:val="18"/>
          <w:szCs w:val="18"/>
          <w:color w:val="auto"/>
        </w:rPr>
      </w:pPr>
    </w:p>
    <w:p>
      <w:pPr>
        <w:ind w:left="1300" w:hanging="320"/>
        <w:spacing w:after="0" w:line="284"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Critically Undercapitalized</w:t>
      </w:r>
      <w:r>
        <w:rPr>
          <w:rFonts w:ascii="Times New Roman" w:cs="Times New Roman" w:eastAsia="Times New Roman" w:hAnsi="Times New Roman"/>
          <w:sz w:val="18"/>
          <w:szCs w:val="18"/>
          <w:color w:val="auto"/>
        </w:rPr>
        <w:t>—The institution fails to meet a critical capital level set by the appropriate federal banking agency.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critically undercapitalized institution has a ratio of tangible equity to total assets that is equal to or less than 2%.</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FDIA generally prohibits a depository institution from making any capital distributions (including payment of a dividend) or paying any management fee to its parent holding company if the depository institution would thereafter be “undercapitalized.” Moreover, if the institution becomes less than adequately capitalized, it must adopt a capital restoration plan acceptable to the FDIC. The institution also would become subject to increased regulatory oversight and is increasingly restricted in the scope of its permissible activities. Except under limited circumstances consistent with an accepted capital restoration plan, an undercapitalized institution may not grow. An undercapitalized institution may not acquire another institution, establish additional branch offices or engage in any new line of business unless it is determined by the appropriate federal banking agency to be consistent with an accepted capital restoration plan or unless the FDIC determines that the proposed action will further the purpose of PCA. A critically undercapitalized institution is subject to having a receiver or conservator appointed to manage its affairs.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measures taken under the PCA provisions, insured banks may be subject to potential actions by the federal regulators for unsafe or unsound practices in conducting their businesses or for violations of any law, rule, regulation or any condition imposed in writing by the agency or any written agreement with the agency. Enforcement actions may include the issuance of cease and desist orders that can be judicially enforced, the imposition of civil money penalties, the issuance of directives to increase capital, formal and informal agreements, the imposition of a conservator or receiver, or removal and prohibition orders against “institution-affiliated” parties, and termination of insurance of deposits. The NYDFS also has broad powers to enforce compliance with New York laws and regulations.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 Reinvestment Act Requirements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certain requirements and reporting obligations under the Community Reinvestment Act (“CRA”). The CRA generally requires federal banking agencies to evaluate the record of a financial institution in meeting the credit needs of its local communities, including low- and moderate-income neighborhoods. The CRA further requires the agencies to take into account our record of meeting community credit needs when evaluating applications for, among other things, new branches or mergers. We are also subject to analogous state CRA requirements in New York and other states in which we may establish branch offices. In connection with their assessments of CRA performance, the FDIC and NYDFS assign a rating of “outstanding,” “satisfactory,” “needs to improve,” or “substantial noncompliance.” We received a “satisfactory” CRA Assessment Rating from both regulatory agencies in our most recent examinations. The federal banking agencies may take compliance with such laws and CRA into account when regulating and supervising other activities of the bank, including in acting on expansionary proposals.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2023, federal bank agencies adopted a final rule to strengthen and modernize regulations implementing the CRA (the "CRA Rule"), which requires evaluation of bank performance to further address inequities in access to credit, and which would emphasize smaller-value loans and investments to low- and moderate-income communities. The CRA Rule also updates CRA assessment areas to include activities associated with online and mobile banking, and adopts a metrics-based approach to CRA evaluations of retail lending and community development financing. To date, a Texas court injunction is barring implementation of the CRA Rule, and multiple agencies have jointly proposed a rule to rescind the CRA Rule entirely and revert to the 1995/2021 regulatory framework.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Lending Requirements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certain fair lending requirements and reporting obligations involving lending operations. A number of laws and regulations provide these fair lending requirements and reporting obligations, including, at the federal level, the Equal Credit Opportunity Act (“ECOA”), as amended by the Dodd-Frank Act, and Regulation B, as well as the Fair Housing Act (“FHA”) and regulations implementing FHA found at 24 C.F.R. Part 100. ECOA and Regulation B prohibit discrimination in any aspect of a credit transaction based on a number of prohibited factors, including race or color, religion, national origin, sex, marital status, age, the applicant’s receipt of income derived from public assistance programs, and the applicant’s exercise, in good faith, of any right under the Consumer Credit Protection Act. ECOA and Regulation B include lending acts and practices that are specifically prohibited, permitted, or required, and these laws and regulations proscribe data collection requirements, legal action statute of limitations, and disclosure of the consumer’s ability to receive a copy of any appraisal(s) and valuation(s) prepared in connection with certain loans secured by dwellings. FHA prohibits discrimination in all aspects of residential real-estate related transactions based on prohibited factors, including race or color, national origin, religion, sex, familial status, and handicap. Fair lending requirements can also be imposed at the state level, including through Section 296-A of the New York Executive Law.</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prohibiting discrimination in credit transactions on the basis of prohibited factors, these laws and regulations can cause a lender to be liable for policies that result in a disparate treatment of or have a disparate impact on a protected class of persons. If a pattern or practice of lending discrimination is alleged by a regulator, then the matter may be referred by the agency to the U.S. Department of Justice (“DOJ”) for investigation. In December 2012, the DOJ and CFPB entered into a Memorandum of Understanding under which the agencies have agreed to share information, coordinate investigations, and have generally committed to strengthen their coordination efforts.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substantive penalties and corrective measures that may be required for a violation of certain fair lending laws, the federal banking agencies may take compliance with fair lending requirements into account when regulating and supervising other activities of the bank, including in acting on expansionary proposals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Banking Initiatives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August 2025 Executive Order, "Guaranteeing Fair Banking for All Americans," prohibits financial institutions from denying services based on political or religious beliefs or lawful but "disfavored" business activities. As a result, federal agencies are executing a phased overhaul of banking supervision to eliminate non-financial criteria in risk assessments. There are related efforts to ensure transparency in AI-driven underwriting. These "debanking" initiatives include:</w:t>
      </w:r>
    </w:p>
    <w:p>
      <w:pPr>
        <w:spacing w:after="0" w:line="207" w:lineRule="exact"/>
        <w:rPr>
          <w:sz w:val="20"/>
          <w:szCs w:val="20"/>
          <w:color w:val="auto"/>
        </w:rPr>
      </w:pPr>
    </w:p>
    <w:p>
      <w:pPr>
        <w:ind w:left="660" w:hanging="328"/>
        <w:spacing w:after="0" w:line="26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GENIUS Act of 2025, which requires federal agencies to ensure that “reputable, law-abiding businesses” are not excluded from the banking system without a clear legal or safety-and-soundness basis.</w:t>
      </w:r>
    </w:p>
    <w:p>
      <w:pPr>
        <w:jc w:val="both"/>
        <w:ind w:left="660" w:hanging="328"/>
        <w:spacing w:after="0" w:line="255"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NYDFS finalized rules in late 2025, which prohibit the use of reputational risk as a catch-all justification for closing accounts or denying credit. Under the updated rules, banks must provide a 30-day notice for most account closures (unless a crime is suspected) and offer a specific channel for customers to appeal the decision.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6" w:name="page27"/>
    <w:bookmarkEnd w:id="26"/>
    <w:p>
      <w:pPr>
        <w:spacing w:after="0" w:line="32" w:lineRule="exact"/>
        <w:rPr>
          <w:sz w:val="20"/>
          <w:szCs w:val="20"/>
          <w:color w:val="auto"/>
        </w:rPr>
      </w:pPr>
    </w:p>
    <w:p>
      <w:pPr>
        <w:jc w:val="both"/>
        <w:ind w:left="660" w:hanging="328"/>
        <w:spacing w:after="0" w:line="25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states' enactment of anti-boycott regulations, restricting the states’ business with and investment in banks with investment policies that exclude or reduce exposure to fossil-fuel-producing energy companies or with restrictions in place for sensitive industries such as mining, timber production, or firearms manufacturing — particularly if these industries are economically important to the state.</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usage of AI for credit decisions are to provide “clear and specific” reasons for adverse actions, in accordance with the Federal Reserve’s Supervisory Operating Principles issued in November 2025.</w:t>
      </w:r>
    </w:p>
    <w:p>
      <w:pPr>
        <w:ind w:left="660" w:right="2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NYDFS's requirement that banks maintain a comprehensive data lineage for AI models to prove they are not inadvertently using proxies for protected classes, for example, zip codes as a proxy for race.</w:t>
      </w:r>
    </w:p>
    <w:p>
      <w:pPr>
        <w:ind w:left="66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Interagency Automated Valuation Models (“AVM”) Rule, which requires banks to implement quality control standards to ensure that computer-generated property valuations are free from bias and maintain a high level of integrity.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Protection Regulations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activities are subject to a variety of statutes and regulations—both at the federal and state levels—designed to protect consumers. This includes Title X of the Dodd-Frank Act, which prohibits engaging in any unfair, deceptive, or abusive acts or practices (“UDAAP”). UDAAP claims involve detecting and assessing risks to consumers and to markets for consumer financial products and services. Interest and other charges collected or contracted for by us are subject to state usury laws and federal laws concerning interest rates. Our loan operations are also subject to federal laws applicable to credit transactions, such as:</w:t>
      </w:r>
    </w:p>
    <w:p>
      <w:pPr>
        <w:spacing w:after="0" w:line="129" w:lineRule="exact"/>
        <w:rPr>
          <w:sz w:val="20"/>
          <w:szCs w:val="20"/>
          <w:color w:val="auto"/>
        </w:rPr>
      </w:pPr>
    </w:p>
    <w:p>
      <w:pPr>
        <w:ind w:left="130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Truth-In-Lending Act (“TILA”) and Regulation Z, governing disclosures of credit and servicing terms to consumer borrowers and including substantial new requirements for mortgage lending and servicing, as mandated by the Dodd-Frank Act;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 Mortgage Disclosure Act of 1975 and Regulation C, requiring financial institutions to provide information to enable the public and public officials to determine whether a financial institution is fulfilling its obligation to help meet the housing needs of the communities it serves, and requiring collection and disclosure of data about applicant and borrower characteristics to assist in identifying possible discriminatory lending patterns and enforcing antidiscrimination statutes;</w:t>
      </w:r>
    </w:p>
    <w:p>
      <w:pPr>
        <w:spacing w:after="0" w:line="1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ECOA and Regulation B, prohibiting discrimination on the basis of race, color, religion, or other prohibited factors in any aspect of a credit transaction;</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Credit Reporting Act of 1978, as amended by the Fair and Accurate Credit Transactions Act and Regulation V, as well as the rules and regulations of the FDIC governing the use of consumer reports and provision of information to credit reporting agencies, certain identity theft protections and certain credit and other disclosures;</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Debt Collection Practices Act and Regulation F, governing the manner in which consumer debts may be collected by collection agencies and intending to eliminate abusive, deceptive, and unfair debt collection practices;</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 Estate Settlement Procedures Act (“RESPA”) and Regulation X, which governs aspects of residential mortgage loans, including the settlement and servicing process, dictates certain disclosures to be provided to consumers, and imposes other requirements related to compensation of service providers, insurance escrow accounts, and loss mitigation procedures;</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 and Fair Enforcement for Mortgage Licensing Act (“SAFE Act”) which mandates a nationwide licensing and registration system for residential mortgage loan originators. The SAFE Act also prohibits individuals from engaging in the business of a residential mortgage loan originator without first obtaining and maintaining annually registration as either a federal or state licensed mortgage loan originator;</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Homeowners Protection Act (“HPA”), or the PMI Cancellation Act, provides requirements relating to private mortgage insurance (PMI) on residential mortgages, including the cancelation and termination of PMI, disclosure and notification requirements, and the requirement to return unearned premiums;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FHA prohibits discrimination in all aspects of residential real-estate related transactions based on race or color, national origin, religion, sex, and other prohibited factors;</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Servicemembers Civil Relief Act (“SCRA”) and Military Lending Act (“MLA”), providing certain protections for servicemembers, members of the military, and their respective spouses, dependents and others; and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2"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106(c)(5) of the Housing and Urban Development Act requires making home ownership available to eligible homeowners.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deposit operations are also subject to federal laws, such as:</w:t>
      </w:r>
    </w:p>
    <w:p>
      <w:pPr>
        <w:spacing w:after="0" w:line="171" w:lineRule="exact"/>
        <w:rPr>
          <w:sz w:val="20"/>
          <w:szCs w:val="20"/>
          <w:color w:val="auto"/>
        </w:rPr>
      </w:pPr>
    </w:p>
    <w:p>
      <w:pPr>
        <w:ind w:left="1300" w:right="2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FDIA, which, among other things, imposes a minimum amount of deposit insurance available per account to $250,000 and imposes other limits on deposit-taking;</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Financial Privacy Act, which imposes a duty to maintain the confidentiality of consumer financial records and prescribes procedures for complying with administrative subpoenas of financial records;</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Electronic Funds Transfer Act and Regulation E, which governs the rights, liabilities, and responsibilities of consumers and financial institutions using electronic fund transfer services, and which generally mandates disclosure requirements, establishes limitations on liability applicable to consumers for unauthorized electronic fund transfers, dictates certain error resolution processes, and applies other requirements relating to automatic deposits to and withdrawals from deposit accounts;</w:t>
      </w:r>
    </w:p>
    <w:p>
      <w:pPr>
        <w:spacing w:after="0" w:line="12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Expedited Funds Availability Act (“EFA Act”) and Regulation CC, setting forth requirements to make funds deposited into transaction accounts available according to specified time schedules, disclose funds availability policies to customers, and relating to the collection and return of checks and electronic checks, including the rules regarding the creation or receipt of substitute checks; and</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Truth in Savings Act (“TISA”) and Regulation DD, which requires depository institutions to provide disclosures so that consumers can make meaningful comparisons about depository institutions and accounts.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are subject to increased regulations concerning consumer privacy, including but not limited to the California Consumer Privacy Act ("CCPA") with respect to certain data regarding California residents and the NYDFS Cybersecurity Regulations.</w:t>
      </w:r>
    </w:p>
    <w:p>
      <w:pPr>
        <w:spacing w:after="0" w:line="14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CFPB is an independent regulatory authority housed within the Federal Reserve, with broad authority to regulate the offering and provision of consumer financial products and services. The CFPB has the authority to supervise and examine depository institutions with more than $10 billion in assets for compliance with federal consumer laws. The authority to supervise and examine depository institutions with $10 billion or less in assets, such as us, for compliance with federal consumer laws remains largely with those institutions’ primary regulators. However, the CFPB may participate in examinations of these smaller institutions on a “sampling basis” and may refer potential enforcement actions against such institutions to their primary regulators. As such, the CFPB may participate in examinations of the Bank. The CFPB’s leadership has rescinded a substantial amount of guidance and policy statements from</w:t>
      </w:r>
    </w:p>
    <w:p>
      <w:pPr>
        <w:spacing w:after="0" w:line="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previous presidential administration, and it is currently operating with a significantly reduced staff and budget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Additional staff and budget reductions are the subject of ongoing litigation, and the staffing cuts are currently stayed pending further judicial review. In addition, states are permitted to adopt consumer protection laws and regulations that are stricter than the regulations promulgated by the CFPB, and state attorneys general are permitted to enforce consumer protection rules adopted by the CFPB against certain institutions.</w:t>
      </w:r>
    </w:p>
    <w:p>
      <w:pPr>
        <w:spacing w:after="0" w:line="214"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2025, the NYDFS announced proposed rules on New York state-chartered banking institutions to limit overdraft fees, insufficient funds fees and returned deposited items fees in certain circumstances, as well as imposing notice and disclosure requirements in connection with those fees.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Anti-Money Laundering Regulation</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As a financial institution, we must maintain anti-money laundering programs that include established internal policies, procedures and controls, a designated compliance officer, an ongoing employee training program, and testing of the program by an independent audit function. The program must comply with the anti-money laundering provisions of the Financial Recordkeeping and Reporting of Currency and Foreign Transactions Act of 1970, commonly referred to as the Bank Secrecy Act (“BSA”). Financial institutions are prohibited from entering into specified financial transactions and account relationships and must meet enhanced standards for due diligence and “knowing your customer” in their dealings with foreign financial institutions, foreign customers and other high risk customers. Financial institutions must also take reasonable steps to conduct enhanced scrutiny of account relationships to guard against money laundering and to report any suspicious transactions. Financial institutions must comply with requirements regarding risk-based procedures for conducting ongoing customer due diligence, which requires us to</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take appropriate steps to understand the nature and purpose of customer relationships and identify and verify the identity of the beneficial owners of legal entity customers.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Current laws, such as the Uniting and Strengthening America by Providing Appropriate Tools Required to Intercept and Obstruct Terrorism (“USA PATRIOT Act") (which amended the BSA), as described below, provide law enforcement authorities with increased access to financial information maintained by banks. Anti-money laundering obligations have been substantially strengthened as a result of the USA PATRIOT Act. Bank regulators routinely examine institutions for compliance with these obligations, and this area has become a particular focus of the regulators in recent years. In addition, the regulators are required to consider compliance in connection with the regulatory review of certain applications. In recent years, regulators have expressed concern over banking institutions’ compliance with anti-money laundering requirements and, in some cases, have delayed approval of their expansionary proposals. The regulators and other governmental authorities have been active in imposing “cease and desist” orders and significant money penalty sanctions against institutions found to be in violation of the anti-money laundering regulations.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January 1, 2021, Congress enacted the National Defense Authorization Act for Fiscal Year 2021 (“NDAA”). The NDAA provides for one of the most significant overhauls of the BSA and related anti-money laundering laws since the USA PATRIOT Act. Notably, changes include:</w:t>
      </w:r>
    </w:p>
    <w:p>
      <w:pPr>
        <w:spacing w:after="0" w:line="148" w:lineRule="exact"/>
        <w:rPr>
          <w:sz w:val="20"/>
          <w:szCs w:val="20"/>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expansion of coordination and information sharing efforts among the agencies tasked with administering anti-money laundering and countering the financing of terrorism requirements, including the Financial Crimes Enforcement Network (“FinCEN”), the primary federal banking regulators, federal law enforcement agencies, national security agencies, the intelligence community, and financial institutions;</w:t>
      </w:r>
    </w:p>
    <w:p>
      <w:pPr>
        <w:spacing w:after="0" w:line="167"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providing additional penalties with respect to violations of BSA and enhancing the powers of FinCEN;</w:t>
      </w:r>
    </w:p>
    <w:p>
      <w:pPr>
        <w:spacing w:after="0" w:line="184"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updates to the beneficial ownership collection rules and the creation of a registry of beneficial ownership which will track the beneficial owners of reporting companies which may be shared with law enforcement and financial institutions conducting due diligence under certain circumstances;</w:t>
      </w:r>
    </w:p>
    <w:p>
      <w:pPr>
        <w:spacing w:after="0" w:line="186" w:lineRule="exact"/>
        <w:rPr>
          <w:rFonts w:ascii="Arial" w:cs="Arial" w:eastAsia="Arial" w:hAnsi="Arial"/>
          <w:sz w:val="22"/>
          <w:szCs w:val="22"/>
          <w:color w:val="auto"/>
        </w:rPr>
      </w:pPr>
    </w:p>
    <w:p>
      <w:pPr>
        <w:jc w:val="both"/>
        <w:ind w:left="660" w:hanging="328"/>
        <w:spacing w:after="0" w:line="246"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improvements to existing information sharing provisions that permit financial institutions to share information relating to Suspicious Activity Reports with foreign branches, subsidiaries, and affiliates (except those located in China, Russia, or certain other jurisdictions) for the purpose of combating illicit finance risks; and</w:t>
      </w:r>
    </w:p>
    <w:p>
      <w:pPr>
        <w:spacing w:after="0" w:line="180" w:lineRule="exact"/>
        <w:rPr>
          <w:rFonts w:ascii="Arial" w:cs="Arial" w:eastAsia="Arial" w:hAnsi="Arial"/>
          <w:sz w:val="22"/>
          <w:szCs w:val="22"/>
          <w:color w:val="auto"/>
        </w:rPr>
      </w:pPr>
    </w:p>
    <w:p>
      <w:pPr>
        <w:jc w:val="both"/>
        <w:ind w:left="660" w:hanging="328"/>
        <w:spacing w:after="0" w:line="239"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enhanced whistleblower protection provisions, allowing whistleblower(s) who provide original information which leads to successful enforcement of anti-money laundering laws in certain judicial or administrative actions resulting in certain monetary sanctions to receive up to 30 percent of the amount that is collected in monetary sanctions as well as increased protections;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subject to New York anti-money laundering laws and regulations. In June 2016, the NYDFS adopted a final rule that requires certain New York-regulated financial institutions, including us, to comply with enhanced anti-terrorism and anti-money laundering requirements beginning in 2017. The rule adds, among other anti-money laundering program requirements, greater specificity to certain transaction monitoring and filtering requirements and the obligation to conduct an ongoing, comprehensive risk assessment and expressly eliminates a regulated institution’s ability to adjust its monitoring and filtering programs to limit the number of alerts generated. Beginning in April 2018, the rule also required the Bank's BSA/AML Officer to submit certification of compliance with these requirements annually.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ERISA</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regulation under the fiduciary laws of Employee Retirement Income Security Act of 1974 (“ERISA”), and to regulations promulgated thereunder, insofar as we are a “fiduciary” or service provider under ERISA with respect to certain of our clients. When we act as an ERISA fiduciary, we represent ERISA plans by taking fiduciary responsibility with respect to such plan’s transactions or investments. ERISA and the applicable provisions of the Code, impose certain duties on persons who are fiduciaries under ERISA, and prohibit certain transactions by the fiduciaries (and certain other related parties) to such plans. The foregoing laws and regulations generally grant supervisory agencies broad administrative powers, including the power to limit or restrict us from conducting certain business in the event that we fail to comply with such laws and regulations. Possible sanctions that may be imposed in the event of such noncompliance include the suspension of individual employees, limitations on the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activities for specified periods of time, revocation of registration, and other censures and fines and the potential of civil litigation.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USA PATRIOT Act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USA PATRIOT Act became effective on October 26, 2001 and amended the BSA. The USA PATRIOT Act provides, in part, for the facilitation of information sharing among governmental entities and financial institutions for the purpose of combating terrorism and money laundering by enhancing anti-money laundering and financial transparency laws, as well as enhanced information collection tools and enforcement mechanisms for the U.S. government, including:</w:t>
      </w:r>
    </w:p>
    <w:p>
      <w:pPr>
        <w:spacing w:after="0" w:line="126" w:lineRule="exact"/>
        <w:rPr>
          <w:sz w:val="20"/>
          <w:szCs w:val="20"/>
          <w:color w:val="auto"/>
        </w:rPr>
      </w:pPr>
    </w:p>
    <w:p>
      <w:pPr>
        <w:ind w:left="130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diligence requirements for financial institutions that administer, maintain, or manage private bank accounts or correspondent accounts for non-U.S. persons;</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standards for verifying customer identification at account opening;</w:t>
      </w:r>
    </w:p>
    <w:p>
      <w:pPr>
        <w:spacing w:after="0" w:line="17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to promote cooperation among financial institutions, regulators and law enforcement entities in identifying parties that may be involved in terrorism or money laundering;</w:t>
      </w:r>
    </w:p>
    <w:p>
      <w:pPr>
        <w:spacing w:after="0" w:line="107"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by nonfinancial trades and businesses filed with the Treasury Department’s Financial Crimes Enforcement Network for transactions exceeding $10,000; and</w:t>
      </w:r>
    </w:p>
    <w:p>
      <w:pPr>
        <w:spacing w:after="0" w:line="10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suspicious activities reports by brokers and dealers if they believe a customer may be violating U.S. laws and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USA PATRIOT Act requires financial institutions to undertake enhanced due diligence of private bank accounts or correspondent accounts for non-U.S. persons that they administer, maintain, or manage. Bank regulators routinely examine institutions for compliance with these obligations and are required to consider compliance in connection with the regulatory review of applications.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USA PATRIOT Act, FinCEN can send Amalgamated lists of the names of persons suspected of involvement in terrorist activities or money laundering. Amalgamated may be requested to search its records for any relationships or transactions with persons on those lists. If we find any relationships or transactions, we must report those relationships or transactions to FinCEN.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Office of Foreign Assets Control</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Office of Foreign Assets Control (“OFAC”), which is an office in the U.S. Department of the Treasury, is responsible for helping to ensure that U.S. entities do not engage in transactions with “enemies” of the United States, as defined by various Executive Orders and Acts of Congress. OFAC publishes lists of names of persons and organizations suspected of aiding, harboring or engaging in terrorist acts; owned or controlled by, or acting on behalf of target countries, and narcotics traffickers. If a bank finds a name on any transaction, account or wire transfer that is on an OFAC list, it must freeze or block the transactions on the account. Amalgamated has appointed a compliance officer to oversee the inspection of its accounts and the filing of any notifications. Amalgamated checks high-risk OFAC areas such as new accounts, wire transfers and customer files. These checks are performed using software that is updated each time a modification is made to the lists provided by OFAC and other agencies of Specially Designated Nationals and Blocked Persons.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Privacy and Cybersecurity</w:t>
      </w:r>
    </w:p>
    <w:p>
      <w:pPr>
        <w:spacing w:after="0" w:line="2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There are a number of state and federal laws and regulations that govern financial privacy and cybersecurity. At the federal level, this includes the privacy protection provisions of the Gramm-Leach-Bliley Act of 1999 (“GLBA”) and related regulations, including Regulation P, which govern the treatment of</w:t>
      </w:r>
    </w:p>
    <w:p>
      <w:pPr>
        <w:spacing w:after="0" w:line="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nonpublic personal information. Under these privacy protection provisions, we are limited in our ability to disclose non-public information about consumers to nonaffiliated third parties. These limitations require disclosure of privacy policies and notices to consumers and, in some circumstances, allow consumers to prevent disclosure of certain personal information to a nonaffiliated third party. Federal banking agencies, including the FDIC, have adopted guidelines for establishing information security standards and cybersecurity programs for implementing safeguards under the supervision of the Board of Directors. These guidelines, along with related regulatory materials, increasingly focus on risk management and processes related to information technology and the use of third parties in the provision of financial services.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 laws and regulations governing financial privacy and cybersecurity include the CCPA and the California Privacy Rights Act ("CPRA"), which amends and supplements the CCPA, with respect to certain data regarding California residents, the New York Department of Financial Services Cybersecurity Regulations, and other New York financial privacy laws and regulations. The NYDFS issued a rule, effective March 1, 2017, that requires banks, insurance companies, and other financial services institutions regulated by the NYDFS to establish and maintain a cybersecurity program designed to protect consumers and ensure the safety and soundness of New York State’s financial services industry. The cybersecurity rule adds specific requirements for these institutions’ cybersecurity compliance programs and imposes an obligation to conduct an ongoing, comprehensive risk assessment and requires each institution’s Board of Directors, or a senior officer, to submit annual certifications of compliance with these requirements.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Related Parties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Transactions between banks and their affiliates are limited by Sections 23A and 23B of the Federal Reserve Act. An affiliate of a bank is any company or entity that controls, is controlled by or is under common control with the bank. In a holding company context, the parent bank holding company and any companies which are controlled by such parent holding company are affiliates of the bank.</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Generally, Sections 23A and 23B of the Federal Reserve Act and Regulation W (i) limit the extent to which the bank or its subsidiaries may engage in “covered transactions” with any one affiliate to an amount equal to 10% of such institution’s capital stock and surplus, and contain an aggregate limit on all such transactions with all affiliates to an amount equal to 20% of such institution’s capital stock and surplus and (ii) require that all such transactions be on terms substantially the same, or at least as favorable, to the institution or subsidiary as those provided to non-affiliates. The term “covered transaction” includes the making of loans, purchase of assets, issuance of a guarantee and other similar transactions. In addition, loans or other extensions of credit by the financial institution to the affiliate are required to be collateralized in accordance with the requirements set forth in Section 23A of the Federal Reserve Act.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Reserve Act and its implementing Regulation O also provide limitations on our ability to extend credit to executive officers, directors and 10% stockholders (“insiders”). The law limits both the individual and aggregate amount of loans we may make to insiders based, in part, on our capital position and requires certain board approval procedures to be followed. Such loans are required to be made on terms substantially the same as those offered to unaffiliated individuals and must not involve more than the normal risk of repayment. There is an exception for loans made pursuant to a benefit or compensation program that is widely available to all employees of the institution and does not give preference to insiders over other employees. Loans to executive officers are further limited to specific categories.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December 22, 2020, the federal banking agencies issued an interagency statement extending the temporary relief from enforcement action against banks or asset managers, which become principal shareholders of banks, with respect to certain extensions of credit by banks that otherwise would violate Regulation O, provided the asset managers and banks satisfy certain conditions designed to ensure that there is a lack of control by the asset manager over</w:t>
      </w: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bank. This relief has been extended to the effective date of a final FRB rule having a revision to Regulation O that addresses the treatment of extensions of credit by a bank to fund complex-controlled portfolio companies that are insiders of the bank.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Guidelines adopted by the federal banking agencies pursuant to the FDIA prohibit excessive compensation as an unsafe and unsound practice and describe compensation as excessive when the amounts paid are unreasonable or disproportionate to the services performed by an executive officer, employee, director or principal stockholder.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2010, the federal banking agencies jointly adopted the Guidance on Sound Incentive Compensation Policies (“GSICP”), which remains the primary framework for overseeing incentive compensation at banks. The GSICP intended to ensure that banking organizations do not undermine the safety and soundness of such organizations by encouraging excessive risk-taking. This guidance, which covers all employees that have the ability to expose the organization to material amounts of risk, either individually or as part of a group, is based upon a set of key principles relating to a banking organization’s incentive compensation arrangements. Specifically, incentive compensation arrangements should (i) provide employee incentives that appropriately balance risk in a manner that does not encourage employees to expose their organizations to imprudent risk, (ii) be compatible with effective controls and risk management, and (iii) be supported by strong corporate governance, including active and effective oversight by the organization’s Board of Directors. Any deficiencies in our compensation practices could lead to supervisory or enforcement actions by the FDIC.</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Dodd-Frank Act requires the federal banking agencies and the SEC to establish joint regulations or guidelines prohibiting incentive-based payment arrangements at specified regulated entities, such as us, having at least $1 billion in total assets that encourage inappropriate risk-taking by providing an executive officer, employee, director or principal stockholder with excessive compensation, fees, or benefits or that could lead to material financial loss to the entity. In addition, these regulators must establish regulations or guidelines requiring enhanced disclosure to regulators of incentive-based compensation arrangements. The federal banking agencies released proposed regulations as recently as May 2024, but in 2025, the FDIC indicated that they no longer intend to issue a final rule.</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NYDFS guidance lists adapted versions of the key principles from the Guidance on Sound Incentive Compensation Policies as minimum requirements and advises these banks that incentive compensation arrangements must be subject to effective risk management, oversight, and control.</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Deposit Premiums and Assessments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an FDIC-insured bank, we must pay deposit insurance assessments to the FDIC based on our average total assets minus our average tangible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 are insured up to applicable limits by the FDIC and such insurance is backed by the full faith and credit of the U.S. Government.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an institution with less than $10 billion in assets, our assessment rates are based on the level of risk we pose to the FDIC’s deposit insurance fund (DIF). Pursuant to changes adopted by the FDIC that were effective July 1, 2016, the initial base rate for deposit insurance is between three and 30 basis points. Total base assessment after possible adjustments now ranges between 1.5 and 40 basis points. For established smaller institutions, like us, the total base assessment rate is calculated by using supervisory ratings as well as (i) an initial base assessment rate, (ii) an unsecured debt adjustment (which can be positive or negative), (iii) a secured liability adjustment, and (iv) a brokered deposit adjustment.</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ordinary assessments described above, the FDIC has the ability to impose special assessments in certain instances. For example, under the Dodd-Frank Act, the minimum designated reserve ratio for the DIF was increased to 1.35% of the estimated total amount of insured deposits. However, the FDIC Board of Directors has consistently set a higher designated reserve ratio of 2.00% for 2026 and every year since 2011.</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FDIC may terminate the deposit insurance of any insured depository institution if it determines after a notice and hearing that the institution has engaged in unsafe or unsound practices, is in an unsafe or unsound condition to continue operations or has violated any applicable law, regulation, rule, order or condition imposed by the FDIC.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 Guidance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2022 and 2023, CRE markets faced significant headwinds due to increased vacancies, elevated interest rates, and declining property values, among other factors. In June 2023, the FDIC and other federal banking agencies, in consultation with the Federal Financial Institutions Examination Council State Liaison Committee, issued guidance entitled “Interagency Policy Statement on Prudent Commercial Real Estate Loan Accommodations and Workouts” (the “2023 CRE Guidance”), which replaced agencies’ 2009 “Policy Statement on Prudent Commercial Real Estate Loan Workouts”. The 2023 CRE Guidance discusses the importance of working constructively with CRE borrowers experiencing financial difficulty and is appropriate for all supervised financial institutions engaged in CRE lending.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2023 CRE Guidance also addresses (i) risk management, (ii) classification of loans, (iii) regulatory reporting, and (iv) accounting considerations.</w:t>
      </w:r>
    </w:p>
    <w:p>
      <w:pPr>
        <w:spacing w:after="0" w:line="23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federal banking regulators previously issued guidance in December 2015 entitled “Interagency Statement on Prudent Risk Management for Commercial Real Estate Lending” (the “2015 CRE Guidance”). In the 2015 CRE Guidance, the federal banking regulators (i) expressed concerns with institutions that ease CRE underwriting standards, (ii) directed financial institutions to maintain underwriting discipline and exercise risk management practices to identify, measure and monitor lending risks, and (iii) indicated that they will continue to pay special attention to CRE lending activities and concentrations. The federal banking regulators also previously issued guidance in December 2006, entitled “Interagency Guidance on Concentrations in CRE Lending, Sound Risk Management Practices,” (the “2006 CRE Guidance”) which remains the active benchmark for identifying institutions subject to heightened supervisory scrutiny. The 2006 CRE Guidance stated that an institution that is potentially exposed to significant CRE concentration risk should employ enhanced risk management practices. Specifically, the 2006 CRE Guidance states that such institutions have (1) total CRE loans representing 300% or more of the institution’s total capital and (2) the outstanding balance of such institution’s CRE loan portfolio has increased by 50% or more during the prior 36 months.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Governmental Monetary Policies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earnings are affected by domestic economic conditions and the monetary policies of the U.S. and its agencies. The Federal Open Market Committee’s monetary policies have had, and are likely to continue to have, an important effect on the operating results of banks through its power to implement national monetary policy in order, among other things, to curb inflation or combat a recession. The monetary policies of the Federal Reserve have major effects on the levels of bank loans, investments and deposits through its open market operations in U.S. government securities and through its regulation of the discount rate on borrowings of member banks and the reserve requirements against member bank deposits. We cannot predict the nature or effect of future changes in such monetary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Legislation and Regulation</w:t>
      </w:r>
    </w:p>
    <w:p>
      <w:pPr>
        <w:spacing w:after="0" w:line="22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Congress may enact legislation from time to time that affects the regulation of the financial services industry, and state legislatures may enact legislation from time to time affecting the regulation of financial institutions chartered by or operating in those states. Federal and state regulatory agencies also periodically propose and adopt changes to their regulations or change the manner in which existing regulations are applied or interpreted. The substance or impact of pending or future legislation or regulation, or the application thereof, cannot be predicted, although enactment of the proposed legislation has in the past and may in the future affect the regulatory structure under which we operate and may significantly increase our costs, impede the efficiency of our internal business processes, require us to increase our regulatory capital or modify our business strategy, or limit our ability to pursue business opportunities in an efficient manner. Our business, financial condition, results of operations or prospects may be adversely affected, perhaps materially,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28"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There are risks, many beyond our control, that could cause our financial condition or results of operations to differ materially from management’s expectations. Any of the following risks, by itself or together with one or more other factors, could adversely affect our business, prospects, financial condition, results of operations and cash flows, perhaps materially. The risks presented below are not the only risks that we face. Additional risks that we do not presently know or that we currently deem immaterial may also have an adverse effect on our business, results of operations, financial condition, prospects, and the market price and liquidity of our common stock. The following discussion should be read in conjunction with the financial statements and notes to the financial statements included in this report. Further, to the extent that any of the information contained in this report constitutes forward-looking statements, the risk factors below also are cautionary statements identifying important factors that could cause actual results to differ materially from those expressed in any forward-looking statements made by us or on our behalf. See “Cautionary Note Regarding Forward-Looking Statements” beginning on page 1.</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 and Interest Rate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 adversely affected by economic conditions.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Some elements of the business environment that affect our financial performance include short-term and long-term interest rates, the prevailing yield curve, inflation, monetary supply, fluctuations in the debt and equity capital markets, and the strength of the domestic economy and the local economies in the markets in which we operate. Unfavorable market conditions can result in a deterioration of the credit quality of borrowers, an increase in the number of loan delinquencies, defaults and charge-offs, foreclosures, additional provisions for credit losses, adverse asset values and a reduction in assets under management or administration. The majority of our loan portfolio is secured by real estate, 33.2% of which is multifamily and 7.3% of which is commercial real estate. A decline in real estate values can negatively impact our ability to recover our investment should the borrower become delinquent. Loans secured by stock or other collateral may be adversely impacted by a downturn in the economy and other factors that could reduce the recoverability of our investment. Unsecured loans are dependent on the solvency of the borrower, which can deteriorate, leaving us with a risk of loss. Unfavorable or uncertain economic and market conditions can be caused by declines in economic growth, business activity or investor or business confidence, limitations on the availability of or increases in the cost of credit and capital, increases in inflation or interest rates, high unemployment, natural disasters, epidemics and pandemics, state or local government insolvency, or a combination of these or other factors.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are continuing concerns related to, among other things, the level of U.S. government debt and fiscal actions that may be taken to address that debt, price fluctuations of key natural resources, U.S. intervention in Venezuela and its oil industry, U.S. military strikes and sanctions on Iran, the potential resurgence of economic and political tensions with China, the Russian invasion of Ukraine and increasing oil prices due to Russian supply disruptions, and the Israel-Hamas conflict, each of which may have a destabilizing effect on financial markets and economic activity. Economic pressure on consumers, including due to factors such as inflation and increased cost of goods due to tariff structures on imports, as well as overall economic uncertainty may result in changes in consumer and business spending, borrowing and saving habits. These economic conditions and/or other negative developments in the domestic or international credit markets or economies may significantly affect the markets in which we do business, the value of our loans and investments, and our ongoing operations, costs and profitability. Declines in real estate values and sales volumes, high unemployment or underemployment, and inflation may also result in higher than expected loan delinquencies, increases in our levels of nonperforming and classified assets and a decline in demand for our products and services. These negative events may cause us to incur losses and may adversely affect our capital, liquidity and financial condition.</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cases, management of our risks depends upon the use of analytical and/or forecasting models, which, in turn, rely on assumptions and estimates. If the models used to mitigate these risks are inadequate, or the assumption or estimates are inaccurate or otherwise flawed, we may fail to adequately protect against risks and may incur losses. Artificial Intelligence ("AI") models may amplify existing risks, given the increased complexity of financial modeling and the challenges in explaining the models.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Fiscal challenges facing the U.S. government could negatively impact the value of investments in GSEs and the financial markets, which in turn could have an adverse effect on our financial position or results of operations.</w:t>
      </w:r>
    </w:p>
    <w:p>
      <w:pPr>
        <w:spacing w:after="0" w:line="1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Fiscal challenges facing the U.S. government, such as the federal budget deficit concerns and the potential for political conflict over legislation to fund U.S. government operations and raise the U.S. government's debt limit may increase the possibility of a default by the U.S. government on its debt obligations, additional related credit-rating downgrades, or an economic recession in the U.S. A significant portion of our securities portfolio is invested in GSE securities. As a result of uncertain domestic political conditions, including potential future federal government shutdowns or the possibility of the federal government defaulting on its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obligations for a period of time, investments in financial instruments issued or guaranteed by the federal government pose liquidity and credit risks.</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debt default or further downgrades to the U.S. government’s sovereign credit rating or its perceived creditworthiness could also adversely affect the ability of the U.S. government to support the financial stability of Fannie Mae, Freddie Mac and the FHLBNY, with which we do business and in whose securities we invest.</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trade policies and other global political factors beyond our control, including the imposition of tariffs, retaliatory tariffs, or other sanctions, may adversely impact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have been, and may be in the future, changes with respect to U.S. and international trade policies, legislation, treaties and tariffs, embargoes, sanctions and other trade restrictions. In response to a February 2026 Supreme Court ruling that the President does not have authority to impose sweeping global tariffs under the International Emergency Economic Powers Act, the President signed an executive order imposing additional global tariffs. It remains unclear whether and how federal agencies will enforce conflicting mandates on tariffs, and whether parties harmed by tariffs will have recourse against the federal government. Tariffs, retaliatory tariffs or other trade restrictions on products and materials that customers import or export, or a trade war or other related governmental actions related to tariffs, international trade agreements or policies or other trade restrictions continue to have the potential to negatively impact our customers' costs, demand for their products, or the U.S. economy or certain sectors thereof and, thus, could adversely impact our business, financial condition and results of operations.</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extent this uncertainty in U.S. trade policy and other changes in the global political environment have a negative impact on us, our customers or on the markets in which we operate, our business, results of operations and financial condition could be materially and adversely impacted.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and clients are concentrated in large metropolitan areas.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vast majority of our operations and clients are located in New York City, Washington, D.C., and San Francisco. In addition, at December 31, 2025, 82.4% of the properties securing our CRE, multifamily, or construction loans outstanding were located in the states of New York and California, and in Washington, D.C. Our success depends upon the economic vitality, growth prospects, business activity, population, income levels, deposits and real estate activity in those areas and may be impacted by the effects of past and future civil unrest and domestic disturbances in the communities that we serve. In addition, these areas have been and may continue to be the target of terrorist attacks. A major terrorist attack in one of these areas could severely disrupt our operations and the ability of our clients to do business with us and cause losses to loans secured by properties in these areas. Although our customers' business and financial interests may extend well beyond our market areas, adverse economic and social conditions that affect our specific market area could reduce our growth rate, affect the ability of our customers to repay their loans to us and impact the stability of our deposit funding sources. Consequently, declines in economic and social conditions in these markets could generally affect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interest rate risk and fluctuations in interest rates may adversely affect our earnings, capital levels and overall results.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assets and liabilities are monetary in nature and, as a result, we are subject to significant risk from changes in interest rates, which may affect our net interest income as well as the valuation of our assets and liabilities. Our earnings depend significantly on our net interest income, which is the difference between interest income on interest-earning assets, such as loans and securities, and interest expense on interest-bearing liabilities, such as deposits and borrowings. We expect to periodically experience “gaps” in the interest rate sensitivities of our assets and liabilities, meaning that either our interest-bearing liabilities will be more sensitive to changes in market interest rates than our interest-earning assets, or vice versa. In either event, if market interest rates move contrary to our position, this “gap” may work against us, and our earnings may be adversely affected.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interest-bearing liabilities mature or reprice more quickly, or to a greater degree than interest-earning assets in a period, an increase in interest rates could reduce net interest income. Similarly, when interest-earning assets mature or reprice more quickly, or to a greater degree than interest-bearing liabilities, falling interest rates could reduce net interest income. Additionally, an increase in the general level of interest rates may also, among other things, adversely affect the demand for loans and our ability to originate loans and decrease loan prepayment rates or adversely affect our results of operations by reducing the ability of borrowers to make payments under their current adjustable-rate loan obligations. Conversely, a decrease in the general level of interest rates, among other things, may lead to prepayments on our loan and mortgage-backed securities portfolios and increased competition for deposits, potentially reducing our deposit base. Accordingly, changes in the general level of market interest rates may adversely affect our net yield on interest-earning assets, loan origination volume and our overall results.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our asset-liability management strategy is designed to control and mitigate exposure to the risks related to changes in the general level of market interest rates, those rates are affected by many factors outside of our control, including inflation, recession, unemployment, money supply, international disorder, instability in domestic and foreign financial markets and policies of various governmental and regulatory agencies, particularly the Federal Open Market Committee ("FOMC") of the Federal Reserve. Adverse changes in the U.S. monetary policy or in economic conditions could materially and adversely affect us. On January 28, 2026 the FOMC issued a statement that it decided to maintain short-term interest rates at a range of 3.5% to 3.75%, and future rate changes will be data dependent; implying they are holding rates constant for the immediate future. We could experience net interest margin compression if our rates on our interest earning assets fail to increase in tandem with rates on our interest-bearing liabilities. We could experience net interest margin compression if our rates on our interest bearing liabilities fail to decrease in tandem with rates on our interest earning assets. See Impact of Inflation and Changing Interest Rates under Item 7. "Management's Discussion and Analysis of Financial Condition and Results of Operations." Similarly, if short-term interest rates increase and long-term interest rates do not increase, or increase but at a slower rate, we could experience net interest margin compression as our rates on interest earning assets decline measured relative to rates on our interest-bearing liabilities. Any such occurrence could have a material adverse effect on our net interest income and on our business, financial condition and results of operations.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not be able to accurately predict the likelihood, nature and magnitude of changes in market interest rates or how and to what extent they may affect our business. We also may not be able to adequately prepare for or compensate for the consequences of such changes. Any failure to predict and prepare for changes in interest rates or adjust for the consequences of these changes may adversely affect our earnings and capital levels and overall results.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fair value of our investment securities could fluctuate because of factors outside of our control, which could have a material adverse effect on us.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the fair value of our investment securities portfolio was approximately $3.22 billion. Factors beyond our control could significantly affect the fair value of these securities. These factors include, but are not limited to, changes in market conditions including changes in interest rates or spreads, changes in the credit profile of individual securities, changes in prepayment behavior of individual securities, rating agency actions in respect of the securities, or adverse regulatory action. Any of these factors, among others, could cause other-than-temporary impairments, or OTTI, and realized and/or unrealized losses in future periods and declines in earnings and/or other comprehensive income (loss), which could materially and adversely affect our assets, business, cash flow, condition (financial or otherwise), liquidity, results of operations and prospects. The process for determining whether impairment of a security has experienced an OTTI usually requires complex, subjective judgments about the future financial performance and liquidity of the issuer, any collateral underlying the security as well as our intent and ability to hold the security for a sufficient period of time to allow for any anticipated recovery in fair value in order to assess the probability of receiving all contractual principal and interest payments on the security. Our failure to assess any impairments or losses with respect to our securities could have a material adverse effect on our assets, business, cash flow, condition (financial or otherwise), liquidity,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Credit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credit risk, our business and financial condition will suffer.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lender, we are exposed to the risk that our borrowers will be unable to repay their loans according to their terms, and that the collateral securing repayment of their loans, if any, may not be sufficient to ensure repayment. In addition, there are risks inherent in making any loan, including risks relating to proper loan underwriting, risks resulting from changes in economic and industry conditions and risks inherent in dealing with individual borrowers, including the risk that a borrower may not provide information to us about its business in a timely manner, and/or may present inaccurate or incomplete information to us, and risks relating to the value of collateral. In order to manage credit risk successfully, we must, among other things, maintain disciplined and prudent underwriting standards and ensure that our lenders follow those standards. The weakening of these standards for any reason, such as an attempt to attract riskier higher yielding loans, a lack of discipline or diligence by our employees in underwriting and monitoring loans, the inability of our employees to adequately adapt policies and procedures to changes in economic or any other conditions affecting borrowers and the quality of our loan portfolio, may result in loan defaults, foreclosures and additional charge-offs and may necessitate that we significantly increase our allowance, each of which could adversely affect our net income.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 arising from conditions in the commercial real estate market.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2025, commercial real estate mortgage loans comprised approximately 7.3% of our loan portfolio. Commercial real estate mortgage loans generally involve a greater degree of credit risk than one-to-four family residential real estate mortgage loans because they typically have larger balances and are more affected by adverse conditions in the economy. Because payments on loans secured by commercial real estate often depend upon the successful operation and management of the properties and the businesses which operate from within them, repayment of such loans may be affected by factors outside the borrower’s control, such as adverse conditions in the real estate market or the economy, including interest rate fluctuations, or changes in government regulations. In recent years, commercial real estate markets have been impacted by entrenched work-from-home expectations which could affect the long-term performance of some types of office properties within our commercial real estate portfolio. Accordingly, the federal banking regulatory agencies have expressed concerns about weaknesses in the current commercial real estate market. Failures in our risk management policies, procedures and controls could adversely affect our ability to manage this portfolio going forward and could result in an increased rate of delinquencies in, and increased losses from, this portfolio, which, accordingly, could have a material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higher credit risk related to our multifamily real estate lending in New York City.</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New York State's Housing Stability and Tenant Protection Act of 2019, impacts about one million rent regulated apartment units. Among other things, the legislation: (i) curtails rent increases from material capital improvements and individual apartment improvements; (ii) all but eliminates the ability for apartments to exit rent regulation; (iii) does away with vacancy decontrol and high-income deregulation; and (iv) repealed the 20% vacancy bonus. The act generally limits a landlord’s ability to increase rents on rent-regulated apartments and makes it more difficult to convert rent-regulated apartments to market-rate apartments. In 2024, New York State passed legislation that effectively extends limits on rent hikes and “good cause” eviction requirements to many market-rate tenants in New York City and participating municipalities. As a result, the value of the collateral located in New York State securing our multi-family loans or the future net operating income of such properties could potentially become impaired. At December 31, 2025, our total multifamily loan exposure in New York State is approximately $1.01 billion, of which approximately $821.5 million, or 81%, represents our portfolio’s composition of rent stabilized and rent controlled apartments in the New York City multifamily market.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consumer solar loans expose us to higher credit risk.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borrower’s ability to repay their solar loans can be negatively impacted by increases in their payment obligations to other lenders under mortgage, credit card and other loans resulting from increases in base lending rates or structured increases in payment obligations. If a client defaults on solar loan, we may be unsuccessful in our efforts to collect the amount of the loan. We are limited in our ability to collect on these loans if a client is unwilling or unable to repay them. Although solar loans are secured with security filings, we may be limited in our ability to recover any collateral supporting such loans due to the nature of the solar energy system becoming a fixture to the real property. Additionally, these short-term loans are subject to risks of defaults, bankruptcies, fraud, losses and special hazard losses that are not covered by standard hazard insurance. An increase in defaults precipitated by the risks and uncertainties associated with the above operations and activities could have a detrimental effect on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estimated allowance for credit losses may prove to be insufficient to absorb actual losses in our loan portfolio, which may adversely affect our business, financial condition and results of operations.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an allowance for credit losses ("ACL") that represents management’s judgment of current expected credit losses and risks inherent in our loan portfolio. As of December 31, 2025, our ACL totaled $57.6 million, which represents approximately 1.16% of our total loans, net. The level of the allowance reflects management’s continuing evaluation of loan levels and portfolio composition, observable trends in nonperforming loans, historical loss experience, known and inherent risks in the portfolio, underwriting practices, adequacy of collateral, credit risk grading assessments, forecasted economic conditions, and other factors. The determination of the appropriate level of the ACL is inherently highly subjective and requires us to make significant estimates of and assumptions regarding current credit risks and future trends, all of which may undergo material changes. If, as a result of general economic conditions, there is a decrease in asset quality or growth in the loan portfolio, our management determines that additional increases in ACL are necessary, we may incur additional expenses which will reduce our net income, and our business, results of operations or financial condition may be materially and adversely affected. In addition, inaccurate management assumptions, deterioration of economic conditions affecting borrowers, new information regarding existing loans, identification or deterioration of additional problem loans, acquisition of problem loans and other factors, both within and outside of our control, may require us to increase our ACL.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and Business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at risk of increased losses from fraud.</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We are exposed to the risk of fraudulent activity, which continues to evolve in scope and sophistication. Fraud may take various forms, including check and debit card fraud, ATM tampering, phishing and other social engineering attacks, and the use of stolen or falsified credentials to impersonate customers. In addition, individuals or entities may properly identify themselves but seek to establish relationships for fraudulent purposes, and we may incur losses from fraud committed against third parties. Criminals increasingly obtain personally identifiable information from external sources, including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data breaches. As a result, we have made and expect to continue making significant investments in fraud detection and prevention systems; however, these measures may not be effective in all cases. Fraudulent activity could result in financial losses, increased operating and compliance costs, reputational harm, regulatory scrutiny or penalties, litigation, business disruption, and could materially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adversely affected by a failure to establish and maintain effective internal controls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failure in our internal controls could have a significant negative impact not only on our earnings, but also on the perception that customers, regulators and investors may have of us. Any failure to maintain internal controls over financial reporting, or any difficulties that we may encounter in such maintenance, could result in significant deficiencies or material weaknesses, result in material misstatements in our consolidated financial statements and cause us to fail to meet our reporting obligations, each of which could result in a material adverse effect on our business, financial condition or results of operations or an adverse reaction in the financial markets due to a loss of confidence in the reliability of our financial statements. We continue to devote a significant amount of effort, time and resources to our controls and ensuring compliance with complex accounting standards and regulations. These efforts also include the management of controls to mitigate operational risks for programs and processes across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third party relationships could expose us to operational and regulatory risks.</w:t>
      </w:r>
    </w:p>
    <w:p>
      <w:pPr>
        <w:spacing w:after="0" w:line="20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We rely on third parties to provide internal and customer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facing services, which may expose us to operational, compliance, and strategic risks. Federal banking regulators expect banks to maintain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controls to ensure third parties comply with applicable laws and regulations. In June 2023, the federal banking agencies issued “Interagency Guidance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Relationships: Risk Management”, requiring banks to “analyze the risks associated with each third-party relationship and to calibrate its risk management processes.” In July 2024, regulators also issued a joint statement addressing banks’ arrangements with third parties to deliver deposit products and services, concurrent with a request for information on bank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fintech arrangements, following concerns regarding customer funds deposited through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entities without adequate controls.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accuracy and completeness of information about customers and counterparties.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extending credit, entering into other transactions, and monitoring our loan and lease portfolio, we rely on financial and other information provided by customers, counterparties, and third parties, including financial statements, credit reports, and representations regarding their accuracy and completeness. If such information is inaccurate, incomplete, fraudulent, misleading, or not received on a timely basis, we could experience credit losses, reputational harm, or other adverse effects that may materially impact our business, financial condition, or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participate in a multi-employer non-contributory defined benefit pension plan for both our unionized and non-unionized employees, which could subject us to substantial cash funding requirements in the future.</w:t>
      </w:r>
    </w:p>
    <w:p>
      <w:pPr>
        <w:spacing w:after="0" w:line="13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We are required to contribute to the Consolidated Retirement Fund,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employer defined benefit pension plan covering both unionized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unionized employees, and our related expense totaled $8.2 million in 2025. Our future obligations may increase due to changes in the plan’s funded status, investment performance, participant demographics, the financial condition of contributing employers, or actuarial assumptions, and a withdrawal or partial withdrawal could result in significant withdrawal liability, which could materially adversely affect our business, financial condition and results of operations.</w:t>
      </w:r>
    </w:p>
    <w:p>
      <w:pPr>
        <w:spacing w:after="0" w:line="19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Climate related disasters may have an effect on the performance of our business operations and asset quality which could adversely affect our financial condition and results of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8" w:name="page39"/>
    <w:bookmarkEnd w:id="38"/>
    <w:p>
      <w:pPr>
        <w:spacing w:after="0" w:line="3"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disasters may adversely affect our business, asset quality, and earnings. These risks include acute, event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weather events such as hurricanes, storms, freezes, wildfires, floods, and other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catastrophes, which could disrupt our operations and those of our customers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vendors. Such events may impair the value of our assets and collateral securing our loans, cause volatility in our investment portfolio, and negatively impact economic and market conditions. In addition, our expenses may increase due to changing consumer preferences and evolving legislation and regulatory requirements related to the transition to a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carbon economy. The potential costs associated with climate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risks—including strategic planning, regulatory scrutiny, litigation, technology investments, and disaster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losses—are difficult to predict and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related to our PACE financings.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Property Assessed Clean Energy ("PACE") financing is a means of financing energy-efficient upgrades or the installation of renewable energy sources for commercial, industrial and residential properties that are repaid over a selected term through property tax assessments, which are secured by the property itself and paid as an addition to the owners’ property tax bills. The unique characteristic of PACE assessments is that the assessment is attached to the property rather than the individual borrower. Active programs for residential PACE financing exist in California, Florida and Missouri. As of December 31, 2025, we had a portfolio of $327.4 million in commercial PACE assessments and $953.2 million in residential PACE assessments. These assessments are pari passu with tax liens and generally have priority over first mortgage liens.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Because PACE financing programs are typically enabled through state legislation and authorized at the local government level, variations between each state’s programs may expose us to increased compliance costs and risks. On December 17, 2024, the CFPB issued its final rule implementing Section 307 of the 2018 Economic Growth, Regulatory Relief, and Consumer Protection Act (the “EGRRCPA”) and amending Regulation Z to address how TILA applies to residential PACE transactions. The final rule amends Regulation Z’s definition of credit to include residential PACE financings, prescribes ability-to-repay requirements, and implements other amendments and exemptions to clarify how other rules in Regulation Z apply. The final rule became effective on March 1, 2026. If we fail to comply with the final rules adopted by the CFPB, we may face reputational and litigation risks with respect to our PACE assessments.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trust and investment management business may be negatively impacted by changes in economic and market conditions and clients may seek legal remedies for investment.</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trust and investment management business is sensitive to changes in economic and market conditions, as its performance is directly affected by financial and securities market volatility. Market conditions are influenced by domestic and foreign economic factors, general business and financial trends, and global conflicts, all of which are beyond our control. Declines in market performance or lack of sustained growth could reduce the value and performance of assets under management, resulting in lower investment management fees, asset outflows, or increased client disputes. Any of these factors could materially and adversely affect the financial performance of our trust and investment management business.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investment management contracts we have with our clients are terminable without cause and on relatively short notice by our clients, which makes us vulnerable to short term declines in the performance of the securities under our management.</w:t>
      </w:r>
    </w:p>
    <w:p>
      <w:pPr>
        <w:spacing w:after="0" w:line="13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Our investment management contracts are generally terminable by clients without cause upon less than 30 days’ notice. As a result, even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declines in investment performance—whether due to market or economic conditions, the performance of particular investment strategies or other factors outside our control—could prompt clients to reallocate assets to other investment products or advisers. Because our operating results depend on the performance of the investment portfolios we manage, any reduction in assets under management could lead to lower investment management fees and adversely affect our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Privacy and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technology systems are critical to our business. Our business requires us to collect, process, transmit and store significant amounts of confidential information regarding our customers, employees and our own business, operations, plans and business strategies. We use various technology systems to manage our customer relationships, general ledger, securities investments, deposits, and loans. Our computer systems, data management and internal processes, as well as those of third parties, are integral to our performance.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rely on the secure processing, storage and transmission of confidential and other sensitive business and consumer information on our computer systems and networks and third-party providers. Under various federal and state laws, we 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9" w:name="page40"/>
    <w:bookmarkEnd w:id="39"/>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responsible for safeguarding such information. For example, our business is subject to joint federal bank agency rules, the GLBA, the NYDFS cybersecurity regulations, the CCPA, and the CPRA which, among other things: (i) impose certain limitations on our ability to share nonpublic personal information about our customers with nonaffiliated third parties; (ii) require that we provide certain disclosures to customers and others about our information collection, sharing and security practices, as well as any use of automated decision making for financial or lending services, and afford customers the right to “opt out” of any information sharing by us with nonaffiliated third parties (with certain exceptions) and automated decision making;</w:t>
      </w:r>
    </w:p>
    <w:p>
      <w:pPr>
        <w:spacing w:after="0" w:line="3" w:lineRule="exact"/>
        <w:rPr>
          <w:sz w:val="20"/>
          <w:szCs w:val="20"/>
          <w:color w:val="auto"/>
        </w:rPr>
      </w:pPr>
    </w:p>
    <w:p>
      <w:pPr>
        <w:jc w:val="both"/>
        <w:ind w:firstLine="8"/>
        <w:spacing w:after="0" w:line="252" w:lineRule="auto"/>
        <w:tabs>
          <w:tab w:leader="none" w:pos="31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retention of customer data; (iv) require notification of certain data breaches be provided to consumers and, in some circumstances, regulators; (v) require notification of extortion payments and ransomware deployments; (vi) require cyber audits and enhanced governance of cyber risk, including risk assessments at least annually and whenever a change in the business or technology causes a material change to our cyber risk; and (vii) require that we develop, implement and maintain a written comprehensive information security program containing appropriate safeguards based on our size and complexity, the nature and scope of our activities, and the sensitivity of customer information we process, as well as plans for responding to data security breaches. Ensuring that our collection, use, transfer and storage of personal information complies with all applicable laws and regulations can increase our costs.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information pertaining to us and our customers is maintained, and transactions are executed, on our networks and systems or those of our customers or third-party partners, such as our online banking or reporting systems. The secure maintenance and transmission of confidential information, as well as execution of transactions over these systems, are essential to protect us and our customers against fraud and security breaches and to maintain our clients’ confidence.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breach of our operational or security systems or infrastructure, or those of our third-party vendors and other service providers, including as a result of cyber-attacks, could disrupt our businesses, result in the disclosure or misuse of confidential or proprietary information, damage our reputation, increase our costs and cause losses.</w:t>
      </w:r>
    </w:p>
    <w:p>
      <w:pPr>
        <w:spacing w:after="0" w:line="175"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While we have not experienced any material information security breaches, such breaches may occur as a result of intentional or inadvertent acts by individuals with authorized or unauthorized access to our systems or to confidential information of us, our customers, or counterparties, including employees. Cybersecurity risks may increase due to heightened criminal activity and sophistication, technological advances, newly discovered vulnerabilities (including in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technologies such as browsers and operating systems), or geopolitical instability or warfare, including the Russia and Ukraine conflict and reported cyber campaigns by Chinese hackers targeting U.S. infrastructure. We cannot assure that the security measures we or our processors maintain will be effective or sufficient to protect against all current or emerging threats. A breach of our systems, or those of processors, could result in financial losses, loss of customers or business, reputational harm, business disruption, increased expenses (including notification, remediation, and fines), regulatory scrutiny or penalties, litigation, or other adverse consequences, any of which could have a material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may be subject to failure or interruption.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operational risks include the risk of errors relating to transaction processing and technology, systems failures or interruptions, and failures of business continuation and disaster recovery plans. While we have established policies and procedures to prevent or limit the impact of system failures and interruptions, there can be no assurance that such events will not occur or will be adequately addressed if they do.</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breakdown in our internal control systems, improper operation of systems or improper employee actions, including if confidential or proprietary information were to be mishandled, misused or lost, we could suffer financial loss, loss of customers and damage to our reputation, and face regulatory action or civil litigation. Any of these events could have a material adverse effect on our financial condition and results of operations. Insurance coverage may not be available for such losses, or where available, such losses may exceed insurance limits.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information technology and telecommunications systems of third-party servicers, and systems failures, interruptions or breaches of security involving these systems could have an adverse effect on our operations, financial condition and results of operations.</w:t>
      </w:r>
    </w:p>
    <w:p>
      <w:pPr>
        <w:spacing w:after="0" w:line="130"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Our business depends on the reliable and uninterrupted operation of our information technology and telecommunications systems, including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accounting systems and mobile and online banking platforms. We outsource many critical systems, including data processing, loan servicing, payment processing, and online banking platforms. Failure of these systems, termination of related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licenses or service agreements, or capacity constraints or interruptions 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providers could disrupt our operations. Sustained or repeated disruptions could impair our ability to process loans, accept deposits, and provide customer service, harm our reputation, result in lost business, increase regulatory scrutiny, and expose us to financial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liability, any of which could materially adversely affect our financial condition and results of operations. In addition,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noncompliance with applicable laws and regulations, or fraud, misconduct, or material errors by our employees or those of our service providers, could disrupt operations or adversely affect our reputation.</w:t>
      </w:r>
    </w:p>
    <w:p>
      <w:pPr>
        <w:spacing w:after="0" w:line="1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may be difficult for us to replace some of our third-party vendors, particularly vendors providing our core banking, debit card services and information services, in a timely manner if they are unwilling or unable to provide us with these services in the future for any reason and even if we are able to replace them, it may be at higher cost or result in the loss of customers. Any such events could have a material adverse effect on our business, financial condition or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2021, federal bank regulators issued a joint final rule to establish computer-security incident notification requirements for banking organizations and their bank service providers. The rule requires FDIC-supervised banks to report certain incidents to their case manager and also requires covered bank service providers to promptly notify their FDIC-supervised bank customer when the service provider determines that it has experienced a notification incident.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of financial entities and technology systems becoming more interdependent and complex, a cyber incident, information breach or loss, or technology failure that compromises the systems or data of one or more financial entities could have a material impact on counterparties or other market participants, including ourselves. Although we review business continuity and backup plans for our vendors and take other safeguards to support our operations, such plans or safeguards may be inadequate. As a result of the foregoing, our ability to conduct business may be adversely affected by any significant disruptions to us or to third parties with whom we interact.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must respond to rapid technological changes, and these changes may be more difficult or expensive than anticipated.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will have to respond to future technological changes. Specifically, if our competitors introduce new banking products and services embodying new technologies such as AI and machine learning, or if new banking industry standards and practices emerge, then our existing product and service offerings, technology and systems may be impaired or become obsolete. Implementation of AI and machine learning and other new technologies may have unintended consequences due to their limitations, potential manipulation, or our failure to use them effectively. Conversely, if we fail to adopt or develop new technologies or to adapt our products and services to emerging industry standards, then we may lose current and future customers, which could have a material adverse effect on our business, financial condition and results of operations. Many of our competitors have substantially greater resources to invest in technological improvements than we do. The financial services industry is changing rapidly, and to remain competitive, we must continue to enhance and improve the functionality and features of our products, services and technologies. These changes may be more difficult or expensive than we anticipate.</w:t>
      </w:r>
    </w:p>
    <w:p>
      <w:pPr>
        <w:spacing w:after="0" w:line="20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We expect that new technologies and business processes applicable to the banking industry will continue to emerge, and these new technologies and business processes may be better than those we currently use. Because the pace of technological change is high and our industry is intensely competitive, we may not be able to sustain our investment in new technology as critical systems and applications become obsolete or as better ones become available. A failure to maintain current technology and business processes could cause disruptions in our operations or cause our products and services to be less competitive, all of which could have a material adverse effect on our business, financial condition or results of operations. We expect regulatory risk and compliance costs from AI implementation to increase. Federal and state regulators have intensified their oversight of AI in financial services. Under the Federal Reserve’s November 2025 Supervisory Operating Principles, examiners now prioritize the assessment of "material financial risks" stemming from AI, focusing on the transparency and explainability of models used for capital, liquidity, and credit decisions.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Risks Related to Our Human Capital</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our ability to attract additional key personnel, to continue the implementation of our long-term business strategy, and we could be harmed by the unexpected loss of their services.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believe that our continued growth and future success will depend in large part on the skills of our executive officers and other key employees and our ability to motivate and retain these individuals, as well as our ability to attract, motivate and retain qualified senior and middle management and other skilled employees. Competition for employees is intense, and the process of locating key personnel with the combination of skills and attributes required to execute our business strategy may be lengthy. If the services of any of our of key personnel should become unavailable for any reason, we may not be able to identify and hire qualified persons on terms acceptable to us, or at all, which could have a material adverse effect on our business, financial condition, results of operation and future prospects. We may not be successful in retaining our key personnel, and the unexpected loss of services of one or more of our key personnel could have a material adverse effect on our business because of their skill, customer relationships, knowledge of our markets, years of industry experience and the difficulty of promptly finding qualified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1" w:name="page42"/>
    <w:bookmarkEnd w:id="41"/>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replacement personnel. Leadership transitions can be inherently difficult to manage, and inadequate transitions may cause disruptions to our business due to, among other things, diverting management’s attention or causing a deterioration in morale.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suffer if we experience employee work stoppages, union campaigns or other labor difficulties, and efforts by labor unions could divert management attention and adversely affect operating results.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we had 450 employees, of which approximately 21% are represented by collective bargaining agreements or an employee union. Although we believe that our relationship with our employees is good, and we have not experienced any material work stoppages, work stoppages may occur in the future. Union activities also may significantly increase our labor costs, disrupt our operations and limit our operational flexibility. From time to time, we are subject to unfair labor practice charges, complaints and other legal, administrative and arbitration proceedings initiated against us by unions, the National Labor Relations Board or our employees, which could negatively impact our operating results. In addition, negotiating collective bargaining agreements could divert management attention, which could also adversely affect operating results. On November 29, 2024, we entered into a new collective bargaining agreement with OPEIU, which (i) extended the term of the agreement to June 30, 2026, (ii) provided for a 3.5% wage increase per annum for the term of the agreement, and (iii) made certain modifications to reflect improved terms, inclusive of a healthcare reimbursement account.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and Liquidity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liquidity risk.</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Liquidity is required to fund the needs of our depositors, repay borrowings, fund loan commitments and investments, pay expenditures and other obligations as they arise. Our access to funding, in adequate amounts and acceptable terms, could be impaired by a wide range of factors that affect us specifically, the financial services industry or the general economy. These factors include an economic downturn affecting our loan portfolio, adverse financial market conditions, adverse regulatory or judicial actions against labor unions, political organizations or not-for profits, or adverse regulatory actions against us.</w:t>
      </w:r>
    </w:p>
    <w:p>
      <w:pPr>
        <w:spacing w:after="0" w:line="19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access to deposits may also be affected by the liquidity needs of our depositors, particularly in an adverse interest rate or economic environment where they may be compelled to withdraw deposits. As a part of our liquidity management, we must ensure we can respond effectively to potential volatility in our customers’ deposit balances. Our total on-balance sheet deposits totaled $7.95 billion as of December 31, 2025. For instance, our on-balance sheet deposits from political campaigns, Political Action Committees ("PACs"), and state and national party committee clients totaled $1.73 billion, or 19% of total on-balance sheet deposits as of December 31, 2025. Their their deposit balances decreased significantly after the last election campaign, resulting in short-term volatility in their deposit balances held with us through election cycles. Additionally, our on-balance sheet deposits from labor unions totaled $2.05 billion, or 23% of total on-balance sheet deposits as of December 31, 2025. While historically we have been able to replace deposit outflows and borrowings as necessary, we might not be able to replace such funds in the future, especially if a large number of our depositors or those depositors with a high concentration of deposits sought to withdraw their accounts. We could encounter difficulty meeting a significant deposit outflow which could negatively impact our profitability or reputation. Any long-term decline in deposit funding would adversely affect our liquidity, but we believe our funding sources are adequate to meet any significant unanticipated deposit withdrawal. A failure to maintain adequate liquidity could materially and adversely affect our business, results of operations or financial condition.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needs and future growth may require us to raise capital, but that capital may not be available or may be dilutive.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raise capital will depend on, among other things, conditions in the capital markets, which are outside of our control, and our financial performance. Accordingly, we cannot provide assurance that such capital will be available on terms acceptable to us or at all. Any occurrence that limits our access to capital, may adversely affect our capital costs and our ability to raise capital and, in turn, our liquidity. Further, if we need to raise capital in the future, we may have to do so when many other financial institutions are also seeking to raise capital and would then have to compete with those institutions for investors. Any inability to raise capital on acceptable terms when needed could have a material adverse effect on our business, financial condition and results of operations and could be dilutive to both tangible book value and our share price.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an inability to raise capital when needed may subject us to increased regulatory supervision and the imposition of restrictions on our growth and business. These restrictions could negatively affect our ability to operate or further expand our operations through loan growth, acquisitions or the establishment of additional branches. These restrictions may also result in increases in operating expenses and reductions in revenues that could have a material adverse effect on our financial condition, results of operations and our share price.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stringent capital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regulatory requirements specifying minimum amounts and types of capital that we must maintain. From time to time, the regulators change these regulatory capital adequacy guidelines. If we fail to meet these minimum capital guidelines and other regulatory requirements, we may be restricted in the types of activities we may conduct and we may be prohibited from taking certain capital actions, such as paying dividends and repurchasing or redeeming capital securities.</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particular, the capital requirements applicable to us under the Basel III rules, which became fully phased-in on January 1, 2019 required us to satisfy additional, more stringent, capital adequacy standards. A failure to meet minimum capital requirements could result in certain mandatory and possible additional discretionary actions by regulators that, if undertaken, could have an adverse material effect on our financial condition and results of operations. In addition, these requirements could have a negative impact on our ability to lend, grow deposit balances, make acquisitions or make capital distributions in the form of dividends or share repurchases. Higher capital levels could also lower our return on equity. In July 2023, federal agencies jointly proposed revisions to the Basel III rules to implement the Basel Committee’s 2017 standards and make other changes. Subsequently, federal banking regulators have signaled that they expect to issue a revised proposal as early as 2026, thought contents of the potential revised proposal are not yet known.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Strategy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social responsibility positions may have a material adverse effect on our business, financial condition or results of operations.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socially responsible bank, we take positions to support economic, social, racial and environmental justice that are consistent with our charter as a public benefit corporation and with applicable law; however, these types of positions may be inconsistent with policies promulgated by other institutions or governmental entities, and as a result, we may become a target of public criticism, governmental scrutiny and investigation and litigation. Our positions may have a material adverse effect on our business, financial condition or results of operations.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example, we support the recruitment and hiring of people from all backgrounds, so that our workforce reflects the communities that we serve, and we support activities that promote an inclusive workforce. We encourage the advancement of equal opportunity without the use of preferential treatment, quotas or other unlawful and discriminatory practices. Additionally, we have expressed support for certain causes through our shareholder activism, which includes the filing of shareholder proposals at other public companies and serving as plaintiffs in class action litigation. Our shareholder activism may draw opposition from other activists, state attorneys general and other governmental entities, which would require the dedication of additional resources and personnel and impact our business, financial condition or results of operation.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implement our growth strategy or manage costs effectively, resulting in lower earnings or profitability.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There can be no assurance that we will be able to continue to grow and to be profitable in future periods, or, if profitable, that our overall earnings will remain consistent or increase in the future. Our growth requires that we increase our loans, assets under management and deposits while managing risks by following prudent loan underwriting standards without increasing interest rate risk or compressing our net interest margin. Additionally, maintaining more than adequate capital at all times, hiring and retaining qualified employees, managing noninterest expenses and successfully implementing strategic initiatives are all key drivers to successful growth. Even if we are able to increase our interest income, our earnings may nonetheless be reduced by increased expenses, such as additional employee compensation or other general and administrative expenses and increased interest expense on any liabilities incurred or deposits solicited to fund increases in assets. Additionally, if our competitors extend credit on terms we find to pose excessive risks, or at interest rates which we believe do not warrant the credit exposure, we may not be able to maintain our lending volume and could experience deteriorating financial performance. Our inability to manage our growth successfully or to continue to expand into new markets could have a material adverse effect on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lines of business, products, product enhancements or services may subject us to additional risks.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may implement new lines of business or offer new products or product enhancements as well as new services within our existing lines of business. There are substantial risks and uncertainties associated with these efforts, particularly in instances in which the markets are not fully developed. In implementing, developing or marketing new lines of business, products, product enhancements or services, we may invest significant time and resources, although we may not assign the appropriate level of resources or expertise necessary to make these new lines of business, products, product enhancements 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services successful or to realize their expected benefits. Initial timetables for the introduction and development of new lines of business, products, product enhancements or services may not be achieved, and price and profitability targets may not prove feasible. For example, several of our competitors have successfully introduced innovative investment management products. The introduction of such new products requires continued innovative efforts on the part of our management and may require significant time and resources as well as ongoing support and investment. External factors, such as compliance with regulations, competitive alternatives and shifting market preferences, may also affect the implementation of a new line of business or offerings of new products, product enhancements or services. Furthermore, any new line of business, product, product enhancement or service or system conversion could have a significant impact on the effectiveness of our internal controls. Failure to successfully manage these risks in the development and implementation of new lines of business or offerings of new products, product enhancements or services could have a material adverse effect on our business, financial condition or results of operations.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our reputation is critical to the success of our business, including our ability to attract and retain customers, and failure to do so may materially adversely affect our performance.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fund manager, we from time-to-time engage in stockholder activism, pressing issuers on a range of corporate governance topics. This engagement has caused and could cause increased scrutiny over our own corporate governance activities. Any failure, or perceived failure, in our own corporate governance practices could damage our reputation adversely affecting our business, results of operations or financial condition.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Maintaining our reputation also depends on our ability to successfully prevent third-parties from infringing on our brand and associated trademarks. Defense of our reputation and our trademarks, including through litigation, could result in costs adversely affecting our business, results of operations or financial condition.</w:t>
      </w:r>
    </w:p>
    <w:p>
      <w:pPr>
        <w:spacing w:after="0" w:line="172"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We are a Certified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The term “Certified B Corporation” does not refer to a particular form of legal entity, but instead refers to companies certified by the B Lab, an independent nonprofit organization, as meeting rigorous standards of social and environmental performance, accountability and transparency. Our reputation could be harmed if we lose our Certified B Corporation</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status, whether by choice or by our failure to meet B Lab’s certification requirements.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name “Amalgamated” originated with our over a 100 year union history – the Amalgamated Clothing Workers of America – and, over the course of time, other entities use the name Amalgamated, some of which are related parties or affiliates of the Bank and some that are not legally related or affiliated. As a result, we may face risks related to public scrutiny and identity confusion with those other entities that share the same name.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strong competition from other banks and financial institutions and other wealth and investment management firms that could hurt our business.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banking business is highly competitive, and we experience competition in our markets from many other financial institutions. We compete with commercial banks, credit unions, savings and loan associations, mortgage banking firms, non-traditional financial-services providers, other financial service businesses, including investment advisory and wealth management firms, mutual fund companies, and securities brokerage and investment banking firms, as well as super-regional, national and international financial institutions that operate offices in our primary market areas and elsewhere. As customers’ preferences and expectations continue to evolve, technology has lowered barriers to entry and made it possible for banks to expand their geographic reach by providing services over the Internet and for Fintech, i.e. “non-banks” to offer products and services traditionally provided by banks, such as automatic transfer and automatic payment systems. Because of this rapidly changing technology, our future success will depend in part on our ability to address our customers’ needs by using technology and to identify and develop new, value-added products for existing and future customers. Failure to do so could impede our time to market, reduce customer product accessibility, and weaken our competitive position. Customer loyalty can be easily influenced by a competitor’s products, especially offerings that could provide cost savings or a higher return to the customer. Moreover, this competitive industry could become even more competitive as a result of legislative, regulatory and technological changes and continued consolidation.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October 2024, the CFPB finalized the required rule making on Personal Financial Data Rights rule to promote “open and decentralized banking” by requiring covered institutions to allow customers to authorize the transfer of certain customer information to other financial institutions. This rule enables greater competition among banks and non-banks for consumer market share, which could have a material adverse effect on our business, financial condition or results of operations. However, the rule's rollout is currently delayed by a "stop work" order issued by the CFPB in early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Difficulties in obtaining regulatory approval for acquisitions and in combining the operations of acquired entities with the Company’s own operations may prevent us from achieving the expected benefits from our acquisitions.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expanded its business through a past acquisition and may do so again in the future. Our ability to complete acquisitions is in many instances subject to regulatory approval, and we cannot be certain when or if, or on what terms and conditions, any required regulatory approvals would be granted. In addition, inherent uncertainties exist when integrating the operations of an acquired entity, including in ability to fully achieve the Company’s strategic objectives and planned operating efficiencies in an acquisition, disruption of the Company’s business and diversion of management’s time and attention and exposure to unknown or contingent liabilities of acquired entities.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Accounting, Regulatory, and Compliance Risks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b w:val="1"/>
          <w:bCs w:val="1"/>
          <w:i w:val="1"/>
          <w:iCs w:val="1"/>
          <w:color w:val="auto"/>
        </w:rPr>
        <w:t xml:space="preserve"> in our accounting policies or in accounting standards could materially affect how we report our financial results and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Changes in our accounting policies or in accounting standards could materially affect how we report our financial results and condition. From time to time, the FASB changes the financial accounting and reporting standards that govern the preparation of our financial statements. As a result of such changes, whether promulgated or required by the FASB or other regulators, we could be required to change certain of the assumptions or estimates we have previously used in preparing our financial statements, which could negatively affect how we record and report our results of operations and financial condition generally.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accounting estimates and risk management processes and controls rely on analytical and forecasting techniques and models and assumptions, which may not accurately predict future events.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accounting policies and methods are fundamental to how we record and report our financial condition and results of operations. Our management must exercise judgment in selecting and applying many of these accounting policies and methods so they comply with GAAP and reflect management’s judgment of the most appropriate manner in which to report our financial condition and results. In some cases, management must select the accounting policy or method to apply from two or more alternatives, any of which may be reasonable under the circumstances, yet which may result in our reporting materially different results than would have been reported under a different alternative.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accounting policies are critical to presenting our financial condition and results of operations. They require management to make difficult, subjective or complex judgments about matters that are uncertain. Materially different amounts could be reported under different conditions or using different assumptions or estimates. Because of the uncertainty of estimates involved in this matters, we may be required to significantly increase the allowance or sustain credit losses that are significantly higher than the reserve provided. Any of these could have a material adverse effect on our business, financial condition or results of operations. See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banking industry is heavily regulated and that regulation, together with any future legislation or regulatory changes, could limit or restrict our activities and adversely affect our operations or financial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an extensively regulated industry and we are subject to examination, supervision, and comprehensive regulation by various federal and state agencies. The Company is subject to Federal Reserve regulations, and the Bank is subject to regulation, supervision and examination by the FDIC and the NYDFS.</w:t>
      </w:r>
    </w:p>
    <w:p>
      <w:pPr>
        <w:spacing w:after="0" w:line="16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current presidential administration is implementing a regulatory reform agenda that is significantly different from that of the prior administration, impacting the rule making, supervision, examination and enforcement of the banking regulation agencies and our ability to respond to those changes. The 2025 GENIUS Act and related federal mandates, as well as NYDFS rulemaking, to curb “debanking” limits our ability to manage credit and reputational risk, potentially resulting in increased compliance costs to justify account closures, heightened exposure to fraud and AML losses resulting from our limited ability to terminate relationships with customers in high-risk sectors, and adverse impacts on our operational efficiency because of the 30-day mandatory notice period for most account closures. Furthermore, these anti-debanking measures may expose us to customer-led litigation alleging violation of fair access standards. For a more detailed description of anti-debanking measures, see “Fair Lending Requirements.”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compliance with banking regulations is costly and restricts some of our other activities besides account closures, including payment of dividends, mergers and acquisitions, investments, loans and interest rates and locations of offices. We are also subject to capitalization guidelines established by our regulators, which require us to maintain adequate capital to support our business. If, as a result of an exam, a banking agency were to determine that the financial condition, capital adequacy, asset quality, asset concentration, earnings prospects, management, liquidity sensitivity to market risk or other aspects of any of our operations has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5" w:name="page46"/>
    <w:bookmarkEnd w:id="45"/>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become unsatisfactory, or that we or our management are in violation of any law or regulation, the banking agency could take a number of different remedial actions as it deems appropriate.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our regulators also have the ability to compel us to take certain actions, or restrict us from taking certain actions entirely, such as actions that our regulators deem to constitute an unsafe or unsound banking practice. Our failure to comply with any applicable laws or regulations, or regulatory policies and interpretations of such laws and regulations, could result in sanctions by regulatory agencies (such as a memorandum of understanding, a written supervisory agreement or a cease and desist order), civil money penalties or damage to our reputation, all of which could have a material adverse effect on our business, financial condition or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trust and investment management businesses are highly regulated.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our investment management division, we provide investment management, custody, safekeeping and trust services to institutional clients. These products and services require us to comply with a number of regulations issued by the Department of Labor, the Employee Retirement Income Security Act, the FDIC Statement of Principles of Trust Department Management, and federal and state securities regulators.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comply with applicable laws or regulations could result in fines, suspensions of individual employees, litigation, or other sanctions. Any such failure could have an adverse effect on our reputation and could adversely affect our business, financial condition, results of operations or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Federal Reserve may require us to commit capital resources to support the Bank.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Federal Reserve requires a bank holding company to act as a source of financial and managerial strength to a subsidiary bank and to commit resources to support such subsidiary bank. Under the “source of strength” doctrine, the Federal Reserve may require a bank holding company to make capital injections into a troubled subsidiary bank and may charge the bank holding company with engaging in unsafe and unsound practices for failure to commit resources to such a subsidiary bank. In addition, the Dodd-Frank Act directs the federal bank regulators to require that all companies that directly or indirectly control an insured depository institution serve as a source of strength for the institution. Under these requirements, in the future, we could be required to provide financial assistance to the Bank if the Bank experiences financial distress.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capital injection may be required at times when we do not have the resources to provide it, and therefore we may be required to borrow the funds. In the event of a bank holding company’s bankruptcy, the bankruptcy trustee will assume any commitment by the holding company to a federal bank regulatory agency to maintain the capital of a subsidiary bank. Moreover, bankruptcy law provides that claims based on any such commitment will be entitled to a priority of payment over the claims of the holding company’s general unsecured creditors, including the holders of its note obligations. Thus, any borrowing that must be done by the holding company in order to make the required capital injection becomes more difficult and expensive and will adversely impact the holding company’s cash flows,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 risk of noncompliance with the BSA and other anti-money laundering statutes and regulations and corresponding enforcement proceedings.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BSA, the PATRIOT Act, the Anti-Money Laundering Act of 2020, and other laws and regulations require financial institutions, among other duties, to institute and maintain effective anti-money laundering programs, and to file suspicious activity and currency transaction reports as appropriate. FinCEN, established by the U.S. Treasury Department to administer the BSA, is authorized to impose significant civil money penalties for violations of those requirements and has engaged in coordinated enforcement efforts with the individual federal banking regulators, as well as the U.S. Department of Justice, Drug Enforcement Administration and IRS. There is also increased scrutiny of compliance with the rules enforced by the Office of Foreign Assets Control. Federal and state bank regulators also focus on compliance with BSA and anti-money laundering regulations. If our policies, procedures and systems are deemed deficient or the policies, procedures and systems of the financial institutions that we may acquire are deficient, we would be subject to liability, including fines, and regulatory actions such as restrictions on our ability to pay dividends and engage in acquisitions, which would negatively impact our business, financial condition and results of operations. In recent years, sanctions that the regulators have imposed on banks that have not complied with all requirements have been especially severe. Failure to maintain and implement adequate programs to combat money laundering and terrorist financing could also have serious reputational consequences for us, which could have a material adverse effect on our business, financial condition and results of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Community Reinvestment Act and federal and state fair lending laws, and failure to comply with these laws could lead to material penalties.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Community Reinvestment Act (“CRA”), the ECOA and the FHA impose nondiscriminatory lending requirements on financial institutions. The FDIC, the NYDFS, the Department of Justice, and other federal and state agencies are responsible for enforcing these laws and regulations. Private parties may also have the ability to challenge an institution’s performance under fair lending laws in private class action litigation. A successful challenge to our performance under the fair lending laws and regulations could adversely impact our rating under the CRA and result in a wide variety of sanctions, including the required payment of damages and civil money penalties, injunctive relief, imposition of restrictions on merger and acquisitions and expansion activity, which could negatively impact our reputation,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litigation and compliance risks related to our Socially Responsible Banking business model.</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become the target of public criticism, litigation and regulatory and enforcement actions because of our ESG products and our social responsibility mission. For example, anti-debanking regulations promulgated under the GENIUS Act and at the NYDFS target financial institutions that will not lend or have made statements about not lending to certain industries. The potential impact of anti-debanking regulations on our business is discussed under the risk factor, “</w:t>
      </w:r>
      <w:r>
        <w:rPr>
          <w:rFonts w:ascii="Times New Roman" w:cs="Times New Roman" w:eastAsia="Times New Roman" w:hAnsi="Times New Roman"/>
          <w:sz w:val="18"/>
          <w:szCs w:val="18"/>
          <w:i w:val="1"/>
          <w:iCs w:val="1"/>
          <w:color w:val="auto"/>
        </w:rPr>
        <w:t>The banking industry is heavily regulated and that regulation, together with any future legislation or regulatory changes, could limit or restrict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 and adversely affect our operations or financial results.”</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has been a significant rise in climate-related probes and litigation, including greenwashing claims, against banks. "Greenwashing" involves a business making misleading sustainability-related claims to investors or consumers, usually to boost its reputation and bottom line. Furthermore, ESG products in the banking and financial services sectors have become subject to heightened regulatory scrutiny for potentially misleading claims and poor controls. Allegations that our ESG products contain claims that have misled investors or consumers, or that the claims are subject to poor controls, even if ultimately unfounded, may fundamentally damage our reputation and our financial performance.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may be affected negatively by the costs of litigation.</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difficult market conditions, the volume of claims and amount of damages sought in litigation and investigations against financial institutions have historically increased. We may be involved from time to time in a variety of litigation, investigations or similar matters arising out of our business. In many cases, we may seek reimbursement from our insurance carriers to cover such costs and expenses. Our insurance may not cover all claims that may be asserted against us, and any claims asserted against us, regardless of merit or eventual outcome, may harm our reputation. Should the ultimate judgments or settlements in any litigation or investigation significantly exceed our insurance coverage, they could have a material adverse effect on our business, financial condition and results of operations. In addition, we may not be able to obtain appropriate types or levels of insurance in the future, nor may we be able to obtain adequate replacement policies with acceptable terms, if at all.</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are, or may become, involved in suits, legal proceedings, information-gatherings, investigations and proceedings by governmental and self-regulatory agencies that may lead to adverse consequences.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aspects of the banking business involve a substantial risk of legal liability. From time to time, we are, or may become, the subject of information-gathering requests, reviews, investigations and proceedings, and other forms of regulatory inquiry, including by bank regulatory agencies, self-regulatory agencies, and law enforcement authorities. The results of such proceedings could lead to significant civil or criminal penalties, including monetary penalties, damages, adverse judgments, settlements, fines, injunctions, restrictions on the way we conduct our business or reputational harm.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our common stock could face volatility due to banking sector uncertainty.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Bank holding company stock prices are sensitive to generalized concerns about the health of the banking industry as a whole, regardless of the health of a particular institution. Ongoing stress in the banking sector could adversely impact the market price of our common stock and our business, financial condition and results of operations. We cannot predict if investors will find our common stock less attractive as a result of these market stresses. If some investors find our common stock less attractive as a result, there may be a less active trading market for our common stock and our stock price may be more volatile.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pay dividends is subject to regulatory limitations and the Bank’s ability to pay dividends to us is also subject to regulatory limitations.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7" w:name="page48"/>
    <w:bookmarkEnd w:id="47"/>
    <w:p>
      <w:pPr>
        <w:spacing w:after="0" w:line="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bank holding company that conducts substantially all of its operations through the Bank. As a result, our ability to make dividend payments on our common stock depends primarily on certain federal regulatory considerations and the receipt of dividends and other distributions from the Bank. As is the case with all financial institutions, the profitability of the Bank is subject to the fluctuating cost and availability of money, changes in interest rates, and in economic conditions in general.</w:t>
      </w:r>
    </w:p>
    <w:p>
      <w:pPr>
        <w:spacing w:after="0" w:line="18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Holders of our common stock are only entitled to receive such cash dividends as our Board of Directors may declare out of funds legally available for such payments. Although we currently expect to continue to pay quarterly dividends, any future determination relating to our dividend policy will be made by</w:t>
      </w:r>
    </w:p>
    <w:p>
      <w:pPr>
        <w:spacing w:after="0" w:line="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our Board of Directors and will depend on a number of factors. Any actual determination relating to our dividend policy and the declaration of future dividends will be made, subject to applicable law and regulatory approvals, by our Board of Directors and will depend on a number of factors, including:</w:t>
      </w:r>
    </w:p>
    <w:p>
      <w:pPr>
        <w:jc w:val="both"/>
        <w:ind w:firstLine="8"/>
        <w:spacing w:after="0" w:line="255" w:lineRule="auto"/>
        <w:tabs>
          <w:tab w:leader="none" w:pos="23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and projected financial condition, liquidity and results of operations, (ii) our capital levels and needs, (iii) tax considerations, (iv) any acquisitions or potential acquisitions that we may examine, (v) statutory and regulatory prohibitions and other limitations, (vi) the terms of any credit agreements or other borrowing arrangements that restrict our ability to pay cash dividends, (vii) general economic conditions and (viii) other factors</w:t>
      </w:r>
    </w:p>
    <w:p>
      <w:pPr>
        <w:spacing w:after="0" w:line="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deemed relevant by our Board of Directors. The Board of Directors may determine not to pay any cash dividends at any time. There can be no assurance that we will pay any dividends to holders of our common stock, or as to the amount of any such dividends. For more information, see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Market for Registrant’s Common Equity, Related Stockholder Matters and Issuer Purchases of Equity Securities—Dividend Policy.</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several significant investors whose individual interests may differ from yours.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significant percentage of our common stock is currently held by investment funds affiliated with an amalgamation of Workers United and numerous joint boards, locals or similar organizations authorized under the constitution of Workers United (the “Workers United Related Parties”). Workers United Related Parties own approximately 38% of our common stock. Significant stockholders will have a greater ability than our other stockholders to influence the election of directors and the potential outcome of other matters submitted to a vote of our stockholders, including mergers and acquisition transactions, amendments to our certificate of incorporation and bylaws, and other extraordinary corporate matters. The interests of these investors could conflict with the interests of our other stockholders, and any future transfer by these investors of their shares of common stock to other investors who have different business objectives could adversely affect our business, results of operations, financial condition, prospects or the market value of our common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Workers United Related Parties have also entered into agreements with us that contain certain provisions, including, among others, provisions relating to our governance, information rights, tag-along rights, board designation rights, and certain board and stockholder approval rights. Additionally, Workers United Related Parties have entered into agreements with us that provide certain registration rights under existing registration rights agreements, and in the case of the Workers United Related Parties, the establishment of an advisory board.</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Transfers of our common stock owned by the Workers United Related Parties could adversely impact your rights as a stockholder and the market price of our common stock.</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Workers United Related Parties may transfer all or part of the shares of our common stock that they own, without allowing you to participate or realize a premium for any investment in our common stock, or distribute shares of our common stock that it owns to their members. Sales or distributions by the Workers United Related Parties of such common stock could adversely impact prevailing market prices for our common stock.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a sale of common stock by the Workers United Related Parties to a third party could adversely impact the market price of our common stock and our business, financial condition and results of operations. For example, a change in control caused by the sale of our shares by the Workers United Related Parties may result in a change of management decisions and business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of our common stock are subject to dilution.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issue additional shares of our common stock in the future pursuant to current or future equity compensation plans or in connection with future acquisitions or financings. If we choose to raise capital by selling shares of our common stock for any reason, the issuance would have a dilutive effect on the holders of our common stock and could have a material negative effect on the value of our common stock.</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Board recognizes the critical importance of maintaining the trust and confidence of our customers, clients, business partners and employees. The Board is actively involved in oversight of the Company’s risk management program, and cybersecurity represents an important component of the Company’s overall approach to enterprise risk management (“ERM”).</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cybersecurity policies, standards, processes and practices are fully integrated into the Company’s ERM program and are based on recognized frameworks established by the Federal Financial Institutions Examination Council (the “FFIEC”), and other applicable industry standards and regulations, including regulations promulgated by the NYDFS. In general, the Company seeks to address cybersecurity risks through a comprehensive, cross-functional approach that is focused on preserving the confidentiality, security and availability of the data and information that the Company collects and stores by identifying, preventing and mitigating cybersecurity threats and effectively responding to cybersecurity incidents when they occur. The Company’s strategy is informed by determinations of inherent risk and risk maturity level that are made in connection with an independent cybersecurity awareness assessment prepared for the FFIEC.</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one of the critical elements of the Company’s overall ERM approach, the Company’s Information Security Program is focused on the following key areas:</w:t>
      </w:r>
    </w:p>
    <w:p>
      <w:pPr>
        <w:spacing w:after="0" w:line="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Protecting the confidentiality, integrity, and availability of information systems and the nonpublic information stored on them.</w:t>
      </w:r>
    </w:p>
    <w:p>
      <w:pPr>
        <w:spacing w:after="0" w:line="14"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Identifying risks, defending against unauthorized access, and detecting, responding to, and recovering from cybersecurity incidents.</w:t>
      </w:r>
    </w:p>
    <w:p>
      <w:pPr>
        <w:spacing w:after="0" w:line="1" w:lineRule="exact"/>
        <w:rPr>
          <w:rFonts w:ascii="Arial" w:cs="Arial" w:eastAsia="Arial" w:hAnsi="Arial"/>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Continuous training on cybersecurity best practices to our employees.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Strategy and Governance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Management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implemented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also established a governance structure and organization to manage cybersecurity risk. This includes escalation and reporting of cybersecurity incidents through the Chief Risk Officer’s organization to an Executive Response Team and the Board, and periodic reporting on the Information Security Program to the Information Security Subcommittee of the Enterprise Risk Management Committee, an executive committee that oversees the Information Security Program, and the Enterprise Risk Oversight Committee (the “EROC”), the Board committee that oversees the ERM framework.</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Chief Information Security Officer (“CISO”), under the supervision of the Company’s Chief Risk Executive, in coordination with the Company’s executive team, which includes our CEO, CFO, Chief Information and Operations Officer ("CIOO"), Chief Technology Officer (“CTO”), and Chief Legal Officer (“CLO”), works collaboratively across the Company to implement the Information Security Program, which is designed to protect the Company’s information systems from cybersecurity threats and to promptly respond to any cybersecurity incidents in accordance with the Company’s incident response and recovery plans.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CISO coordinates all aspects of the Information Security Program and presents a report on the Information Security Program to the Information Cyber Security Subcommittee on a quarterly basis so that the Subcommittee is made aware of a wide range of topics including recent developments in the Information Security Program, evolving standards, vulnerability assessments, third-party and independent reviews, the threat environment, technological trends and information security considerations arising with respect to the Company’s peers and third parties.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contracted with an interim CISO, upon the departure of the prior CISO. The current interim CISO had previously served as the Company's interim CISO from October of 2023 to June 2024 and interim CTO from July of 2022 through October of 2023. Additionally this contractor served in various roles in information technology and information security for over 25 years, including serving as the CISO and CTO, respectively, of two large public financial services</w:t>
      </w:r>
    </w:p>
    <w:p>
      <w:pPr>
        <w:sectPr>
          <w:pgSz w:w="11900" w:h="16838" w:orient="portrait"/>
          <w:cols w:equalWidth="0" w:num="1">
            <w:col w:w="11240"/>
          </w:cols>
          <w:pgMar w:left="320" w:top="1440" w:right="33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9" w:name="page50"/>
    <w:bookmarkEnd w:id="49"/>
    <w:p>
      <w:pPr>
        <w:spacing w:after="0" w:line="3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The interim CISO has also performed Information Security leadership roles in two technology companies assessing and managing cyber risk on large amounts of data.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the Board of Directors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Board’s oversight of cybersecurity risk management is supported by the EROC, which regularly interacts with the Company’s ERM function and the CISO.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EROC oversees the Company’s ERM process, including the management of risks arising from cybersecurity threats. The EROC receives regular presentations and reports on the Information Security Program, which address a wide range of topics including recent developments, evolving standards, vulnerability assessments, third-party and independent reviews, the threat environment, technological trends and information security considerations arising with respect to the Company’s peers and third parties.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EROC receives prompt and timely information regarding any cybersecurity incident that meets established reporting thresholds, as well as ongoing updates regarding any such incident until it has been addressed.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have not historically experienced significant cybersecurity incidents, we and other banks are subject to attacks of increasing frequency and sophistication. Any significant breach, interruption or failure of our information systems could adversely affect our business operations and our financial condition, operating results and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Technical Safeguards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deploys technical safeguards that are designed to protect Company’s data and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engages in the periodic assessment and testing of the Company’s policies, standards, processes and practices that are designed to address cybersecurity threats and incidents. These efforts include a wide range of activities, including audits, assessments, tabletop exercises, vulnerability testing, stress testing based on top cyberattack scenarios and other exercises focused on evaluating the effectiveness of our cybersecurity measures and planning and by leveraging the Federal Reserve Bank of New York methodology for cyber risk (“FFIEC CyberSecurity Assessment Tool”). The Company regularly engages third parties to perform independent assessments on our cybersecurity measures, including information security maturity assessments, audits and independent reviews of our information security control environment and operating effectiveness. The results of such assessments, audits and reviews are reported to the EROC, and the Company adjusts its cybersecurity policies, standards, processes and practices as necessary based on the information provided by these assessments, audits and reviews.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Incident Response and Recovery Planning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established and maintains comprehensive incident response and recovery plans that fully address the Company’s timely and effective response to a cybersecurity incident, and such plans are tested and evaluated on an annual basis. Multidisciplinary teams throughout the Company are deployed to address cybersecurity threats and to respond to cybersecurity incidents. Through ongoing communications with these teams, the CISO monitors the prevention, detection, mitigation and remediation of cybersecurity threats and incidents in real time and reports such threats and incidents to the Executive Response Team of the Company and as guided by the Company’s Chief Risk Executive, to the Risk Committee when appropriate.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Security Incident Response Team (“SIRT”) structure includes an Executive Response Team (“ERT”). The ERT is composed of all members of the Executive Management Team, the Head of Business Continuity Management, and the CISO (if the incident is due to a cyber breach), and it oversees a Management Response Team (“MRT”). In the event of a security incident, the Company’s designated Response Coordinator, who is the Information Security Manager or the CISO’s designee, shall investigate the reported security incident and assign an initial severity level. They will gather initial facts about the security incident, analyze information it has received, identify those entities affected by the security incident, assess the preliminary severity and extent of the damage (which can be financial or reputational).</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severity is assessed as Low or Medium in accordance with criteria identified in the incident response and recovery plans, the Response Coordinator will report the incident to the CISO and complete the remediation actions for the cybersecurity incident and report the final outcome to the CISO. The CISO will report to the ERT remediation of Low or Medium cybersecurity incidents at least on a quarterly basis. If the cybersecurity incident is classified as a High, or at the Response Coordinator’s discretion, the Response Coordinator will report the cybersecurity incident to the CISO and promptly convene the ERT. The ERT will determine the</w:t>
      </w:r>
    </w:p>
    <w:p>
      <w:pPr>
        <w:sectPr>
          <w:pgSz w:w="11900" w:h="16838" w:orient="portrait"/>
          <w:cols w:equalWidth="0" w:num="1">
            <w:col w:w="11240"/>
          </w:cols>
          <w:pgMar w:left="320" w:top="1440"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0" w:name="page51"/>
    <w:bookmarkEnd w:id="50"/>
    <w:p>
      <w:pPr>
        <w:spacing w:after="0" w:line="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appropriate steps necessary to respond to the cybersecurity incident and oversee the MRT’s execution of the response. The ERT will determine whether the cybersecurity incident needs to be escalated to the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Risk Management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Third-Party Risk Management Program provides a risk-based approach to the assessment, measurement, monitoring, and control of risks related to third parties with whom the Company does business, including vendors, service providers and other external users of Company’s systems, as well as the systems of third parties that could adversely impact our business in the event of a cybersecurity incident affecting those third-party systems. In particular, the Company confirms that new and existing service providers are implementing appropriate measures to protect customer information and customer information systems in conformance with the Company’s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Education and Awareness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Through its Information Security Awareness Program, the Company provides regular, mandatory training regarding cybersecurity threats as a means to equip the Company’s personnel with effective tools to address cybersecurity threats, and to communicate the Company’s evolving information security policies, standards, processes and effective practices.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our three branch offices in New York City, one branch office in Washington, D.C., one branch office in San Francisco, and one commercial office in Boston are leased. We also lease an office in New York City that serves as our corporate headquarters.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a new fifteen-year leases for the Company's headquarters in New York City, which will replace the current headquarters, a new office in Oakland, and a new branch in New York City, which replaces an existing branch. These leases are expected to commence in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our current facilities are adequate to meet our present and foreseeable needs, subject to possible future expansion.</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certain pending and threatened legal proceedings that arise out of the ordinary course of business. Additionally, we, like all banking organizations, are subject to regulatory examinations and investigations. Based upon management’s current knowledge, following consultation with legal counsel, in the opinion of management, there is no pending or threatened legal matter that would result in a material adverse effect on our consolidated financial condition or results of operation, either individually or in the aggregate.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Holders of Record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“AMAL.” As of December 31, 2025, we had 29,818,424 shares of common stock outstanding and approximately 200 stockholders of record.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7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paid a quarterly cash dividend, and intend to continue paying a quarterly cash dividend per share on our common stock, although we may elect not to pay dividends or to change the amount of such dividends. Any actual determination relating to our dividend policy and the declaration of future dividends will be made, subject to applicable law and regulatory approvals, by our Board of Directors and will depend on a number of factors, including: (1) our historical and projected financial condition, liquidity and results of operations, (2) our capital levels and needs, (3) tax considerations, (4) any acquisitions or potential acquisitions that we may examine, (5) statutory and regulatory prohibitions and other limitations, (6) the terms of any credit agreements or other borrowing arrangements that restrict our ability to pay cash dividends, (7) general economic conditions and (8) other factors deemed relevant by our Board of Directors.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a legal entity separate and distinct from the Bank. The Federal Reserve has issued a policy statement on the payment of cash dividends by bank holding companies, which expresses the Federal Reserve’s view that a bank holding company generally should pay cash dividends only to the extent that the holding company’s net income for the past year is sufficient to cover both the cash dividends and a rate of earnings retention that is consistent with the holding company’s capital needs, asset quality, and overall financial condition. The Federal Reserve has also indicated that a bank holding company should not maintain a level of cash dividends that places undue pressure on the capital of its bank subsidiaries, or that can be funded only through</w:t>
      </w:r>
    </w:p>
    <w:p>
      <w:pPr>
        <w:spacing w:after="0" w:line="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borrowings or other arrangements that undermine the bank holding company’s ability to act as a source of strength. As a Delaware public benefit corporation, we are also subject to certain restrictions on dividends under the DGCL. Generally, a Delaware corporation may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pay cash dividends to our stockholders from our assets, which are provided primarily by dividends paid to the Company by our Bank. Certain restrictions exist regarding the ability of the Bank to transfer funds to the Company in the form of cash dividends, loans or advances. Federal bank regulators have stated that paying dividends that deplete a bank’s capital base to an inadequate level would be an unsafe and unsound banking practice and</w:t>
      </w:r>
    </w:p>
    <w:p>
      <w:pPr>
        <w:jc w:val="both"/>
        <w:spacing w:after="0" w:line="262" w:lineRule="auto"/>
        <w:rPr>
          <w:sz w:val="20"/>
          <w:szCs w:val="20"/>
          <w:color w:val="auto"/>
        </w:rPr>
      </w:pPr>
      <w:r>
        <w:rPr>
          <w:rFonts w:ascii="Times New Roman" w:cs="Times New Roman" w:eastAsia="Times New Roman" w:hAnsi="Times New Roman"/>
          <w:sz w:val="18"/>
          <w:szCs w:val="18"/>
          <w:color w:val="auto"/>
        </w:rPr>
        <w:t>that banking organizations should generally pay dividends only out of current earnings. The FDIC’s prompt corrective action regulations also prohibit depository institutions, such as the Bank, from making any “capital distribution,” which includes any transaction that the FDIC determines, by order or regulation, to be “in substance a distribution of capital,” unless the depository institution will continue to be at least adequately capitalized after the distribution is made. Pursuant to these provisions, it is possible that the FDIC would seek to prohibit the payment of dividends from the Bank to the Company if we failed to maintain a status of at least adequately capitalized. The New York Banking Law contains similar provisions.</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There can be no assurance that we will pay any dividends to holders of our common stock, or as to the amount of any such dividends. See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Note Regarding Forward-Looking Statements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Supervision and Regulation—Amalgamated Financial Corp.—Capital Requirements and Payment of Dividends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Supervision and Regulation—Amalgamated Bank—Payment of Dividends.</w:t>
      </w:r>
      <w:r>
        <w:rPr>
          <w:rFonts w:ascii="Times New Roman" w:cs="Times New Roman" w:eastAsia="Times New Roman" w:hAnsi="Times New Roman"/>
          <w:sz w:val="18"/>
          <w:szCs w:val="18"/>
          <w:color w:val="auto"/>
        </w:rPr>
        <w:t>”</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stock performance graph compares the cumulative total shareholder returns for the Company's common stock, Nasdaq Composite Index and the KBW Regional Bank Index for the last five fiscal years. The graph assumes that an investor originally invested $100 in shares of the Bank's common stock at its closing price on December 31, 2020, and assumes reinvestment of dividends and other distributions to stockholders. The following stock performance graph and related information shall not be deemed to be “soliciting material” or “filed” with the SEC, or subject to the liabilities of Section 18 of the Exchange Act, nor shall such information be incorporated by reference into any future filings under the Exchange Act, except to the extent we specifically incorporate it by reference into such filing. The stock performance graph represents past performance and should not be considered an indication of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172200" cy="28289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Cumulative Total Returns Period Ending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3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12/31/20</w:t>
            </w: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12/31/21</w:t>
            </w:r>
          </w:p>
        </w:tc>
        <w:tc>
          <w:tcPr>
            <w:tcW w:w="1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12/31/22</w:t>
            </w: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12/31/24</w:t>
            </w: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12/31/25</w:t>
            </w:r>
          </w:p>
        </w:tc>
      </w:tr>
      <w:tr>
        <w:trPr>
          <w:trHeight w:val="202"/>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Nasdaq Composite Index</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121.39</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116.47</w:t>
            </w:r>
          </w:p>
        </w:tc>
        <w:tc>
          <w:tcPr>
            <w:tcW w:w="2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149.83</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180.33</w:t>
            </w:r>
          </w:p>
        </w:tc>
      </w:tr>
      <w:tr>
        <w:trPr>
          <w:trHeight w:val="195"/>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KBW Regional Bank Index</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133.20</w:t>
            </w: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120.61</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115.77</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126.88</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131.08</w:t>
            </w:r>
          </w:p>
        </w:tc>
      </w:tr>
      <w:tr>
        <w:trPr>
          <w:trHeight w:val="210"/>
        </w:trPr>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Amalgamated Financial Corp.</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122.05</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167.69</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196.07</w:t>
            </w: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243.60</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Equity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regarding purchases of our common stock during the three months ended December 31, 2025 by or on behalf of the Company or any “affiliate purchaser” as defined in Rule 10b-18(a)(3) under the Exchange Act.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80" w:type="dxa"/>
            <w:vAlign w:val="bottom"/>
          </w:tcPr>
          <w:p>
            <w:pPr>
              <w:spacing w:after="0"/>
              <w:rPr>
                <w:sz w:val="14"/>
                <w:szCs w:val="14"/>
                <w:color w:val="auto"/>
              </w:rPr>
            </w:pP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8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2"/>
        </w:trPr>
        <w:tc>
          <w:tcPr>
            <w:tcW w:w="4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vMerge w:val="restart"/>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80" w:type="dxa"/>
            <w:vAlign w:val="bottom"/>
          </w:tcPr>
          <w:p>
            <w:pPr>
              <w:spacing w:after="0"/>
              <w:rPr>
                <w:sz w:val="6"/>
                <w:szCs w:val="6"/>
                <w:color w:val="auto"/>
              </w:rPr>
            </w:pPr>
          </w:p>
        </w:tc>
        <w:tc>
          <w:tcPr>
            <w:tcW w:w="1560" w:type="dxa"/>
            <w:vAlign w:val="bottom"/>
            <w:gridSpan w:val="2"/>
          </w:tcPr>
          <w:p>
            <w:pPr>
              <w:jc w:val="right"/>
              <w:spacing w:after="0" w:line="73" w:lineRule="exact"/>
              <w:rPr>
                <w:sz w:val="20"/>
                <w:szCs w:val="20"/>
                <w:color w:val="auto"/>
              </w:rPr>
            </w:pPr>
            <w:r>
              <w:rPr>
                <w:rFonts w:ascii="Times New Roman" w:cs="Times New Roman" w:eastAsia="Times New Roman" w:hAnsi="Times New Roman"/>
                <w:sz w:val="8"/>
                <w:szCs w:val="8"/>
                <w:b w:val="1"/>
                <w:bCs w:val="1"/>
                <w:color w:val="auto"/>
              </w:rPr>
              <w:t>value that may yet</w:t>
            </w:r>
          </w:p>
        </w:tc>
        <w:tc>
          <w:tcPr>
            <w:tcW w:w="0" w:type="dxa"/>
            <w:vAlign w:val="bottom"/>
          </w:tcPr>
          <w:p>
            <w:pPr>
              <w:spacing w:after="0"/>
              <w:rPr>
                <w:sz w:val="1"/>
                <w:szCs w:val="1"/>
                <w:color w:val="auto"/>
              </w:rPr>
            </w:pPr>
          </w:p>
        </w:tc>
      </w:tr>
      <w:tr>
        <w:trPr>
          <w:trHeight w:val="117"/>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560" w:type="dxa"/>
            <w:vAlign w:val="bottom"/>
            <w:gridSpan w:val="2"/>
            <w:vMerge w:val="restart"/>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68"/>
        </w:trPr>
        <w:tc>
          <w:tcPr>
            <w:tcW w:w="4700" w:type="dxa"/>
            <w:vAlign w:val="bottom"/>
          </w:tcPr>
          <w:p>
            <w:pPr>
              <w:spacing w:after="0"/>
              <w:rPr>
                <w:sz w:val="5"/>
                <w:szCs w:val="5"/>
                <w:color w:val="auto"/>
              </w:rPr>
            </w:pPr>
          </w:p>
        </w:tc>
        <w:tc>
          <w:tcPr>
            <w:tcW w:w="80" w:type="dxa"/>
            <w:vAlign w:val="bottom"/>
          </w:tcPr>
          <w:p>
            <w:pPr>
              <w:spacing w:after="0"/>
              <w:rPr>
                <w:sz w:val="5"/>
                <w:szCs w:val="5"/>
                <w:color w:val="auto"/>
              </w:rPr>
            </w:pPr>
          </w:p>
        </w:tc>
        <w:tc>
          <w:tcPr>
            <w:tcW w:w="17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Total number of</w:t>
            </w:r>
          </w:p>
        </w:tc>
        <w:tc>
          <w:tcPr>
            <w:tcW w:w="140" w:type="dxa"/>
            <w:vAlign w:val="bottom"/>
          </w:tcPr>
          <w:p>
            <w:pPr>
              <w:spacing w:after="0"/>
              <w:rPr>
                <w:sz w:val="5"/>
                <w:szCs w:val="5"/>
                <w:color w:val="auto"/>
              </w:rPr>
            </w:pPr>
          </w:p>
        </w:tc>
        <w:tc>
          <w:tcPr>
            <w:tcW w:w="13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Average price</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announced plans or</w:t>
            </w:r>
          </w:p>
        </w:tc>
        <w:tc>
          <w:tcPr>
            <w:tcW w:w="8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plans or programs</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shares purchased </w:t>
            </w:r>
            <w:r>
              <w:rPr>
                <w:rFonts w:ascii="Times New Roman" w:cs="Times New Roman" w:eastAsia="Times New Roman" w:hAnsi="Times New Roman"/>
                <w:sz w:val="20"/>
                <w:szCs w:val="20"/>
                <w:b w:val="1"/>
                <w:bCs w:val="1"/>
                <w:color w:val="auto"/>
                <w:vertAlign w:val="superscript"/>
              </w:rPr>
              <w:t>(1)</w:t>
            </w:r>
          </w:p>
        </w:tc>
        <w:tc>
          <w:tcPr>
            <w:tcW w:w="1480" w:type="dxa"/>
            <w:vAlign w:val="bottom"/>
            <w:gridSpan w:val="3"/>
          </w:tcPr>
          <w:p>
            <w:pPr>
              <w:jc w:val="center"/>
              <w:ind w:right="80"/>
              <w:spacing w:after="0" w:line="176" w:lineRule="exact"/>
              <w:rPr>
                <w:sz w:val="20"/>
                <w:szCs w:val="20"/>
                <w:color w:val="auto"/>
              </w:rPr>
            </w:pPr>
            <w:r>
              <w:rPr>
                <w:rFonts w:ascii="Times New Roman" w:cs="Times New Roman" w:eastAsia="Times New Roman" w:hAnsi="Times New Roman"/>
                <w:sz w:val="16"/>
                <w:szCs w:val="16"/>
                <w:b w:val="1"/>
                <w:bCs w:val="1"/>
                <w:color w:val="auto"/>
              </w:rPr>
              <w:t xml:space="preserve">paid per share </w:t>
            </w:r>
            <w:r>
              <w:rPr>
                <w:rFonts w:ascii="Times New Roman" w:cs="Times New Roman" w:eastAsia="Times New Roman" w:hAnsi="Times New Roman"/>
                <w:sz w:val="20"/>
                <w:szCs w:val="20"/>
                <w:b w:val="1"/>
                <w:bCs w:val="1"/>
                <w:color w:val="auto"/>
                <w:vertAlign w:val="superscript"/>
              </w:rPr>
              <w:t>(3)</w:t>
            </w:r>
          </w:p>
        </w:tc>
        <w:tc>
          <w:tcPr>
            <w:tcW w:w="1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programs</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jc w:val="right"/>
              <w:ind w:right="638"/>
              <w:spacing w:after="0"/>
              <w:rPr>
                <w:sz w:val="20"/>
                <w:szCs w:val="20"/>
                <w:color w:val="auto"/>
              </w:rPr>
            </w:pP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23"/>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through October 31, 2025</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203,829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27.39</w:t>
            </w:r>
          </w:p>
        </w:tc>
        <w:tc>
          <w:tcPr>
            <w:tcW w:w="8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178,266</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15,075,153</w:t>
            </w:r>
          </w:p>
        </w:tc>
        <w:tc>
          <w:tcPr>
            <w:tcW w:w="0" w:type="dxa"/>
            <w:vAlign w:val="bottom"/>
          </w:tcPr>
          <w:p>
            <w:pPr>
              <w:spacing w:after="0"/>
              <w:rPr>
                <w:sz w:val="1"/>
                <w:szCs w:val="1"/>
                <w:color w:val="auto"/>
              </w:rPr>
            </w:pPr>
          </w:p>
        </w:tc>
      </w:tr>
      <w:tr>
        <w:trPr>
          <w:trHeight w:val="22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through November 30, 2025</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122,324</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11,669,731</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through December 31, 2025</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8,861</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11,396,987</w:t>
            </w:r>
          </w:p>
        </w:tc>
        <w:tc>
          <w:tcPr>
            <w:tcW w:w="0" w:type="dxa"/>
            <w:vAlign w:val="bottom"/>
          </w:tcPr>
          <w:p>
            <w:pPr>
              <w:spacing w:after="0"/>
              <w:rPr>
                <w:sz w:val="1"/>
                <w:szCs w:val="1"/>
                <w:color w:val="auto"/>
              </w:rPr>
            </w:pPr>
          </w:p>
        </w:tc>
      </w:tr>
      <w:tr>
        <w:trPr>
          <w:trHeight w:val="223"/>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335,200</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27.64</w:t>
            </w:r>
          </w:p>
        </w:tc>
        <w:tc>
          <w:tcPr>
            <w:tcW w:w="8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309,451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ind w:firstLine="8"/>
        <w:spacing w:after="0" w:line="282" w:lineRule="auto"/>
        <w:tabs>
          <w:tab w:leader="none" w:pos="21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25,749 shares withheld for taxes related to the exercise or vesting of options and stock awards, as well as 309,451 shares repurchased pursuant to the share repurchase program described in Note (2).</w:t>
      </w:r>
    </w:p>
    <w:p>
      <w:pPr>
        <w:spacing w:after="0" w:line="175" w:lineRule="exact"/>
        <w:rPr>
          <w:rFonts w:ascii="Times New Roman" w:cs="Times New Roman" w:eastAsia="Times New Roman" w:hAnsi="Times New Roman"/>
          <w:sz w:val="14"/>
          <w:szCs w:val="14"/>
          <w:color w:val="auto"/>
        </w:rPr>
      </w:pPr>
    </w:p>
    <w:p>
      <w:pPr>
        <w:jc w:val="both"/>
        <w:ind w:firstLine="8"/>
        <w:spacing w:after="0" w:line="255" w:lineRule="auto"/>
        <w:tabs>
          <w:tab w:leader="none" w:pos="207"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March 10, 2025, our Board of Directors authorized a new share repurchase program that allows the Company to repurchase up to $40 million of its common stock (the "2025 Share Repurchase Program"). The authorization did not require us to acquire any specified number of shares and can be suspended or discontinued without prior notice. Under the 2025 Share Repurchase Program, $8.6 million of common stock was purchased during the quarter ended December 31, 2025. Shares repurchased under the 2025 Share Repurchase Program are returned to the Company's treasury stock.</w:t>
      </w:r>
    </w:p>
    <w:p>
      <w:pPr>
        <w:spacing w:after="0" w:line="206"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price paid per share includes costs associated with the repurchases but excludes the 1% excise tax on stock repurchases imposed by the Inflation Reduction Act of 2022.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2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[Reserved]</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is a discussion of our consolidated financial condition as of December 31, 2025, as compared to December 31, 2024, and our results of operations for the years ended December 31, 2025, December 31, 2024, and December 31, 2023. The purpose of this discussion is to focus on information about our financial condition and results of operations which is not otherwise apparent from our consolidated financial statements and is intended to provide insight into our results of operations and financial condition. This discussion and analysis is best read in conjunction with our consolidated financial statements and related notes as well as the financial and statistical data appearing elsewhere in this report. Historical results of operations and the percentage relationships among any amounts included, and any trends that may appear, may not indicate results of operations for any future periods.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discussion generally focuses on 2025 and 2024 results and year-to-year comparisons between 2025 and 2024. Discussions of 2023 results and year-to-year comparisons between 2024 and 2023 can be found in the Management's Discussion and Analysis located in Part II, Item 7 of our annual report on Form 10-K for the fiscal year ended December 31, 2024, filed with the SEC on March 6, 2025.</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historical information, this discussion includes certain forward-looking statements regarding business matters and events and trends that may affect our future results. For additional information regarding forward-looking statements and our related cautionary disclosures, see the “</w:t>
      </w:r>
      <w:r>
        <w:rPr>
          <w:rFonts w:ascii="Times New Roman" w:cs="Times New Roman" w:eastAsia="Times New Roman" w:hAnsi="Times New Roman"/>
          <w:sz w:val="18"/>
          <w:szCs w:val="18"/>
          <w:i w:val="1"/>
          <w:iCs w:val="1"/>
          <w:color w:val="auto"/>
        </w:rPr>
        <w:t>Cautionary Note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Regarding Forward-Looking Statements</w:t>
      </w:r>
      <w:r>
        <w:rPr>
          <w:rFonts w:ascii="Times New Roman" w:cs="Times New Roman" w:eastAsia="Times New Roman" w:hAnsi="Times New Roman"/>
          <w:sz w:val="18"/>
          <w:szCs w:val="18"/>
          <w:color w:val="auto"/>
        </w:rPr>
        <w:t>” beginning on page ii of this report.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this discussion, unless the context indicates otherwise, references to “we,” “us,” and “our” refer to the Company and the Bank. However, if the discussion relates to a period before the Effective Date of our Reorganization, the terms refer only to the Bank.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Amalgamated Financial Corp., a Delaware public benefit corporation was formed on August 25, 2020 to serve as the holding company for the Bank, which was formed in 1923 as Amalgamated Bank of New York by the Amalgamated Clothing Workers of America, one of the country’s oldest labor unions. On March 1, 2021, the Company acquired all of the outstanding stock of the Bank and the Bank became the sole subsidiary of the Company. Although we are no longer majority union-owned, The Amalgamated Clothing Workers of America’s successor, Workers United, an affiliate of the Service Employees International Union that represents workers in the textile, distribution, food service and gaming industries, remains a significant stockholder, holding approximately 38% of our equity as of December 31, 2025. As of December 31, 2025, our total assets were $8.87 billion, our total loans, net of deferred fees and allowance were $4.90 billion, our total deposits were $7.95 billion, and our stockholders' equity was $794.5 million. As of December 31, 2025, our trust business held $38.63 billion in assets under custody and $16.63 billion in assets under management.</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complete suite of commercial and retail banking, investment management and trust and custody services. Our commercial banking and trust businesses are national in scope and we also offer a full range of products and services to both commercial and retail customers through our three branch offices across New York City, one branch office in Washington, D.C., one branch office in San Francisco, one commercial office in Boston and our digital banking platform. Our corporate divisions include Commercial Banking, Trust and Investment Management and Consumer Banking. Product line includes residential mortgage loans C&amp;I loans, CRE loans, multifamily mortgages, consumer loans (predominantly residential solar) and a variety of commercial and consumer deposit products, including non-interest bearing accounts, interest-bearing demand products, savings accounts, money market accounts and certificates of deposit. We also offer online banking and bill payment services, online cash management, safe deposit box rentals, debit card and ATM card services and the availability of a nationwide network of ATMs for our customers.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offer a wide range of trust, custody, and investment management services, including asset safekeeping, corporate actions, income collections, proxy services, account transition, asset transfers, and conversion management. We also offer a broad range of investment products, including both index and actively-managed funds spanning equity, fixed-income, real estate and alternative investment strategies to meet the needs of our clients. Our products and services are tailored to our target customer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 that prefers a financial partner that is socially responsible, values-oriented and committed to creating positive change in the world. These customers include advocacy-based non-profits, social welfare organizations, national labor unions, political organizations, foundations, socially responsible businesses, and other for-profit companies that seek to ensure their profit-making activities align for the benefit of all their stakeholders.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are prepared based on the application of generally accepted accounting policies ("GAAP") in the United States, or GAAP, the most significant of which are described in Note 1 of our audited consolidated financial statements, starting on page 84 of this report. To prepare financial statements in conformity with GAAP, management makes estimates, assumptions and judgments based on available information. These estimates, assumptions and judgments affect the amounts reported in the financial statements and accompanying notes. These estimates, assumptions and judgments are based on information available as of the date of the financial statements and, as this information changes, actual results could differ from the estimates, assumptions and judgments reflected in the financial statements. In particular, management has identified accounting policies that, due to the estimates, assumptions and judgments inherent in those policies, are critical in understanding our financial statements. Management has presented the application of these policies to the Audit Committee of our Board of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the critical accounting policies and significant estimates that require us to make complex and subjective judgments.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information about these policies can be found in Note 1 of our consolidated financial statements, which begin on page 84 of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on loans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and expected recoveries do not exceed the aggregate of amounts previously charged-off and expected to be charged-off. Determining the appropriateness of the allowance is complex and requires judgment by management about the effect of inherently uncertain matters.</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described in Note 5 of the consolidated financial statements, the Company enhanced its allowance for credit loss ("ACL") calculation during 2025, which included a change in its ACL software vendor. The enhancement is intended to better align the estimation process with the nature and risk profile of the Company's loan portfolio, while enhancing operational efficiency and consistency in application. The enhancement did not have a material impact to the Company's financial statements. See Note 5 of our consolidated financial statements for additional information related to the change.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segments other than the consumer solar loan segment, we calculate the quantitative portion of the allowance for credit losses using the discounted cash flow methodology ("DCF") whereby the amortized cost basis of the loan is compared to the net present value of expected cash flows to be collected. For segments with reserves calculated under the DCF model, a peer group by segment is used to develop periodic default rates, and statistical regression is utilized to relate historical macro-economic variables to historical credit loss experience of that peer group of banks. The DCF model includes a four-quarter reasonable and supportable economic forecast period followed by a four-quarter straight-line reversion to historical loss rates. In addition, the model incorporates assumptions for curtailment rates and recovery lag periods in its calculation of quantitative allowance.</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consumer solar loan segment, the weighted average remaining maturity ("WARM") methodology calculates expected credit losses based on historical loss rates and forecasts those losses over the weighted average remaining maturity of the portfolio. The core assumption of the WARM methodology is based on use of internal loss data applied to a straight-line balance reduction, which aligns with the nature of repayment of these loans as well as the Company’s strategy of portfolio runoff.</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Adjustments to the quantitative results for both DCF and WARM models are made using qualitative factors. These factors include: (1) borrowers' financial condition; (2) borrowers' ability to pay; (3) nature and volume of financial assets; (4) value of the underlying collateral; (5) lending policies and procedures;</w:t>
      </w:r>
    </w:p>
    <w:p>
      <w:pPr>
        <w:spacing w:after="0" w:line="1" w:lineRule="exact"/>
        <w:rPr>
          <w:sz w:val="20"/>
          <w:szCs w:val="20"/>
          <w:color w:val="auto"/>
        </w:rPr>
      </w:pPr>
    </w:p>
    <w:p>
      <w:pPr>
        <w:jc w:val="both"/>
        <w:ind w:firstLine="8"/>
        <w:spacing w:after="0" w:line="239" w:lineRule="auto"/>
        <w:tabs>
          <w:tab w:leader="none" w:pos="2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the loan review system; (7) the experience, ability, and depth of staff; (8) regulatory and legal environment; (9) changes in market conditions; and (10) changes in economic conditions. Factors are weighted based on level of impact and assigned a risk rating that determine the amount of required qualitative reserves. The level of impact and risk ratings are evaluated each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jc w:val="both"/>
        <w:spacing w:after="0" w:line="241"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borrowers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21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assesses the sensitivity of key assumptions and economic forecasts utilized by the DCF model by segment at least annually by stressing assumptions and forecasts to understand the impact on the model. Key assumptions include peer groups per segment, macroeconomic variables used in our economic forecasts, and prepayment speeds. We apply benchmark rates for the prepayment and curtailment assumptions for statistical reference.</w:t>
      </w:r>
    </w:p>
    <w:p>
      <w:pPr>
        <w:spacing w:after="0" w:line="21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While management utilizes its best judgment and information available, the ultimate adequacy of our allowance is dependent upon a variety of factors beyond our control which are inherently difficult to predict, the most significant being the macroeconomic forecasts. As economic conditions can change, the anticipated amount of estimated loan defaults and losses, and therefore the adequacy of the allowance, could change significantly. Economic conditions more favorable than forecasted could lead to reductions in the amount of the allowance, and conversely conditions more adverse than forecasted could require increases in the amount of the allowance. The Company selects the economic forecast that is most reflective of expectations at that point in time, and changes could significantly impact the calculated estimated credit losses. To understand the impact of economic forecast changes on the ACL, we applied an adverse economic scenario to our DCF model. Consumer solar loans are not considered in this assessment as economic forecasts do not impact the WARM methodology. Compared to our December 31, 2025 baseline scenario, the adverse scenario assumes a 25 basis point lower GDP and a 18 basis point higher unemployment rate. This resulted in an increase in reserves by approximately 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Uncertainties Regarding the Estimate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Estimating the timing and amounts of future credit losses is subject to significant management judgment as these projected cash flows rely upon the estimates discussed within the Allowance for Credit Losses policy and factors that are reflective of current or future expected conditions. These estimates depend on the duration of current overall economic conditions, industry, borrower, or portfolio specific conditions. Volatility in certain credit metrics and differences between expected and actual outcomes are to be expected.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Customers may not repay their loans according to the original terms, and the collateral securing the payment of those loans may be insufficient to pay any remaining loan balance. Bank regulators periodically review our allowance for credit losses and may require us to increase our provision for credit losses or loan charge-offs.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Financial Condition and Results of Operations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assumptions prove to be incorrect, the allowance for credit losses may not be sufficient to cover expected losses in the loan portfolio, resulting in additions to the allowance. Future additions or reductions to the allowance may be necessary based on changes in economic, market or other conditions. Changes in estimates could result in a material change in the allowance through charges to earnings would materially decrease our net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experience significant credit losses if borrowers experience financial difficulties, which could have a material adverse effect on our operating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various regulatory agencies, as an integral part of the examination process, periodically review the allowance for credit losses. Such agencies may require the Company to recognize adjustments to the allowance based on their judgments of the information available to them at the time of their examination.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See Note 2 of our consolidated financial statements, which are included beginning on page 93 of this report for a discussion of recently issued accounting pronouncements that have been or will be adopted by us that will require enhanced disclosures in our financial statements in future periods.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Impact of Inflation and Changing Interest Rates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which requires us to measure financial position and operating results primarily in terms of historic dollars. Changes in the relative value of money due to inflation or recession generally are not considered. The primary effect of inflation on our operations is reflected in increased operating costs. Unlike most industrial companies, our assets and liabilities are primarily monetary in nature. Therefore, the effect of changes in interest rates will have a more significant effect on our performance than will the effect of changing prices and inflation in general. While interest rates are greatly influenced by changes in the inflation rate, they do not necessarily change at the same rate or in the same magnitude as the inflation rate. Interest rates are highly sensitive to many factors that are beyond our control, including changes in the expected rate of inflation, the influence of general and local economic conditions and the monetary and fiscal policies of the United States government, its agencies and various other governmental regulatory authorities. For more information about how we evaluate interest rate risk, please see the section entitled “</w:t>
      </w:r>
      <w:r>
        <w:rPr>
          <w:rFonts w:ascii="Times New Roman" w:cs="Times New Roman" w:eastAsia="Times New Roman" w:hAnsi="Times New Roman"/>
          <w:sz w:val="18"/>
          <w:szCs w:val="18"/>
          <w:i w:val="1"/>
          <w:iCs w:val="1"/>
          <w:color w:val="auto"/>
        </w:rPr>
        <w:t>Quantitative and Qualitative Disclosures about Market Risk – Evaluation of Interest Rate Risk</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results of operations depend substantially on net interest income, which is the difference between interest income on interest-earning assets, consisting primarily of interest income on loans, investment securities and other short-term investments and interest expense on interest-bearing liabilities, consisting primarily of interest expense on deposits and borrowings. Our results of operations are also dependent on non-interest income, consisting primarily of income from Trust Department fees, service charges on deposit accounts, net gains or losses on sales of investment securities and income from bank-owned life insurance (“BOLI”). Other factors contributing to our results of operations include our provisions for credit losses, income taxes, and non-interest expenses, such as salaries and employee benefits, occupancy and depreciation expenses, professional fees, data processing fees and other miscellaneous operating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for the year ended December 31, 2025 was $104.4 million, or $3.41 per average diluted share, compared to $106.4 million, or $3.44 per average diluted share, for the same period in 2024. The $2.0 million decrease was primarily due an increase in non-interest expense of $12.4 million, an increase in provision for credit losses of $6.0 million, and a decrease of non-interest income of $2.3 million, partially offset by net interest income which increased by $15.4 million and a decrease in income tax expense of $3.5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Interest Income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interest income, representing interest income less interest expense, is a significant contributor to our revenues and earnings. We generate interest income from interest, dividends and prepayment fees on interest-earning assets, including loans, investment securities and other short-term investments. We incur interest expense from interest paid on interest-bearing liabilities, including interest-bearing deposits, Federal Home Loan Bank of New York ("FHLBNY") advances, subordinated debt, and other borrowings. To evaluate net interest income, we measure and monitor (i) yields on our loans and other interest-earning assets, (ii) the costs of our deposits and other funding sources, (iii) our net interest spread and (iv) our net interest margin. Net interest spread is equal to the difference between rates earned on interest-earning assets and rates paid on interest-bearing liabilities. Net interest margin is equal to the annualized net interest income divided by average net interest-earning assets. Average balances were derived from average daily balances. Because non-interest-bearing sources of funds, such as non-interest-bearing deposits and stockholders’ equity, also fund interest-earning assets, net interest margin includes the benefit of these non-interest-bearing sources.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the market interest rates and interest rates we earn on interest-earning assets or pay on interest-bearing liabilities, as well as the volume and types of interest-earning assets, interest-bearing and non-interest-bearing liabilities, are usually the largest drivers of periodic changes in net interest spread, net interest margin and net interest income.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related to our average balance sheet, average yields on assets, and average costs of liabilities for the periods indicated: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6"/>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7"/>
        </w:trPr>
        <w:tc>
          <w:tcPr>
            <w:tcW w:w="2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1"/>
                <w:szCs w:val="11"/>
                <w:color w:val="auto"/>
              </w:rPr>
            </w:pPr>
          </w:p>
        </w:tc>
        <w:tc>
          <w:tcPr>
            <w:tcW w:w="780" w:type="dxa"/>
            <w:vAlign w:val="bottom"/>
          </w:tcPr>
          <w:p>
            <w:pPr>
              <w:jc w:val="right"/>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40"/>
              <w:spacing w:after="0" w:line="137" w:lineRule="exact"/>
              <w:rPr>
                <w:sz w:val="20"/>
                <w:szCs w:val="20"/>
                <w:color w:val="auto"/>
              </w:rPr>
            </w:pPr>
            <w:r>
              <w:rPr>
                <w:rFonts w:ascii="Times New Roman" w:cs="Times New Roman" w:eastAsia="Times New Roman" w:hAnsi="Times New Roman"/>
                <w:sz w:val="14"/>
                <w:szCs w:val="14"/>
                <w:b w:val="1"/>
                <w:bCs w:val="1"/>
                <w:color w:val="auto"/>
              </w:rPr>
              <w:t>Income /</w:t>
            </w:r>
          </w:p>
        </w:tc>
        <w:tc>
          <w:tcPr>
            <w:tcW w:w="7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Yield /</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Income /</w:t>
            </w:r>
          </w:p>
        </w:tc>
        <w:tc>
          <w:tcPr>
            <w:tcW w:w="780" w:type="dxa"/>
            <w:vAlign w:val="bottom"/>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Yield /</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jc w:val="right"/>
              <w:ind w:right="128"/>
              <w:spacing w:after="0" w:line="137"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20"/>
              <w:spacing w:after="0" w:line="137" w:lineRule="exact"/>
              <w:rPr>
                <w:sz w:val="20"/>
                <w:szCs w:val="20"/>
                <w:color w:val="auto"/>
              </w:rPr>
            </w:pPr>
            <w:r>
              <w:rPr>
                <w:rFonts w:ascii="Times New Roman" w:cs="Times New Roman" w:eastAsia="Times New Roman" w:hAnsi="Times New Roman"/>
                <w:sz w:val="14"/>
                <w:szCs w:val="14"/>
                <w:b w:val="1"/>
                <w:bCs w:val="1"/>
                <w:color w:val="auto"/>
              </w:rPr>
              <w:t>Income /</w:t>
            </w:r>
          </w:p>
        </w:tc>
        <w:tc>
          <w:tcPr>
            <w:tcW w:w="780" w:type="dxa"/>
            <w:vAlign w:val="bottom"/>
          </w:tcPr>
          <w:p>
            <w:pPr>
              <w:jc w:val="right"/>
              <w:ind w:right="108"/>
              <w:spacing w:after="0" w:line="137" w:lineRule="exact"/>
              <w:rPr>
                <w:sz w:val="20"/>
                <w:szCs w:val="20"/>
                <w:color w:val="auto"/>
              </w:rPr>
            </w:pPr>
            <w:r>
              <w:rPr>
                <w:rFonts w:ascii="Times New Roman" w:cs="Times New Roman" w:eastAsia="Times New Roman" w:hAnsi="Times New Roman"/>
                <w:sz w:val="14"/>
                <w:szCs w:val="14"/>
                <w:b w:val="1"/>
                <w:bCs w:val="1"/>
                <w:color w:val="auto"/>
              </w:rPr>
              <w:t>Yield /</w:t>
            </w:r>
          </w:p>
        </w:tc>
        <w:tc>
          <w:tcPr>
            <w:tcW w:w="0" w:type="dxa"/>
            <w:vAlign w:val="bottom"/>
          </w:tcPr>
          <w:p>
            <w:pPr>
              <w:spacing w:after="0"/>
              <w:rPr>
                <w:sz w:val="1"/>
                <w:szCs w:val="1"/>
                <w:color w:val="auto"/>
              </w:rPr>
            </w:pPr>
          </w:p>
        </w:tc>
      </w:tr>
      <w:tr>
        <w:trPr>
          <w:trHeight w:val="96"/>
        </w:trPr>
        <w:tc>
          <w:tcPr>
            <w:tcW w:w="27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160" w:type="dxa"/>
            <w:vAlign w:val="bottom"/>
          </w:tcPr>
          <w:p>
            <w:pPr>
              <w:spacing w:after="0"/>
              <w:rPr>
                <w:sz w:val="8"/>
                <w:szCs w:val="8"/>
                <w:color w:val="auto"/>
              </w:rPr>
            </w:pPr>
          </w:p>
        </w:tc>
        <w:tc>
          <w:tcPr>
            <w:tcW w:w="7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8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Rate</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8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99"/>
        </w:trPr>
        <w:tc>
          <w:tcPr>
            <w:tcW w:w="2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7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Interest-earning assets:</w:t>
            </w: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136,810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5,341</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176,830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142,053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Securities</w:t>
            </w:r>
            <w:r>
              <w:rPr>
                <w:rFonts w:ascii="Times New Roman" w:cs="Times New Roman" w:eastAsia="Times New Roman" w:hAnsi="Times New Roman"/>
                <w:sz w:val="18"/>
                <w:szCs w:val="18"/>
                <w:color w:val="auto"/>
                <w:vertAlign w:val="superscript"/>
              </w:rPr>
              <w:t>(1)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3,384,246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172,553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3,295,597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3,250,788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160,298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4.93 %</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51,554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3,719</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89,312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5,939</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6.89 %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Total loans </w:t>
            </w:r>
            <w:r>
              <w:rPr>
                <w:rFonts w:ascii="Times New Roman" w:cs="Times New Roman" w:eastAsia="Times New Roman" w:hAnsi="Times New Roman"/>
                <w:sz w:val="18"/>
                <w:szCs w:val="18"/>
                <w:color w:val="auto"/>
                <w:vertAlign w:val="superscript"/>
              </w:rPr>
              <w:t>(2)(3)</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4,720,351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240,616</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4,479,038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215,380</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4.81 %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4,259,195</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191,295</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4.49 %</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interest-earning assets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8,292,961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422,229</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8,040,777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401,296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7,662,269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358,077</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Non-interest-earning 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6,146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211,921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8,511,028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8,264,780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7,876,311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Interest-bearing liabilities:</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Savings, NOW and money market deposits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4,465,877</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114,209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3,699,972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99,362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2.69 %</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3,344,407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1.79 %</w:t>
            </w: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Time deposits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213,261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7,345</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210,599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7,706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167,167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3,452</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Brokered CDs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364,833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4.89 %</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deposits</w:t>
            </w: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4,679,138</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121,554</w:t>
            </w:r>
          </w:p>
        </w:tc>
        <w:tc>
          <w:tcPr>
            <w:tcW w:w="8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2.60 %</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4,032,606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113,461</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2.81 %</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3,876,407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81,124</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Borrowings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88,817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2,891</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3.26 %</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3.85 %</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350,039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15,642</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interest-bearing liabilities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4,767,955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124,445</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4,173,145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118,866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4,226,446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96,766</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2.29 %</w:t>
            </w: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Non-interest-bearing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Demand and transaction deposits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2,929,346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3,373,047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3,045,013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61,126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w:t>
            </w:r>
          </w:p>
        </w:tc>
        <w:tc>
          <w:tcPr>
            <w:tcW w:w="140" w:type="dxa"/>
            <w:vAlign w:val="bottom"/>
          </w:tcPr>
          <w:p>
            <w:pPr>
              <w:spacing w:after="0"/>
              <w:rPr>
                <w:sz w:val="16"/>
                <w:szCs w:val="16"/>
                <w:color w:val="auto"/>
              </w:rPr>
            </w:pPr>
          </w:p>
        </w:tc>
        <w:tc>
          <w:tcPr>
            <w:tcW w:w="7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7,758,427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7,615,437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7,345,229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752,601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649,343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531,082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8,511,028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8,264,780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7,876,311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interest income / interest rate spread</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297,784</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282,430</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261,311</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2.38 %</w:t>
            </w:r>
          </w:p>
        </w:tc>
        <w:tc>
          <w:tcPr>
            <w:tcW w:w="0" w:type="dxa"/>
            <w:vAlign w:val="bottom"/>
          </w:tcPr>
          <w:p>
            <w:pPr>
              <w:spacing w:after="0"/>
              <w:rPr>
                <w:sz w:val="1"/>
                <w:szCs w:val="1"/>
                <w:color w:val="auto"/>
              </w:rPr>
            </w:pPr>
          </w:p>
        </w:tc>
      </w:tr>
      <w:tr>
        <w:trPr>
          <w:trHeight w:val="146"/>
        </w:trPr>
        <w:tc>
          <w:tcPr>
            <w:tcW w:w="27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Net yield on interest-earning assets / net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3,525,006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3.59 %</w:t>
            </w:r>
          </w:p>
        </w:tc>
        <w:tc>
          <w:tcPr>
            <w:tcW w:w="10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3,867,632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3.51 %</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3,435,823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3.41 %</w:t>
            </w:r>
          </w:p>
        </w:tc>
        <w:tc>
          <w:tcPr>
            <w:tcW w:w="0" w:type="dxa"/>
            <w:vAlign w:val="bottom"/>
          </w:tcPr>
          <w:p>
            <w:pPr>
              <w:spacing w:after="0"/>
              <w:rPr>
                <w:sz w:val="1"/>
                <w:szCs w:val="1"/>
                <w:color w:val="auto"/>
              </w:rPr>
            </w:pPr>
          </w:p>
        </w:tc>
      </w:tr>
      <w:tr>
        <w:trPr>
          <w:trHeight w:val="19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margin</w:t>
            </w:r>
          </w:p>
        </w:tc>
        <w:tc>
          <w:tcPr>
            <w:tcW w:w="140" w:type="dxa"/>
            <w:vAlign w:val="bottom"/>
            <w:vMerge w:val="continue"/>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240" w:type="dxa"/>
            <w:vAlign w:val="bottom"/>
            <w:gridSpan w:val="2"/>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7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Cost of Deposits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1.17 %</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140" w:hanging="132"/>
        <w:spacing w:after="0"/>
        <w:tabs>
          <w:tab w:leader="none" w:pos="140" w:val="left"/>
        </w:tabs>
        <w:numPr>
          <w:ilvl w:val="0"/>
          <w:numId w:val="24"/>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FHLBNY stock in the average balance, and dividend income on FHLBNY stock in interest income.</w:t>
      </w:r>
    </w:p>
    <w:p>
      <w:pPr>
        <w:ind w:left="160" w:hanging="152"/>
        <w:spacing w:after="0"/>
        <w:tabs>
          <w:tab w:leader="none" w:pos="160" w:val="left"/>
        </w:tabs>
        <w:numPr>
          <w:ilvl w:val="0"/>
          <w:numId w:val="24"/>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Amounts are net of deferred origination fees and costs. With the adoption of the current expected credit losses ("CECL") standard on January 1, 2023, the average balance of the allowance for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credit losses on loans was reclassified for all presented periods to other assets to allow for comparability.</w:t>
      </w:r>
    </w:p>
    <w:p>
      <w:pPr>
        <w:spacing w:after="0" w:line="6" w:lineRule="exact"/>
        <w:rPr>
          <w:sz w:val="20"/>
          <w:szCs w:val="20"/>
          <w:color w:val="auto"/>
        </w:rPr>
      </w:pPr>
    </w:p>
    <w:p>
      <w:pPr>
        <w:ind w:left="140" w:hanging="132"/>
        <w:spacing w:after="0"/>
        <w:tabs>
          <w:tab w:leader="none" w:pos="140" w:val="left"/>
        </w:tabs>
        <w:numPr>
          <w:ilvl w:val="0"/>
          <w:numId w:val="2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Includes prepayment penalty income in 2025, 2024, and 2023 of $1.1 million, $0.1 million, and $0.1 million, respectively.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interest income was $297.8 million for the year ended December 31, 2025, compared to $282.4 million for the same period in 2024. The $15.4 million, or 5.4% increase was primarily attributable to an increase in yields earned on loans. These impacts are partially offset by an increase in interest expense and average balances of interest-bearing deposits.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interest spread was 2.48% for the year ended December 31, 2025, compared to 2.14% for the same period in 2024, an increase of 34 basis points. Our net interest margin was 3.59% for the year ended December 31, 2025, an increase of 8 basis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9" w:name="page60"/>
    <w:bookmarkEnd w:id="59"/>
    <w:p>
      <w:pPr>
        <w:jc w:val="both"/>
        <w:spacing w:after="0" w:line="282" w:lineRule="auto"/>
        <w:rPr>
          <w:sz w:val="20"/>
          <w:szCs w:val="20"/>
          <w:color w:val="auto"/>
        </w:rPr>
      </w:pPr>
      <w:r>
        <w:rPr>
          <w:rFonts w:ascii="Times New Roman" w:cs="Times New Roman" w:eastAsia="Times New Roman" w:hAnsi="Times New Roman"/>
          <w:sz w:val="18"/>
          <w:szCs w:val="18"/>
          <w:color w:val="auto"/>
        </w:rPr>
        <w:t>points from 3.51% in the same period in 2024. This was largely due to the continued loan growth, as well as increase in yields earned on loans outpacing the increase in the cost of deposits.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yield on average earning assets was 5.09% for the year ended December 31, 2025, compared to 4.99% for the same period in 2024, an increase of 10 basis points. This increase was driven primarily by an increase in average loan balances as well as loan yields.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average rate on interest-bearing liabilities was 2.61% for the year ended December 31, 2025, compared to 2.85% for the same period in 2024, a decrease of 24 basis points. This decrease was driven primarily by a decrease in market rates paid on deposits due to several cuts in the federal funds rate, and a decrease in brokered certificate of deposits, partially offset by an increase in average balance of deposits, particularly in savings, NOW, and money market deposits. Non-interest-bearing deposits represented 39% of average deposits for the year ended December 31, 2025, compared to 46% for the year ended December 31, 2024.</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Rate-Volume Analysis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Increases and decreases in interest income and interest expense result from changes in average balances (volume) of interest-earning assets and interest-bearing liabilities, as well as changes in weighted average interest rates. The table below presents the effect of volume and rate changes on interest income and expense. Changes in volume are changes in the average balance multiplied by the previous period’s average rate. Changes in rate are changes in the average rate multiplied by the average balance from the previous period. The net changes attributable to the combined impact of both rate and volume have been allocated proportionately to the changes due to volume and the changes due to rate:</w:t>
      </w:r>
    </w:p>
    <w:p>
      <w:pPr>
        <w:spacing w:after="0" w:line="212" w:lineRule="exact"/>
        <w:rPr>
          <w:sz w:val="20"/>
          <w:szCs w:val="20"/>
          <w:color w:val="auto"/>
        </w:rPr>
      </w:pPr>
    </w:p>
    <w:p>
      <w:pPr>
        <w:jc w:val="center"/>
        <w:ind w:left="308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3080"/>
        <w:spacing w:after="0"/>
        <w:rPr>
          <w:sz w:val="20"/>
          <w:szCs w:val="20"/>
          <w:color w:val="auto"/>
        </w:rPr>
      </w:pPr>
      <w:r>
        <w:rPr>
          <w:rFonts w:ascii="Times New Roman" w:cs="Times New Roman" w:eastAsia="Times New Roman" w:hAnsi="Times New Roman"/>
          <w:sz w:val="18"/>
          <w:szCs w:val="18"/>
          <w:b w:val="1"/>
          <w:bCs w:val="1"/>
          <w:color w:val="auto"/>
        </w:rPr>
        <w:t>December 31, 2025 over December 31, 2024</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36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Volume</w:t>
            </w:r>
          </w:p>
        </w:tc>
        <w:tc>
          <w:tcPr>
            <w:tcW w:w="18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gridSpan w:val="2"/>
          </w:tcPr>
          <w:p>
            <w:pPr>
              <w:jc w:val="center"/>
              <w:ind w:right="300"/>
              <w:spacing w:after="0" w:line="182" w:lineRule="exact"/>
              <w:rPr>
                <w:sz w:val="20"/>
                <w:szCs w:val="20"/>
                <w:color w:val="auto"/>
              </w:rPr>
            </w:pPr>
            <w:r>
              <w:rPr>
                <w:rFonts w:ascii="Times New Roman" w:cs="Times New Roman" w:eastAsia="Times New Roman" w:hAnsi="Times New Roman"/>
                <w:sz w:val="18"/>
                <w:szCs w:val="18"/>
                <w:b w:val="1"/>
                <w:bCs w:val="1"/>
                <w:color w:val="auto"/>
                <w:w w:val="99"/>
              </w:rPr>
              <w:t>Changes Due To</w:t>
            </w:r>
          </w:p>
        </w:tc>
        <w:tc>
          <w:tcPr>
            <w:tcW w:w="2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 Change</w:t>
            </w:r>
          </w:p>
        </w:tc>
        <w:tc>
          <w:tcPr>
            <w:tcW w:w="0" w:type="dxa"/>
            <w:vAlign w:val="bottom"/>
          </w:tcPr>
          <w:p>
            <w:pPr>
              <w:spacing w:after="0"/>
              <w:rPr>
                <w:sz w:val="1"/>
                <w:szCs w:val="1"/>
                <w:color w:val="auto"/>
              </w:rPr>
            </w:pPr>
          </w:p>
        </w:tc>
      </w:tr>
      <w:tr>
        <w:trPr>
          <w:trHeight w:val="243"/>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280" w:type="dxa"/>
            <w:vAlign w:val="bottom"/>
          </w:tcPr>
          <w:p>
            <w:pPr>
              <w:spacing w:after="0"/>
              <w:rPr>
                <w:sz w:val="21"/>
                <w:szCs w:val="21"/>
                <w:color w:val="auto"/>
              </w:rPr>
            </w:pPr>
          </w:p>
        </w:tc>
        <w:tc>
          <w:tcPr>
            <w:tcW w:w="15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Interest-earning assets:</w:t>
            </w:r>
          </w:p>
        </w:tc>
        <w:tc>
          <w:tcPr>
            <w:tcW w:w="36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Resell Agreements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loans, net</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25,236</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income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w:t>
            </w: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NOW and money market deposits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14,847</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0" w:type="dxa"/>
            <w:vAlign w:val="bottom"/>
          </w:tcPr>
          <w:p>
            <w:pPr>
              <w:spacing w:after="0"/>
              <w:rPr>
                <w:sz w:val="1"/>
                <w:szCs w:val="1"/>
                <w:color w:val="auto"/>
              </w:rPr>
            </w:pPr>
          </w:p>
        </w:tc>
      </w:tr>
      <w:tr>
        <w:trPr>
          <w:trHeight w:val="230"/>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Brokered CDs</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deposits</w:t>
            </w:r>
          </w:p>
        </w:tc>
        <w:tc>
          <w:tcPr>
            <w:tcW w:w="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8,093</w:t>
            </w:r>
          </w:p>
        </w:tc>
        <w:tc>
          <w:tcPr>
            <w:tcW w:w="0" w:type="dxa"/>
            <w:vAlign w:val="bottom"/>
          </w:tcPr>
          <w:p>
            <w:pPr>
              <w:spacing w:after="0"/>
              <w:rPr>
                <w:sz w:val="1"/>
                <w:szCs w:val="1"/>
                <w:color w:val="auto"/>
              </w:rPr>
            </w:pPr>
          </w:p>
        </w:tc>
      </w:tr>
      <w:tr>
        <w:trPr>
          <w:trHeight w:val="23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0" w:type="dxa"/>
            <w:vAlign w:val="bottom"/>
          </w:tcPr>
          <w:p>
            <w:pPr>
              <w:spacing w:after="0"/>
              <w:rPr>
                <w:sz w:val="1"/>
                <w:szCs w:val="1"/>
                <w:color w:val="auto"/>
              </w:rPr>
            </w:pPr>
          </w:p>
        </w:tc>
      </w:tr>
      <w:tr>
        <w:trPr>
          <w:trHeight w:val="223"/>
        </w:trPr>
        <w:tc>
          <w:tcPr>
            <w:tcW w:w="4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interest expense</w:t>
            </w:r>
          </w:p>
        </w:tc>
        <w:tc>
          <w:tcPr>
            <w:tcW w:w="3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0" w:type="dxa"/>
            <w:vAlign w:val="bottom"/>
          </w:tcPr>
          <w:p>
            <w:pPr>
              <w:spacing w:after="0"/>
              <w:rPr>
                <w:sz w:val="1"/>
                <w:szCs w:val="1"/>
                <w:color w:val="auto"/>
              </w:rPr>
            </w:pPr>
          </w:p>
        </w:tc>
      </w:tr>
      <w:tr>
        <w:trPr>
          <w:trHeight w:val="270"/>
        </w:trPr>
        <w:tc>
          <w:tcPr>
            <w:tcW w:w="43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4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net interest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Credit Losses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establish an allowance for credit losses through a provision for credit losses charged as an expense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0" w:name="page61"/>
    <w:bookmarkEnd w:id="60"/>
    <w:p>
      <w:pPr>
        <w:jc w:val="both"/>
        <w:spacing w:after="0" w:line="254" w:lineRule="auto"/>
        <w:rPr>
          <w:sz w:val="20"/>
          <w:szCs w:val="20"/>
          <w:color w:val="auto"/>
        </w:rPr>
      </w:pPr>
      <w:r>
        <w:rPr>
          <w:rFonts w:ascii="Times New Roman" w:cs="Times New Roman" w:eastAsia="Times New Roman" w:hAnsi="Times New Roman"/>
          <w:sz w:val="18"/>
          <w:szCs w:val="18"/>
          <w:color w:val="auto"/>
        </w:rPr>
        <w:t>Provision for credit losses totaled an expense of $16.3 million for the year ended December 31, 2025, compared to an expense of $10.3 million for the same period in 2024. For the year ended December 31, 2025, the provision for credit losses on loans totaled $17.6 million, the provision for credit losses on securities totaled $39.6 thousand, and the provision for credit losses on off-balance sheet credit exposures was a release of reserves of $1.4 million. For the year ended December 31, 2024, the provision for credit losses on loans totaled $10.4 million, the provision for credit losses on securities totaled $18.8 thousand, and the provision for credit losses on off-balance sheet credit exposures was a release of reserves of $50.0 thousand. Overall, the provision expense on loans was primarily driven by charge-offs on consumer solar and business banking portfolios, a charge-off for one syndicated commercial and industrial loan in connection with a note sale, a charge-off for one multi-family loan in connection with a transfer to held-for-sale, and increases in specific reserves, partially offset by release of reserves in the one-to-four family residential real estate and consumer solar loan portfolios as a result of the Company's portfolio runoff strategy.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further discussion of the allowance, see “</w:t>
      </w:r>
      <w:r>
        <w:rPr>
          <w:rFonts w:ascii="Times New Roman" w:cs="Times New Roman" w:eastAsia="Times New Roman" w:hAnsi="Times New Roman"/>
          <w:sz w:val="18"/>
          <w:szCs w:val="18"/>
          <w:i w:val="1"/>
          <w:iCs w:val="1"/>
          <w:color w:val="auto"/>
        </w:rPr>
        <w:t>Allowance for Credit Losses</w:t>
      </w:r>
      <w:r>
        <w:rPr>
          <w:rFonts w:ascii="Times New Roman" w:cs="Times New Roman" w:eastAsia="Times New Roman" w:hAnsi="Times New Roman"/>
          <w:sz w:val="18"/>
          <w:szCs w:val="18"/>
          <w:color w:val="auto"/>
        </w:rPr>
        <w:t>” below.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non-interest income includes Trust Department fees, which consist of fees received in connection with investment advisory and custodial management services of investment accounts, service fees charged on deposit accounts, income on BOLI, gain or loss on sales of securities, sales of loans, and other real estate owned, income from equity method investments, and other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our non-interest income for the periods indicated:</w:t>
            </w: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70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7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c>
          <w:tcPr>
            <w:tcW w:w="0" w:type="dxa"/>
            <w:vAlign w:val="bottom"/>
          </w:tcPr>
          <w:p>
            <w:pPr>
              <w:spacing w:after="0"/>
              <w:rPr>
                <w:sz w:val="1"/>
                <w:szCs w:val="1"/>
                <w:color w:val="auto"/>
              </w:rPr>
            </w:pPr>
          </w:p>
        </w:tc>
      </w:tr>
      <w:tr>
        <w:trPr>
          <w:trHeight w:val="230"/>
        </w:trPr>
        <w:tc>
          <w:tcPr>
            <w:tcW w:w="5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10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 and other assets, net</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175"/>
        </w:trPr>
        <w:tc>
          <w:tcPr>
            <w:tcW w:w="5700" w:type="dxa"/>
            <w:vAlign w:val="bottom"/>
          </w:tcPr>
          <w:p>
            <w:pPr>
              <w:ind w:left="180"/>
              <w:spacing w:after="0" w:line="176" w:lineRule="exact"/>
              <w:rPr>
                <w:sz w:val="20"/>
                <w:szCs w:val="20"/>
                <w:color w:val="auto"/>
              </w:rPr>
            </w:pPr>
            <w:r>
              <w:rPr>
                <w:rFonts w:ascii="Times New Roman" w:cs="Times New Roman" w:eastAsia="Times New Roman" w:hAnsi="Times New Roman"/>
                <w:sz w:val="18"/>
                <w:szCs w:val="18"/>
                <w:color w:val="auto"/>
              </w:rPr>
              <w:t>Gain (loss) on sale of loans and changes in fair value on loans held-for-sale,</w:t>
            </w:r>
          </w:p>
        </w:tc>
        <w:tc>
          <w:tcPr>
            <w:tcW w:w="10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10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income was $30.9 million for the year ended December 31, 2025, compared to $33.2 million for the same period in 2024, a decrease of $2.3 million. The decrease of $2.3 million was primarily due to a $14.8 million decrease in service charges on deposit accounts primarily due to decreases in IntraFi Insured Cash Sweep network ("ICS") One-Way Sell income, offset by a $6.3 million decrease in losses on the sale of securities, and a $5.5 million decrease in losses on sale of loans and change in fair value on loans held-for-sale.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Service charges on deposit accounts includes service charges income generated from our retail deposit business, which includes a custodial deposit transference structure through the ICS for certain deposit programs whereby we, acting as custodian of account holder funds, place a portion of such account holder funds that are not needed to support near term settlement at one or more third-party banks insured by the FDIC (each, a "Program Bank"). Accounts opened at Program Banks are established in our name as custodian, for the benefit of our account holders. We remain the issuer of all accounts under the applicable account holder agreements and have sole custodial control and transaction authority over the accounts opened at Program Banks. We maintain the records of each account holder's deposits maintained at Program Banks. In return for record keeping services at Program Banks, the Company receives a servicing charge. For the fiscal year ended December 31, 2025, the Company recognized $2.4 million in servicing charge income attributable to our off-balance sheet deposit strategy, compared to $17.2 million for the year ended December 31, 2024.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 Department fees consist of fees we receive in connection with our investment advisory and custodial management services of investment accounts.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Trust Department fees were $16.2 million in the year ended December 31, 2025, an increase of $1.0 million, or 6.6%, from same period in 2024.</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Equity method investments income consists of income from solar tax equity investments. For equity method investments not compliant with ASU 2023-02, Investments - Equity Method and Joint Ventures (Topic 323) - Accounting for Investments in Tax</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18"/>
          <w:szCs w:val="18"/>
          <w:color w:val="auto"/>
        </w:rPr>
        <w:t>Credit Structures Using the Proportional Amortization Method. the recognition of tax credits upon initial investment, which is considered income from these investments, is volatile before achieving steady state. In the early stages of the investment, accelerated depreciation of the value of the investment creates net losses, after which steady state income is achieved, generally within four quarters of the initial investment. Equity method investments loss was $1.7 million in the year ended December 31, 2025, compared to a loss of $0.8 million for the same period in 2024. During the year ended December 31, 2025, the Bank invested in a solar tax equity investment that was compliant with ASU 2023-02. The tax credits from this equity investment are recognized as benefits in the tax provision line.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 Expense</w:t>
            </w: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32"/>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non-interest expense for the periods indicated:</w:t>
            </w: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8"/>
        </w:trPr>
        <w:tc>
          <w:tcPr>
            <w:tcW w:w="5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41"/>
        </w:trPr>
        <w:tc>
          <w:tcPr>
            <w:tcW w:w="57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25"/>
        </w:trPr>
        <w:tc>
          <w:tcPr>
            <w:tcW w:w="57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2023</w:t>
            </w:r>
          </w:p>
        </w:tc>
      </w:tr>
      <w:tr>
        <w:trPr>
          <w:trHeight w:val="223"/>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85,774</w:t>
            </w:r>
          </w:p>
        </w:tc>
      </w:tr>
      <w:tr>
        <w:trPr>
          <w:trHeight w:val="22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w:t>
            </w:r>
          </w:p>
        </w:tc>
      </w:tr>
      <w:tr>
        <w:trPr>
          <w:trHeight w:val="229"/>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r>
      <w:tr>
        <w:trPr>
          <w:trHeight w:val="230"/>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17,744</w:t>
            </w:r>
          </w:p>
        </w:tc>
      </w:tr>
      <w:tr>
        <w:trPr>
          <w:trHeight w:val="229"/>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2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0"/>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29"/>
        </w:trPr>
        <w:tc>
          <w:tcPr>
            <w:tcW w:w="5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10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30"/>
        </w:trPr>
        <w:tc>
          <w:tcPr>
            <w:tcW w:w="57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r>
      <w:tr>
        <w:trPr>
          <w:trHeight w:val="223"/>
        </w:trPr>
        <w:tc>
          <w:tcPr>
            <w:tcW w:w="5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08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172,246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159,772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151,247</w:t>
            </w:r>
          </w:p>
        </w:tc>
      </w:tr>
      <w:tr>
        <w:trPr>
          <w:trHeight w:val="21"/>
        </w:trPr>
        <w:tc>
          <w:tcPr>
            <w:tcW w:w="5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Non-interest expense for the year ended December 31, 2025 was $172.2 million, an increase of $12.5 million from $159.8 million for the year ended December 31, 2024. The increase was primarily due to an $4.8 million increase in compensation expense due to increased headcount, corporate incentive payments, and temporary personnel costs, a $4.3 million increase in professional fees, and a $4.3 million increase in technology expense, offset by a $1.4 million decrease in advertising and promotion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Provision for income tax expense was $35.7 million for the year ended December 31, 2025, compared to $39.2 million for the same period in 2024. Our effective tax rate was 25.5% for the year ended December 31, 2025, compared to 26.9% for the same period in 2024. The decrease in the effective tax rate was primarily driven by the recognition of a tax credit from a tax equity investment in compliance with ASU 2023-02 during the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were $8.87 billion at December 31, 2025, compared to $8.26 billion at December 31, 2024. Notable changes within individual balance sheet line items include a $768.6 million increase in total deposits, a $286.8 million increase in loans receivable, a $230.5 million increase in cash and equivalents, a $122.3 million increase in investment securities, a $24.9 million increase in resell agreements, and a $244.9 million decrease in borrowings.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primary goal of our securities portfolio is to maintain an available source of liquidity and an efficient investment return on excess capital, while maintaining a low-risk profile. We also use our securities portfolio to manage interest rate risk, meet Community Reinvestment Act (“CRA”) goals, support the Company's mission, and to provide collateral for certain types of deposits or borrowings. An Investment Committee, chaired by our Chief Financial Officer, manages our investment securities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62" w:name="page63"/>
    <w:bookmarkEnd w:id="62"/>
    <w:p>
      <w:pPr>
        <w:jc w:val="both"/>
        <w:spacing w:after="0" w:line="282" w:lineRule="auto"/>
        <w:rPr>
          <w:sz w:val="20"/>
          <w:szCs w:val="20"/>
          <w:color w:val="auto"/>
        </w:rPr>
      </w:pPr>
      <w:r>
        <w:rPr>
          <w:rFonts w:ascii="Times New Roman" w:cs="Times New Roman" w:eastAsia="Times New Roman" w:hAnsi="Times New Roman"/>
          <w:sz w:val="18"/>
          <w:szCs w:val="18"/>
          <w:color w:val="auto"/>
        </w:rPr>
        <w:t>portfolio according to written investment policies approved by our Board of Directors. Investments in our securities portfolio may change over time based on management’s objectives and market conditions.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minimize credit risk in our securities portfolio through diversification, concentration limits, restrictions on high risk investments (such as subordinated positions), comprehensive pre-purchase analysis and stress testing, ongoing monitoring and by investing a significant portion of our securities portfolio in U.S. Government sponsored entity (“GSE”) obligations. GSEs include the Federal Home Loan Mortgage Corporation (“FHLMC”), the Federal National Mortgage Association (“FNMA”), the Government National Mortgage Association (“GNMA”) and the Small Business Administration (“SBA”). GNMA is a wholly-owned U.S. Government corporation whereas FHLMC and FNMA are private. Mortgage-related securities may include mortgage pass-through certificates, participation certificates and collateralized mortgage obligations (“CMOs”). We invest in non-GSE securities, including property assessed clean energy ("PACE") assessments, in order to generate higher returns, improve portfolio diversification and reduce interest rate and prepayment risk. With the exception of small legacy CRA investments, Trust Preferred securities, and certain corporate bonds, all of our non-GSE securities are senior positions that are the top of the capital structure.</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investment securities portfolio consists of securities classified as available for sale and held-to-maturity. There were no trading securities in our investment portfolio at December 31, 2025 or at December 31, 2024. All available for sale securities are carried at fair value and may be used for liquidity purposes should management consider it to be in our best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December 31, 2024, we had available for sale securities of $1.78 billion and $1.63 billion, respectively.</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December 31, 2025, our held-to-maturity securities portfolio primarily consisted of PACE assessments, tax-exempt municipal securities, GSE commercial and residential certificates and other debt. We carry these securities at amortized cost. We had held-to-maturity securities of $1.55 billion at December 31, 2025, and $1.59 billion at December 31,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measures expected credit losses on held-to-maturity debt securities on a collective basis by major security type. Accrued interest receivable on held-to-maturity debt securities totaled $29.8 million at December 31, 2025 and $27.0 million at December 31, 2024, and is excluded from the estimate of credit losses, as accrued interest receivable is reversed for securities placed on nonaccrual status. The allowance for credit losses for held-to-maturity securities at December 31, 2025 was $0.7 million compared to $0.7 million at December 31, 2024. The provision for credit losses for held-to-maturity securities was an expense of $39.6 thousand for the year December 31, 2025 compared to a recovery of $18.8 thousand at December 31, 2024.</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available-for-sale debt securities in an unrealized loss position, the Company first assesses whether it intends to sell, or it is more likely than not that it will be required to sell the security before the recovery of its amortized cost basis. If either of the criteria regarding intent or requirement to sell is met, the security's amortized cost basis is written down to fair value through income. For debt securities available-for-sale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an expected credit loss exists, the present value of cash flows expected to be collected from the security are compared to the amortized cost basis of the security. If the present value of cash flows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the allowance for credit losses are recorded as credit loss expense (or reversal). Losses are charged against the allowance when management believes the uncollectibility of an available-for-sale security is confirmed or when either of the criteria regarding intent or requirement to sell is met.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available for sale debt securities totaled $11.8 million at December 31, 2025, and $11.7 million at December 31, 2024, and is excluded from the estimate of credit losses, as accrued interest receivable is reversed for securities placed on nonaccrual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3" w:name="page64"/>
    <w:bookmarkEnd w:id="63"/>
    <w:p>
      <w:pPr>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investment portfolio, using market value for available for sale securities and amortized cost for held-to-maturity securities, as of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Pr>
          <w:p>
            <w:pPr>
              <w:spacing w:after="0"/>
              <w:rPr>
                <w:sz w:val="20"/>
                <w:szCs w:val="20"/>
                <w:color w:val="auto"/>
              </w:rPr>
            </w:pPr>
          </w:p>
        </w:tc>
        <w:tc>
          <w:tcPr>
            <w:tcW w:w="27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Pr>
          <w:p>
            <w:pPr>
              <w:spacing w:after="0"/>
              <w:rPr>
                <w:sz w:val="20"/>
                <w:szCs w:val="20"/>
                <w:color w:val="auto"/>
              </w:rPr>
            </w:pPr>
          </w:p>
        </w:tc>
        <w:tc>
          <w:tcPr>
            <w:tcW w:w="226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60" w:type="dxa"/>
            <w:vAlign w:val="bottom"/>
            <w:tcBorders>
              <w:top w:val="single" w:sz="8" w:color="auto"/>
            </w:tcBorders>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 of</w:t>
            </w:r>
          </w:p>
        </w:tc>
        <w:tc>
          <w:tcPr>
            <w:tcW w:w="0" w:type="dxa"/>
            <w:vAlign w:val="bottom"/>
          </w:tcPr>
          <w:p>
            <w:pPr>
              <w:spacing w:after="0"/>
              <w:rPr>
                <w:sz w:val="1"/>
                <w:szCs w:val="1"/>
                <w:color w:val="auto"/>
              </w:rPr>
            </w:pPr>
          </w:p>
        </w:tc>
      </w:tr>
      <w:tr>
        <w:trPr>
          <w:trHeight w:val="149"/>
        </w:trPr>
        <w:tc>
          <w:tcPr>
            <w:tcW w:w="2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5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0" w:type="dxa"/>
            <w:vAlign w:val="bottom"/>
          </w:tcPr>
          <w:p>
            <w:pPr>
              <w:spacing w:after="0"/>
              <w:rPr>
                <w:sz w:val="1"/>
                <w:szCs w:val="1"/>
                <w:color w:val="auto"/>
              </w:rPr>
            </w:pPr>
          </w:p>
        </w:tc>
      </w:tr>
      <w:tr>
        <w:trPr>
          <w:trHeight w:val="90"/>
        </w:trPr>
        <w:tc>
          <w:tcPr>
            <w:tcW w:w="2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567,070</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480,615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15.1 %</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196,860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629,168</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627,635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120,741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57"/>
        </w:trPr>
        <w:tc>
          <w:tcPr>
            <w:tcW w:w="28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1,783,551</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1,483,042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46.6 %</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184,690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194,329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29"/>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79,406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279,916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64,083</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66,635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258,306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29"/>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750,033</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818,963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8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held-to-maturity</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1,554,759</w:t>
            </w:r>
          </w:p>
        </w:tc>
        <w:tc>
          <w:tcPr>
            <w:tcW w:w="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49.3 %</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1,697,555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53.4 %</w:t>
            </w:r>
          </w:p>
        </w:tc>
        <w:tc>
          <w:tcPr>
            <w:tcW w:w="0" w:type="dxa"/>
            <w:vAlign w:val="bottom"/>
          </w:tcPr>
          <w:p>
            <w:pPr>
              <w:spacing w:after="0"/>
              <w:rPr>
                <w:sz w:val="1"/>
                <w:szCs w:val="1"/>
                <w:color w:val="auto"/>
              </w:rPr>
            </w:pPr>
          </w:p>
        </w:tc>
      </w:tr>
      <w:tr>
        <w:trPr>
          <w:trHeight w:val="257"/>
        </w:trPr>
        <w:tc>
          <w:tcPr>
            <w:tcW w:w="28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2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3,338,310</w:t>
            </w:r>
          </w:p>
        </w:tc>
        <w:tc>
          <w:tcPr>
            <w:tcW w:w="8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3,215,967</w:t>
            </w:r>
          </w:p>
        </w:tc>
        <w:tc>
          <w:tcPr>
            <w:tcW w:w="100" w:type="dxa"/>
            <w:vAlign w:val="bottom"/>
            <w:tcBorders>
              <w:bottom w:val="single" w:sz="8" w:color="CCEEFF"/>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3,180,597</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The following table shows contractual maturities and yields for the available for sale and held-to-maturity securities portfolios: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58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b w:val="1"/>
                <w:bCs w:val="1"/>
                <w:color w:val="auto"/>
                <w:w w:val="99"/>
              </w:rPr>
              <w:t>Contractual Maturity as of December 31, 2025</w:t>
            </w:r>
          </w:p>
        </w:tc>
        <w:tc>
          <w:tcPr>
            <w:tcW w:w="32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One Year or Less</w:t>
            </w:r>
          </w:p>
        </w:tc>
        <w:tc>
          <w:tcPr>
            <w:tcW w:w="120" w:type="dxa"/>
            <w:vAlign w:val="bottom"/>
          </w:tcPr>
          <w:p>
            <w:pPr>
              <w:spacing w:after="0"/>
              <w:rPr>
                <w:sz w:val="21"/>
                <w:szCs w:val="21"/>
                <w:color w:val="auto"/>
              </w:rPr>
            </w:pPr>
          </w:p>
        </w:tc>
        <w:tc>
          <w:tcPr>
            <w:tcW w:w="220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One to Five Years</w:t>
            </w:r>
          </w:p>
        </w:tc>
        <w:tc>
          <w:tcPr>
            <w:tcW w:w="120" w:type="dxa"/>
            <w:vAlign w:val="bottom"/>
          </w:tcPr>
          <w:p>
            <w:pPr>
              <w:spacing w:after="0"/>
              <w:rPr>
                <w:sz w:val="21"/>
                <w:szCs w:val="21"/>
                <w:color w:val="auto"/>
              </w:rPr>
            </w:pPr>
          </w:p>
        </w:tc>
        <w:tc>
          <w:tcPr>
            <w:tcW w:w="220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Five to Ten Years</w:t>
            </w:r>
          </w:p>
        </w:tc>
        <w:tc>
          <w:tcPr>
            <w:tcW w:w="140" w:type="dxa"/>
            <w:vAlign w:val="bottom"/>
          </w:tcPr>
          <w:p>
            <w:pPr>
              <w:spacing w:after="0"/>
              <w:rPr>
                <w:sz w:val="21"/>
                <w:szCs w:val="21"/>
                <w:color w:val="auto"/>
              </w:rPr>
            </w:pPr>
          </w:p>
        </w:tc>
        <w:tc>
          <w:tcPr>
            <w:tcW w:w="214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Due after Ten Years</w:t>
            </w: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8"/>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Amortized</w:t>
            </w:r>
          </w:p>
        </w:tc>
        <w:tc>
          <w:tcPr>
            <w:tcW w:w="10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160" w:type="dxa"/>
            <w:vAlign w:val="bottom"/>
            <w:gridSpan w:val="3"/>
            <w:vMerge w:val="restart"/>
          </w:tcPr>
          <w:p>
            <w:pPr>
              <w:jc w:val="center"/>
              <w:ind w:right="8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180" w:type="dxa"/>
            <w:vAlign w:val="bottom"/>
            <w:gridSpan w:val="2"/>
            <w:vMerge w:val="restart"/>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060" w:type="dxa"/>
            <w:vAlign w:val="bottom"/>
            <w:vMerge w:val="restart"/>
          </w:tcPr>
          <w:p>
            <w:pPr>
              <w:jc w:val="center"/>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100"/>
        </w:trPr>
        <w:tc>
          <w:tcPr>
            <w:tcW w:w="1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rPr>
              <w:t>Cost</w:t>
            </w:r>
          </w:p>
        </w:tc>
        <w:tc>
          <w:tcPr>
            <w:tcW w:w="11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color w:val="auto"/>
                <w:w w:val="96"/>
              </w:rPr>
              <w:t>Cost</w:t>
            </w:r>
          </w:p>
        </w:tc>
        <w:tc>
          <w:tcPr>
            <w:tcW w:w="11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Cost</w:t>
            </w: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160" w:type="dxa"/>
            <w:vAlign w:val="bottom"/>
            <w:gridSpan w:val="3"/>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180" w:type="dxa"/>
            <w:vAlign w:val="bottom"/>
            <w:gridSpan w:val="2"/>
            <w:vMerge w:val="restart"/>
          </w:tcPr>
          <w:p>
            <w:pPr>
              <w:jc w:val="center"/>
              <w:ind w:right="120"/>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12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180" w:type="dxa"/>
            <w:vAlign w:val="bottom"/>
            <w:gridSpan w:val="2"/>
            <w:vMerge w:val="restart"/>
          </w:tcPr>
          <w:p>
            <w:pPr>
              <w:jc w:val="center"/>
              <w:ind w:right="100"/>
              <w:spacing w:after="0" w:line="237" w:lineRule="exact"/>
              <w:rPr>
                <w:sz w:val="20"/>
                <w:szCs w:val="20"/>
                <w:color w:val="auto"/>
              </w:rPr>
            </w:pPr>
            <w:r>
              <w:rPr>
                <w:rFonts w:ascii="Times New Roman" w:cs="Times New Roman" w:eastAsia="Times New Roman" w:hAnsi="Times New Roman"/>
                <w:sz w:val="18"/>
                <w:szCs w:val="18"/>
                <w:color w:val="auto"/>
                <w:w w:val="89"/>
              </w:rPr>
              <w:t xml:space="preserve">Yield </w:t>
            </w:r>
            <w:r>
              <w:rPr>
                <w:rFonts w:ascii="Times New Roman" w:cs="Times New Roman" w:eastAsia="Times New Roman" w:hAnsi="Times New Roman"/>
                <w:sz w:val="23"/>
                <w:szCs w:val="23"/>
                <w:color w:val="auto"/>
                <w:w w:val="89"/>
                <w:vertAlign w:val="superscript"/>
              </w:rPr>
              <w:t>(1)</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6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18"/>
                <w:szCs w:val="18"/>
                <w:color w:val="auto"/>
                <w:w w:val="92"/>
              </w:rPr>
              <w:t xml:space="preserve">Yield </w:t>
            </w:r>
            <w:r>
              <w:rPr>
                <w:rFonts w:ascii="Times New Roman" w:cs="Times New Roman" w:eastAsia="Times New Roman" w:hAnsi="Times New Roman"/>
                <w:sz w:val="23"/>
                <w:szCs w:val="23"/>
                <w:color w:val="auto"/>
                <w:w w:val="92"/>
                <w:vertAlign w:val="superscript"/>
              </w:rPr>
              <w:t>(1)</w:t>
            </w:r>
          </w:p>
        </w:tc>
        <w:tc>
          <w:tcPr>
            <w:tcW w:w="0" w:type="dxa"/>
            <w:vAlign w:val="bottom"/>
          </w:tcPr>
          <w:p>
            <w:pPr>
              <w:spacing w:after="0"/>
              <w:rPr>
                <w:sz w:val="1"/>
                <w:szCs w:val="1"/>
                <w:color w:val="auto"/>
              </w:rPr>
            </w:pPr>
          </w:p>
        </w:tc>
      </w:tr>
      <w:tr>
        <w:trPr>
          <w:trHeight w:val="103"/>
        </w:trPr>
        <w:tc>
          <w:tcPr>
            <w:tcW w:w="19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GSE certificates &amp;</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89,027</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471,055</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260,037</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93,109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529,945</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67,001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14,990</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57"/>
        </w:trPr>
        <w:tc>
          <w:tcPr>
            <w:tcW w:w="1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8,878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188,315</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57"/>
        </w:trPr>
        <w:tc>
          <w:tcPr>
            <w:tcW w:w="1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GSE certificates &amp;</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14,348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25,540</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144,802</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175"/>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Non-GSE certificates &amp;</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CMOs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55,151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100,869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Municipal</w:t>
            </w: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13,046</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41,558</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9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Commercial PACE</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tcPr>
          <w:p>
            <w:pPr>
              <w:spacing w:after="0"/>
              <w:rPr>
                <w:sz w:val="21"/>
                <w:szCs w:val="21"/>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322,117</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assessments</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30,285</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710,040</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0" w:type="dxa"/>
            <w:vAlign w:val="bottom"/>
          </w:tcPr>
          <w:p>
            <w:pPr>
              <w:spacing w:after="0"/>
              <w:rPr>
                <w:sz w:val="1"/>
                <w:szCs w:val="1"/>
                <w:color w:val="auto"/>
              </w:rPr>
            </w:pPr>
          </w:p>
        </w:tc>
      </w:tr>
      <w:tr>
        <w:trPr>
          <w:trHeight w:val="256"/>
        </w:trPr>
        <w:tc>
          <w:tcPr>
            <w:tcW w:w="19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securities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18,341</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108,898</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390,655</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2,852,926</w:t>
            </w:r>
          </w:p>
        </w:tc>
        <w:tc>
          <w:tcPr>
            <w:tcW w:w="1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ind w:left="160" w:hanging="152"/>
        <w:spacing w:after="0"/>
        <w:tabs>
          <w:tab w:leader="none" w:pos="160" w:val="left"/>
        </w:tabs>
        <w:numPr>
          <w:ilvl w:val="0"/>
          <w:numId w:val="2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Estimated yield based on book price (amortized cost divided by par) using estimated prepayments and no change in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7" w:right="379" w:bottom="1440" w:gutter="0" w:footer="0" w:header="0"/>
        </w:sectPr>
      </w:pPr>
    </w:p>
    <w:bookmarkStart w:id="65" w:name="page66"/>
    <w:bookmarkEnd w:id="65"/>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shows a breakdown of our asset backed securities by sector and ratings at carrying value based on the fair value of available for sale securities and amortized cost of held-to-maturity securities as of December 31,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Expected</w:t>
            </w:r>
          </w:p>
        </w:tc>
        <w:tc>
          <w:tcPr>
            <w:tcW w:w="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Credit Ratings</w:t>
            </w: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60" w:type="dxa"/>
            <w:vAlign w:val="bottom"/>
          </w:tcPr>
          <w:p>
            <w:pPr>
              <w:spacing w:after="0"/>
              <w:rPr>
                <w:sz w:val="8"/>
                <w:szCs w:val="8"/>
                <w:color w:val="auto"/>
              </w:rPr>
            </w:pPr>
          </w:p>
        </w:tc>
        <w:tc>
          <w:tcPr>
            <w:tcW w:w="2200" w:type="dxa"/>
            <w:vAlign w:val="bottom"/>
            <w:gridSpan w:val="3"/>
            <w:vMerge w:val="restart"/>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Highest Rating if split rated</w:t>
            </w: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vMerge w:val="restart"/>
          </w:tcPr>
          <w:p>
            <w:pPr>
              <w:jc w:val="center"/>
              <w:spacing w:after="0" w:line="162" w:lineRule="exact"/>
              <w:rPr>
                <w:sz w:val="20"/>
                <w:szCs w:val="20"/>
                <w:color w:val="auto"/>
              </w:rPr>
            </w:pPr>
            <w:r>
              <w:rPr>
                <w:rFonts w:ascii="Times New Roman" w:cs="Times New Roman" w:eastAsia="Times New Roman" w:hAnsi="Times New Roman"/>
                <w:sz w:val="16"/>
                <w:szCs w:val="16"/>
                <w:color w:val="auto"/>
              </w:rPr>
              <w:t>Avg.</w:t>
            </w:r>
          </w:p>
        </w:tc>
        <w:tc>
          <w:tcPr>
            <w:tcW w:w="8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0" w:type="dxa"/>
            <w:vAlign w:val="bottom"/>
            <w:gridSpan w:val="3"/>
            <w:vMerge w:val="continue"/>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vMerge w:val="restart"/>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 Not</w:t>
            </w: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Amount</w:t>
            </w:r>
          </w:p>
        </w:tc>
        <w:tc>
          <w:tcPr>
            <w:tcW w:w="640" w:type="dxa"/>
            <w:vAlign w:val="bottom"/>
            <w:vMerge w:val="restart"/>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Life in</w:t>
            </w:r>
          </w:p>
        </w:tc>
        <w:tc>
          <w:tcPr>
            <w:tcW w:w="800" w:type="dxa"/>
            <w:vAlign w:val="bottom"/>
            <w:vMerge w:val="continue"/>
          </w:tcPr>
          <w:p>
            <w:pPr>
              <w:spacing w:after="0"/>
              <w:rPr>
                <w:sz w:val="14"/>
                <w:szCs w:val="14"/>
                <w:color w:val="auto"/>
              </w:rPr>
            </w:pPr>
          </w:p>
        </w:tc>
        <w:tc>
          <w:tcPr>
            <w:tcW w:w="86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 AAA</w:t>
            </w:r>
          </w:p>
        </w:tc>
        <w:tc>
          <w:tcPr>
            <w:tcW w:w="780" w:type="dxa"/>
            <w:vAlign w:val="bottom"/>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 AA</w:t>
            </w:r>
          </w:p>
        </w:tc>
        <w:tc>
          <w:tcPr>
            <w:tcW w:w="740" w:type="dxa"/>
            <w:vAlign w:val="bottom"/>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 A</w:t>
            </w:r>
          </w:p>
        </w:tc>
        <w:tc>
          <w:tcPr>
            <w:tcW w:w="6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 BBB</w:t>
            </w:r>
          </w:p>
        </w:tc>
        <w:tc>
          <w:tcPr>
            <w:tcW w:w="680" w:type="dxa"/>
            <w:vAlign w:val="bottom"/>
            <w:vMerge w:val="continue"/>
          </w:tcPr>
          <w:p>
            <w:pPr>
              <w:spacing w:after="0"/>
              <w:rPr>
                <w:sz w:val="14"/>
                <w:szCs w:val="14"/>
                <w:color w:val="auto"/>
              </w:rPr>
            </w:pPr>
          </w:p>
        </w:tc>
        <w:tc>
          <w:tcPr>
            <w:tcW w:w="7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3"/>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6"/>
              </w:rPr>
              <w:t>Years</w:t>
            </w:r>
          </w:p>
        </w:tc>
        <w:tc>
          <w:tcPr>
            <w:tcW w:w="8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Floating</w:t>
            </w:r>
          </w:p>
        </w:tc>
        <w:tc>
          <w:tcPr>
            <w:tcW w:w="8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8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Rated</w:t>
            </w:r>
          </w:p>
        </w:tc>
        <w:tc>
          <w:tcPr>
            <w:tcW w:w="7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76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CLO Commercial &amp;</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541,247</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69 %</w:t>
            </w:r>
          </w:p>
        </w:tc>
        <w:tc>
          <w:tcPr>
            <w:tcW w:w="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3.8</w:t>
            </w:r>
          </w:p>
        </w:tc>
        <w:tc>
          <w:tcPr>
            <w:tcW w:w="80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78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2 %</w:t>
            </w:r>
          </w:p>
        </w:tc>
        <w:tc>
          <w:tcPr>
            <w:tcW w:w="7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right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4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0" w:type="dxa"/>
            <w:vAlign w:val="bottom"/>
            <w:tcBorders>
              <w:right w:val="single" w:sz="8" w:color="auto"/>
            </w:tcBorders>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680" w:type="dxa"/>
            <w:vAlign w:val="bottom"/>
            <w:tcBorders>
              <w:right w:val="single" w:sz="8" w:color="auto"/>
            </w:tcBorders>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1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4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183,326</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4.6</w:t>
            </w:r>
          </w:p>
        </w:tc>
        <w:tc>
          <w:tcPr>
            <w:tcW w:w="8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7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34 %</w:t>
            </w:r>
          </w:p>
        </w:tc>
        <w:tc>
          <w:tcPr>
            <w:tcW w:w="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9"/>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w:t>
            </w: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36,636</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80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0 %</w:t>
            </w:r>
          </w:p>
        </w:tc>
        <w:tc>
          <w:tcPr>
            <w:tcW w:w="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53"/>
        </w:trPr>
        <w:tc>
          <w:tcPr>
            <w:tcW w:w="1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Student</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23,979</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4.3</w:t>
            </w:r>
          </w:p>
        </w:tc>
        <w:tc>
          <w:tcPr>
            <w:tcW w:w="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7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33 %</w:t>
            </w:r>
          </w:p>
        </w:tc>
        <w:tc>
          <w:tcPr>
            <w:tcW w:w="7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38"/>
        </w:trPr>
        <w:tc>
          <w:tcPr>
            <w:tcW w:w="1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785,188</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7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3.9</w:t>
            </w:r>
          </w:p>
        </w:tc>
        <w:tc>
          <w:tcPr>
            <w:tcW w:w="80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7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10 %</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6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Lending-related income is an important component of our net interest income and is a main driver of our results of operations. Total loans, net of deferred origination fees and allowance for credit losses, were $4.90 billion as of December 31, 2025 compared to $4.61 billion as of December 31, 2024. Within our commercial loan portfolio, our primary focus has been on C&amp;I, multifamily and CRE lending.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composition of our loan portfolio, as of December 31, 2025 and December 31,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64"/>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00" w:type="dxa"/>
            <w:vAlign w:val="bottom"/>
          </w:tcPr>
          <w:p>
            <w:pPr>
              <w:spacing w:after="0"/>
              <w:rPr>
                <w:sz w:val="22"/>
                <w:szCs w:val="22"/>
                <w:color w:val="auto"/>
              </w:rPr>
            </w:pPr>
          </w:p>
        </w:tc>
        <w:tc>
          <w:tcPr>
            <w:tcW w:w="13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Pr>
          <w:p>
            <w:pPr>
              <w:spacing w:after="0"/>
              <w:rPr>
                <w:sz w:val="22"/>
                <w:szCs w:val="22"/>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320" w:type="dxa"/>
            <w:vAlign w:val="bottom"/>
          </w:tcPr>
          <w:p>
            <w:pPr>
              <w:spacing w:after="0"/>
              <w:rPr>
                <w:sz w:val="22"/>
                <w:szCs w:val="22"/>
                <w:color w:val="auto"/>
              </w:rPr>
            </w:pPr>
          </w:p>
        </w:tc>
        <w:tc>
          <w:tcPr>
            <w:tcW w:w="13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2"/>
                <w:szCs w:val="22"/>
                <w:color w:val="auto"/>
              </w:rPr>
            </w:pPr>
          </w:p>
        </w:tc>
        <w:tc>
          <w:tcPr>
            <w:tcW w:w="17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0" w:type="dxa"/>
            <w:vAlign w:val="bottom"/>
          </w:tcPr>
          <w:p>
            <w:pPr>
              <w:spacing w:after="0"/>
              <w:rPr>
                <w:sz w:val="1"/>
                <w:szCs w:val="1"/>
                <w:color w:val="auto"/>
              </w:rPr>
            </w:pPr>
          </w:p>
        </w:tc>
      </w:tr>
      <w:tr>
        <w:trPr>
          <w:trHeight w:val="210"/>
        </w:trPr>
        <w:tc>
          <w:tcPr>
            <w:tcW w:w="4040" w:type="dxa"/>
            <w:vAlign w:val="bottom"/>
            <w:vMerge w:val="continue"/>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1,643,779</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363,266</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3,366,642</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1,237,791</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325,154</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1,590,631</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23"/>
        </w:trPr>
        <w:tc>
          <w:tcPr>
            <w:tcW w:w="4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loans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4,957,273</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loans,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4,899,687</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12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loan portfolio</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commercial loan portfolio comprised 67.9% of our total loan portfolio at December 31, 2025 and 63.3% of our total loan portfolio at December 31, 2024. The major categories of our commercial loan portfolio are discussed below:</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Commercial &amp; Industrial ("C&amp;I"). </w:t>
      </w:r>
      <w:r>
        <w:rPr>
          <w:rFonts w:ascii="Times New Roman" w:cs="Times New Roman" w:eastAsia="Times New Roman" w:hAnsi="Times New Roman"/>
          <w:sz w:val="18"/>
          <w:szCs w:val="18"/>
          <w:color w:val="auto"/>
        </w:rPr>
        <w:t>Our C&amp;I loans are generally made to small and medium-sized manufacturers and wholesale, retail and service-based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businesses to provide either working capital or to finance major capital expenditures. In addition, our C&amp;I portfolio includes commercial solar financings; for many of these we are the sole lender, while for some others we are a participant in a syndicated credit facility led by another institution. The primary source of repayment for C&amp;I loans is generally operating cash flows of the business or project. We also seek to minimize risks related to these loans by requiring such loans to be collateralized by various business assets (including inventory, equipment, accounts receivable, and the assignment of contracts</w:t>
      </w:r>
    </w:p>
    <w:p>
      <w:pPr>
        <w:sectPr>
          <w:pgSz w:w="11900" w:h="16838" w:orient="portrait"/>
          <w:cols w:equalWidth="0" w:num="1">
            <w:col w:w="11240"/>
          </w:cols>
          <w:pgMar w:left="320" w:top="1147"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type w:val="continuous"/>
        </w:sectPr>
      </w:pPr>
    </w:p>
    <w:bookmarkStart w:id="66" w:name="page67"/>
    <w:bookmarkEnd w:id="66"/>
    <w:p>
      <w:pPr>
        <w:jc w:val="both"/>
        <w:spacing w:after="0" w:line="263" w:lineRule="auto"/>
        <w:rPr>
          <w:sz w:val="20"/>
          <w:szCs w:val="20"/>
          <w:color w:val="auto"/>
        </w:rPr>
      </w:pPr>
      <w:r>
        <w:rPr>
          <w:rFonts w:ascii="Times New Roman" w:cs="Times New Roman" w:eastAsia="Times New Roman" w:hAnsi="Times New Roman"/>
          <w:sz w:val="18"/>
          <w:szCs w:val="18"/>
          <w:color w:val="auto"/>
        </w:rPr>
        <w:t xml:space="preserve">that generate cash flow). The average size of our C&amp;I loans at December 31, 2025 by exposure was $7.9 million with a median size of $0.6 million. We have shifted our lending strategy to focus on developing full customer relationships including deposits, cash management, and lending. The businesses that we focus on are generally mission aligned with our core values, including organic and natural products, sustainable companies, clean energy, nonprofits, and B Corporations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C&amp;I loans totaled $1.33 billion at December 31, 2025, which comprised 26.9% of our total loan portfolio. During the year ended 2025, the C&amp;I loan portfolio increased by 13.6% from $1.18 billion at December 31,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Multifamily</w:t>
      </w:r>
      <w:r>
        <w:rPr>
          <w:rFonts w:ascii="Times New Roman" w:cs="Times New Roman" w:eastAsia="Times New Roman" w:hAnsi="Times New Roman"/>
          <w:sz w:val="18"/>
          <w:szCs w:val="18"/>
          <w:color w:val="auto"/>
        </w:rPr>
        <w:t>. Our multifamily loans are generally used to purchase or refinance apartment buildings of five units or more, which collateralize the loan,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 metropolitan areas within our markets. Multifamily loans have 81% of their exposure in New York City—our largest geographic concentration. Our multifamily loans have been underwritten under stringent guidelines on loan-to-value and debt service coverage ratios that are designed to mitigate credit and concentration risk in this loan category. The average current LTV of our multifamily loans is approximately 56%.</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multifamily loans totaled $1.64 billion at December 31, 2025, which comprised 33.2% of our total loan portfolio. During the year ended 2025, the multifamily loan portfolio increased by 21.6% from $1.35 billion at December 31, 2024.</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CRE. </w:t>
      </w:r>
      <w:r>
        <w:rPr>
          <w:rFonts w:ascii="Times New Roman" w:cs="Times New Roman" w:eastAsia="Times New Roman" w:hAnsi="Times New Roman"/>
          <w:sz w:val="18"/>
          <w:szCs w:val="18"/>
          <w:color w:val="auto"/>
        </w:rPr>
        <w:t>Our CRE loans are used to purchase or refinance office buildings, owner-occupied office buildings, retail centers, industrial facilities and mixed-used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buildings. CRE loans have 64% of their exposure in New York City. Our CRE loans have been underwritten under stringent guidelines on loan-to-value and debt service coverage ratios that are designed to mitigate credit and concentration risk in this loan category. The average LTV, based on underwriting appraisal value, of our CRE loans is approximately 45%.</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CRE loans totaled $363.3 million at December 31, 2025, which comprised 7.3% of our total loan portfolio. During the year ended December 31, 2025, the CRE loan portfolio decreased by 11.7% from $411.4 million at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Retail loan portfolio</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retail loan portfolio comprised 32.1% of our total loan portfolio at December 31, 2025 and 36.7% of our loan portfolio at December 31, 2024. The major categories of our retail loan portfolio are discussed below:</w:t>
      </w:r>
    </w:p>
    <w:p>
      <w:pPr>
        <w:spacing w:after="0" w:line="15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18"/>
          <w:szCs w:val="18"/>
          <w:i w:val="1"/>
          <w:iCs w:val="1"/>
          <w:color w:val="auto"/>
        </w:rPr>
        <w:t>Residential real estate lending</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residential one-to-four family mortgage loans are residential mortgages that are primarily secured by single-family homes, which can be owner occupied or investor owned. These loans were either originated by our loan officers or purchased from other originators with the servicing retained by such originators. Our residential real estate lending portfolio is 99% first mortgage loans and 1% second mortgage loans. As of December 31, 2025, approximately 80% of our residential one-to-four family mortgage loans were either originated by our loan officers or were acquired in our acquisition of New Resource Bank, and approximately 20% were purchased or acquired. Our residential real estate lending loans totaled $1.24 billion at December 31, 2025, which comprised 77.8% of our retail loan portfolio and 25.0% of our total loan portfolio. During the year ended December 31, 2025, our residential real estate lending loans decreased by 5.8% from $1.31 billion at December 31, 2024. Beginning in February 2026, in order to maintain strong client relationships, the Company entered into a marketing services agreement with Embrace Home Loans to refer its customers for residential loans services, while advancing its broader strategic focus.</w:t>
      </w:r>
    </w:p>
    <w:p>
      <w:pPr>
        <w:spacing w:after="0" w:line="18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Consumer solar. </w:t>
      </w:r>
      <w:r>
        <w:rPr>
          <w:rFonts w:ascii="Times New Roman" w:cs="Times New Roman" w:eastAsia="Times New Roman" w:hAnsi="Times New Roman"/>
          <w:sz w:val="18"/>
          <w:szCs w:val="18"/>
          <w:color w:val="auto"/>
        </w:rPr>
        <w:t>Our consumer solar portfolio is comprised of purchased residential solar loans, secured by Uniform Commercial Code ("UCC")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statements. Our consumer solar portfolio is fully acquired and is in run-off mode. Our consumer solar loans totaled $325.2 million at December 31, 2025, which comprised 6.6% of our total loan portfolio, compared to $365.5 million, or 7.8%, of our total loan portfolio at December 31, 2024.</w:t>
      </w:r>
    </w:p>
    <w:p>
      <w:pPr>
        <w:spacing w:after="0" w:line="180"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Consumer and other. </w:t>
      </w:r>
      <w:r>
        <w:rPr>
          <w:rFonts w:ascii="Times New Roman" w:cs="Times New Roman" w:eastAsia="Times New Roman" w:hAnsi="Times New Roman"/>
          <w:sz w:val="18"/>
          <w:szCs w:val="18"/>
          <w:color w:val="auto"/>
        </w:rPr>
        <w:t>Our consumer and other portfolio is comprised of purchased student loans, unsecured consumer loans and overdraft lines.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consumer and other loans totaled $27.7 million at December 31, 2025, which comprised 0.5% of our total loan portfolio, compared to $34.6 million, or 0.8% of our total loan portfolio, at December 31,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Maturities and Sensitivity of Loans to Changes in Interest Rates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in the following table is based on the contractual maturities of individual loans, including loans that may be subject to renewal at their contractual maturity. Renewal of these loans is subject to review and credit approval, as well as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7" w:name="page68"/>
    <w:bookmarkEnd w:id="6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modification of terms upon maturity. Actual repayments of loans may differ from the maturities reflected below because borrowers have the right to prepay obligations with or without prepayment penalties.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loans held for investment portfolio at December 31, 2025 by maturity date.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One year or less</w:t>
            </w:r>
          </w:p>
        </w:tc>
        <w:tc>
          <w:tcPr>
            <w:tcW w:w="140" w:type="dxa"/>
            <w:vAlign w:val="bottom"/>
          </w:tcPr>
          <w:p>
            <w:pPr>
              <w:spacing w:after="0"/>
              <w:rPr>
                <w:sz w:val="16"/>
                <w:szCs w:val="16"/>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After one but</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After 5 years but</w:t>
            </w:r>
          </w:p>
        </w:tc>
        <w:tc>
          <w:tcPr>
            <w:tcW w:w="180" w:type="dxa"/>
            <w:vAlign w:val="bottom"/>
          </w:tcPr>
          <w:p>
            <w:pPr>
              <w:spacing w:after="0"/>
              <w:rPr>
                <w:sz w:val="16"/>
                <w:szCs w:val="16"/>
                <w:color w:val="auto"/>
              </w:rPr>
            </w:pPr>
          </w:p>
        </w:tc>
        <w:tc>
          <w:tcPr>
            <w:tcW w:w="14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After 15 years</w:t>
            </w:r>
          </w:p>
        </w:tc>
        <w:tc>
          <w:tcPr>
            <w:tcW w:w="340" w:type="dxa"/>
            <w:vAlign w:val="bottom"/>
          </w:tcPr>
          <w:p>
            <w:pPr>
              <w:spacing w:after="0"/>
              <w:rPr>
                <w:sz w:val="16"/>
                <w:szCs w:val="16"/>
                <w:color w:val="auto"/>
              </w:rPr>
            </w:pPr>
          </w:p>
        </w:tc>
        <w:tc>
          <w:tcPr>
            <w:tcW w:w="1160" w:type="dxa"/>
            <w:vAlign w:val="bottom"/>
            <w:vMerge w:val="restart"/>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within five years</w:t>
            </w:r>
          </w:p>
        </w:tc>
        <w:tc>
          <w:tcPr>
            <w:tcW w:w="14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within 15 years</w:t>
            </w:r>
          </w:p>
        </w:tc>
        <w:tc>
          <w:tcPr>
            <w:tcW w:w="18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1,334,794</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Multifamily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1,237,587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1,643,779</w:t>
            </w:r>
          </w:p>
        </w:tc>
        <w:tc>
          <w:tcPr>
            <w:tcW w:w="0" w:type="dxa"/>
            <w:vAlign w:val="bottom"/>
          </w:tcPr>
          <w:p>
            <w:pPr>
              <w:spacing w:after="0"/>
              <w:rPr>
                <w:sz w:val="1"/>
                <w:szCs w:val="1"/>
                <w:color w:val="auto"/>
              </w:rPr>
            </w:pPr>
          </w:p>
        </w:tc>
      </w:tr>
      <w:tr>
        <w:trPr>
          <w:trHeight w:val="230"/>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363,266</w:t>
            </w:r>
          </w:p>
        </w:tc>
        <w:tc>
          <w:tcPr>
            <w:tcW w:w="0" w:type="dxa"/>
            <w:vAlign w:val="bottom"/>
          </w:tcPr>
          <w:p>
            <w:pPr>
              <w:spacing w:after="0"/>
              <w:rPr>
                <w:sz w:val="1"/>
                <w:szCs w:val="1"/>
                <w:color w:val="auto"/>
              </w:rPr>
            </w:pPr>
          </w:p>
        </w:tc>
      </w:tr>
      <w:tr>
        <w:trPr>
          <w:trHeight w:val="229"/>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0" w:type="dxa"/>
            <w:vAlign w:val="bottom"/>
          </w:tcPr>
          <w:p>
            <w:pPr>
              <w:spacing w:after="0"/>
              <w:rPr>
                <w:sz w:val="1"/>
                <w:szCs w:val="1"/>
                <w:color w:val="auto"/>
              </w:rPr>
            </w:pPr>
          </w:p>
        </w:tc>
      </w:tr>
      <w:tr>
        <w:trPr>
          <w:trHeight w:val="257"/>
        </w:trPr>
        <w:tc>
          <w:tcPr>
            <w:tcW w:w="3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1,161,692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1,237,791</w:t>
            </w:r>
          </w:p>
        </w:tc>
        <w:tc>
          <w:tcPr>
            <w:tcW w:w="0" w:type="dxa"/>
            <w:vAlign w:val="bottom"/>
          </w:tcPr>
          <w:p>
            <w:pPr>
              <w:spacing w:after="0"/>
              <w:rPr>
                <w:sz w:val="1"/>
                <w:szCs w:val="1"/>
                <w:color w:val="auto"/>
              </w:rPr>
            </w:pPr>
          </w:p>
        </w:tc>
      </w:tr>
      <w:tr>
        <w:trPr>
          <w:trHeight w:val="230"/>
        </w:trPr>
        <w:tc>
          <w:tcPr>
            <w:tcW w:w="3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325,154</w:t>
            </w: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0" w:type="dxa"/>
            <w:vAlign w:val="bottom"/>
          </w:tcPr>
          <w:p>
            <w:pPr>
              <w:spacing w:after="0"/>
              <w:rPr>
                <w:sz w:val="1"/>
                <w:szCs w:val="1"/>
                <w:color w:val="auto"/>
              </w:rPr>
            </w:pPr>
          </w:p>
        </w:tc>
      </w:tr>
      <w:tr>
        <w:trPr>
          <w:trHeight w:val="223"/>
        </w:trPr>
        <w:tc>
          <w:tcPr>
            <w:tcW w:w="33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2,050,313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863,101</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1,579,801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4,957,273</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loans held for investment with maturity due after December 31,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6"/>
                <w:szCs w:val="16"/>
                <w:b w:val="1"/>
                <w:bCs w:val="1"/>
                <w:color w:val="auto"/>
              </w:rPr>
              <w:t>Fixed</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Adjustable</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10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600" w:type="dxa"/>
            <w:vAlign w:val="bottom"/>
            <w:shd w:val="clear" w:color="auto" w:fill="CCEEFF"/>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604,402</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460,499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1,064,901</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1,456,917</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31,332</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1,488,249</w:t>
            </w:r>
          </w:p>
        </w:tc>
      </w:tr>
      <w:tr>
        <w:trPr>
          <w:trHeight w:val="22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334,843</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341,069</w:t>
            </w: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8,631</w:t>
            </w:r>
          </w:p>
        </w:tc>
      </w:tr>
      <w:tr>
        <w:trPr>
          <w:trHeight w:val="270"/>
        </w:trPr>
        <w:tc>
          <w:tcPr>
            <w:tcW w:w="338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23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710,478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527,242</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1,237,720</w:t>
            </w:r>
          </w:p>
        </w:tc>
      </w:tr>
      <w:tr>
        <w:trPr>
          <w:trHeight w:val="229"/>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6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325,083</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325,083</w:t>
            </w:r>
          </w:p>
        </w:tc>
      </w:tr>
      <w:tr>
        <w:trPr>
          <w:trHeight w:val="230"/>
        </w:trPr>
        <w:tc>
          <w:tcPr>
            <w:tcW w:w="3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 and other</w:t>
            </w:r>
          </w:p>
        </w:tc>
        <w:tc>
          <w:tcPr>
            <w:tcW w:w="16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27,107</w:t>
            </w:r>
          </w:p>
        </w:tc>
        <w:tc>
          <w:tcPr>
            <w:tcW w:w="10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27,562</w:t>
            </w:r>
          </w:p>
        </w:tc>
      </w:tr>
      <w:tr>
        <w:trPr>
          <w:trHeight w:val="223"/>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1600" w:type="dxa"/>
            <w:vAlign w:val="bottom"/>
            <w:tcBorders>
              <w:bottom w:val="single" w:sz="8" w:color="auto"/>
            </w:tcBorders>
          </w:tcPr>
          <w:p>
            <w:pPr>
              <w:jc w:val="right"/>
              <w:ind w:right="1393"/>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3,458,830</w:t>
            </w: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ind w:right="1493"/>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1,034,385</w:t>
            </w: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4,493,215</w:t>
            </w:r>
          </w:p>
        </w:tc>
      </w:tr>
      <w:tr>
        <w:trPr>
          <w:trHeight w:val="20"/>
        </w:trPr>
        <w:tc>
          <w:tcPr>
            <w:tcW w:w="33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adoption of the CECL standard, the allowance for credit losses for the year ended December 31, 2025, December 31, 2024 and December 31, 2023 is calculated under the expected credit losses model. We maintain the allowance at a level we believe is sufficient to absorb current expected credit losses in our loan portfolio. The following table presents, by loan type, the changes in the allowance for the periods indicated.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47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8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charge-offs: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r>
      <w:tr>
        <w:trPr>
          <w:trHeight w:val="23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4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 charge-offs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(16,058)</w:t>
            </w:r>
          </w:p>
        </w:tc>
      </w:tr>
      <w:tr>
        <w:trPr>
          <w:trHeight w:val="21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 of loans previously charged-off:</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4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Multifamily</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Consumer solar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r>
      <w:tr>
        <w:trPr>
          <w:trHeight w:val="230"/>
        </w:trPr>
        <w:tc>
          <w:tcPr>
            <w:tcW w:w="4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Consumer and 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23"/>
        </w:trPr>
        <w:tc>
          <w:tcPr>
            <w:tcW w:w="4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loan recoveries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2,026</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(20,136)</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(15,958)</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10,353</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13,463</w:t>
            </w:r>
          </w:p>
        </w:tc>
      </w:tr>
      <w:tr>
        <w:trPr>
          <w:trHeight w:val="22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65,691</w:t>
            </w: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allowance for credit losses decreased $2.5 million to $57.6 million at December 31, 2025 from $60.1 million at December 31, 2024. See Note 5 of our consolidated financial statements for additional information related to the change. The ratio of allowance to total loans was 1.16% at December 31, 2025 and 1.29% at December 31, 2024.</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the allowance for credit losses on held-to-maturity securities was $0.7 million compared to $0.7 million at December 31, 2024.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Allowance for Credit Losses on Loans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and the percentage of the total amount of loans in each loan category listed as of the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500" w:type="dxa"/>
            <w:vAlign w:val="bottom"/>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At December 31, 2025</w:t>
            </w:r>
          </w:p>
        </w:tc>
        <w:tc>
          <w:tcPr>
            <w:tcW w:w="200" w:type="dxa"/>
            <w:vAlign w:val="bottom"/>
          </w:tcPr>
          <w:p>
            <w:pPr>
              <w:spacing w:after="0"/>
              <w:rPr>
                <w:sz w:val="20"/>
                <w:szCs w:val="20"/>
                <w:color w:val="auto"/>
              </w:rPr>
            </w:pPr>
          </w:p>
        </w:tc>
        <w:tc>
          <w:tcPr>
            <w:tcW w:w="248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At December 31, 2024</w:t>
            </w:r>
          </w:p>
        </w:tc>
        <w:tc>
          <w:tcPr>
            <w:tcW w:w="200" w:type="dxa"/>
            <w:vAlign w:val="bottom"/>
          </w:tcPr>
          <w:p>
            <w:pPr>
              <w:spacing w:after="0"/>
              <w:rPr>
                <w:sz w:val="20"/>
                <w:szCs w:val="20"/>
                <w:color w:val="auto"/>
              </w:rPr>
            </w:pPr>
          </w:p>
        </w:tc>
        <w:tc>
          <w:tcPr>
            <w:tcW w:w="240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At December 31, 2023</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total loans</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of total loans</w:t>
            </w: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Commercial Portfolio:</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26.1 %</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8.0 %</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3"/>
        </w:trPr>
        <w:tc>
          <w:tcPr>
            <w:tcW w:w="32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21,353</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19,152</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21,764</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57.5 %</w:t>
            </w:r>
          </w:p>
        </w:tc>
      </w:tr>
      <w:tr>
        <w:trPr>
          <w:trHeight w:val="257"/>
        </w:trPr>
        <w:tc>
          <w:tcPr>
            <w:tcW w:w="3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9"/>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Retail Portfolio:</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28.1 %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32.3 %</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9.3 %</w:t>
            </w:r>
          </w:p>
        </w:tc>
      </w:tr>
      <w:tr>
        <w:trPr>
          <w:trHeight w:val="22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3"/>
        </w:trPr>
        <w:tc>
          <w:tcPr>
            <w:tcW w:w="328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36,233</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40,934</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43,927</w:t>
            </w:r>
          </w:p>
        </w:tc>
        <w:tc>
          <w:tcPr>
            <w:tcW w:w="12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42.5 %</w:t>
            </w:r>
          </w:p>
        </w:tc>
      </w:tr>
      <w:tr>
        <w:trPr>
          <w:trHeight w:val="22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loans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60,086</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
        </w:trPr>
        <w:tc>
          <w:tcPr>
            <w:tcW w:w="3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allocation of the allowance for credit losses on securities and the percentage of the total amount of held-to-maturity securities in each security category listed as of dates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60" w:type="dxa"/>
            <w:vAlign w:val="bottom"/>
            <w:gridSpan w:val="4"/>
          </w:tcPr>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20"/>
                <w:szCs w:val="20"/>
                <w:color w:val="auto"/>
              </w:rPr>
            </w:pPr>
          </w:p>
        </w:tc>
        <w:tc>
          <w:tcPr>
            <w:tcW w:w="2760" w:type="dxa"/>
            <w:vAlign w:val="bottom"/>
            <w:gridSpan w:val="3"/>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4"/>
        </w:trPr>
        <w:tc>
          <w:tcPr>
            <w:tcW w:w="5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 of total held-to-</w:t>
            </w:r>
          </w:p>
        </w:tc>
        <w:tc>
          <w:tcPr>
            <w:tcW w:w="0" w:type="dxa"/>
            <w:vAlign w:val="bottom"/>
          </w:tcPr>
          <w:p>
            <w:pPr>
              <w:spacing w:after="0"/>
              <w:rPr>
                <w:sz w:val="1"/>
                <w:szCs w:val="1"/>
                <w:color w:val="auto"/>
              </w:rPr>
            </w:pPr>
          </w:p>
        </w:tc>
      </w:tr>
      <w:tr>
        <w:trPr>
          <w:trHeight w:val="238"/>
        </w:trPr>
        <w:tc>
          <w:tcPr>
            <w:tcW w:w="5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2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maturity securities</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Traditional securities:</w:t>
            </w: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ABS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Municipal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traditional securities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21.1 %</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48.8 %</w:t>
            </w:r>
          </w:p>
        </w:tc>
        <w:tc>
          <w:tcPr>
            <w:tcW w:w="0" w:type="dxa"/>
            <w:vAlign w:val="bottom"/>
          </w:tcPr>
          <w:p>
            <w:pPr>
              <w:spacing w:after="0"/>
              <w:rPr>
                <w:sz w:val="1"/>
                <w:szCs w:val="1"/>
                <w:color w:val="auto"/>
              </w:rPr>
            </w:pPr>
          </w:p>
        </w:tc>
      </w:tr>
      <w:tr>
        <w:trPr>
          <w:trHeight w:val="223"/>
        </w:trPr>
        <w:tc>
          <w:tcPr>
            <w:tcW w:w="5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retail portfolio</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69.4 %</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20" w:type="dxa"/>
            <w:vAlign w:val="bottom"/>
          </w:tcPr>
          <w:p>
            <w:pPr>
              <w:spacing w:after="0"/>
              <w:rPr>
                <w:sz w:val="19"/>
                <w:szCs w:val="19"/>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65.7 %</w:t>
            </w: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allowance for credit losses on securities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i w:val="1"/>
          <w:iCs w:val="1"/>
          <w:color w:val="auto"/>
        </w:rPr>
        <w:t>Nonperforming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Nonperforming assets include all loans categorized as nonaccrual, other real estate owned and other repossessed assets. The accrual of interest on loans is discontinued, or the loan is placed on nonaccrual, when the full collection of principal and interest is in doubt. 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The following table sets forth information about our nonperforming assets as of December 31, 2025, December 31, 2024 and December 31, 2023:</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8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 w:type="dxa"/>
            <w:vAlign w:val="bottom"/>
          </w:tcPr>
          <w:p>
            <w:pPr>
              <w:spacing w:after="0"/>
              <w:rPr>
                <w:sz w:val="20"/>
                <w:szCs w:val="20"/>
                <w:color w:val="auto"/>
              </w:rPr>
            </w:pPr>
          </w:p>
        </w:tc>
        <w:tc>
          <w:tcPr>
            <w:tcW w:w="17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90 days past due and accruing</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held for sale</w:t>
            </w:r>
          </w:p>
        </w:tc>
        <w:tc>
          <w:tcPr>
            <w:tcW w:w="18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4,853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 Commercial</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loans - Retail</w:t>
            </w:r>
          </w:p>
        </w:tc>
        <w:tc>
          <w:tcPr>
            <w:tcW w:w="18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securities</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28,651</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25,870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34,203</w:t>
            </w:r>
          </w:p>
        </w:tc>
      </w:tr>
      <w:tr>
        <w:trPr>
          <w:trHeight w:val="20"/>
        </w:trPr>
        <w:tc>
          <w:tcPr>
            <w:tcW w:w="5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37"/>
        </w:trPr>
        <w:tc>
          <w:tcPr>
            <w:tcW w:w="5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Nonaccrual loans:</w:t>
            </w: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229"/>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7,533</w:t>
            </w:r>
          </w:p>
        </w:tc>
      </w:tr>
      <w:tr>
        <w:trPr>
          <w:trHeight w:val="23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4,490</w:t>
            </w:r>
          </w:p>
        </w:tc>
      </w:tr>
      <w:tr>
        <w:trPr>
          <w:trHeight w:val="229"/>
        </w:trPr>
        <w:tc>
          <w:tcPr>
            <w:tcW w:w="52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11,079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11,166</w:t>
            </w:r>
          </w:p>
        </w:tc>
      </w:tr>
      <w:tr>
        <w:trPr>
          <w:trHeight w:val="288"/>
        </w:trPr>
        <w:tc>
          <w:tcPr>
            <w:tcW w:w="52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tcBorders>
              <w:bottom w:val="single" w:sz="8" w:color="CCEEFF"/>
            </w:tcBorders>
            <w:shd w:val="clear" w:color="auto" w:fill="CCEEFF"/>
          </w:tcPr>
          <w:p>
            <w:pPr>
              <w:spacing w:after="0"/>
              <w:rPr>
                <w:sz w:val="24"/>
                <w:szCs w:val="24"/>
                <w:color w:val="auto"/>
              </w:rPr>
            </w:pPr>
          </w:p>
        </w:tc>
        <w:tc>
          <w:tcPr>
            <w:tcW w:w="17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22,108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76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16,041</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23,189</w:t>
            </w:r>
          </w:p>
        </w:tc>
      </w:tr>
      <w:tr>
        <w:trPr>
          <w:trHeight w:val="217"/>
        </w:trPr>
        <w:tc>
          <w:tcPr>
            <w:tcW w:w="52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7,218</w:t>
            </w:r>
          </w:p>
        </w:tc>
      </w:tr>
      <w:tr>
        <w:trPr>
          <w:trHeight w:val="22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Consumer solar</w:t>
            </w:r>
          </w:p>
        </w:tc>
        <w:tc>
          <w:tcPr>
            <w:tcW w:w="180" w:type="dxa"/>
            <w:vAlign w:val="bottom"/>
          </w:tcPr>
          <w:p>
            <w:pPr>
              <w:spacing w:after="0"/>
              <w:rPr>
                <w:sz w:val="19"/>
                <w:szCs w:val="19"/>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2,827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2,673</w:t>
            </w:r>
          </w:p>
        </w:tc>
      </w:tr>
      <w:tr>
        <w:trPr>
          <w:trHeight w:val="229"/>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r>
      <w:tr>
        <w:trPr>
          <w:trHeight w:val="223"/>
        </w:trPr>
        <w:tc>
          <w:tcPr>
            <w:tcW w:w="5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9,994</w:t>
            </w:r>
          </w:p>
        </w:tc>
      </w:tr>
      <w:tr>
        <w:trPr>
          <w:trHeight w:val="248"/>
        </w:trPr>
        <w:tc>
          <w:tcPr>
            <w:tcW w:w="5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nonaccrual loans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27,715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33,183</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Nonperforming assets to total assets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Nonaccrual assets to total assets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Nonaccrual loans to total loans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0.75 %</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nonaccrual loans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286.00 %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197.97 %</w:t>
            </w: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 on loans to total loans</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charge-offs to average loans</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0.33 %</w:t>
            </w:r>
          </w:p>
        </w:tc>
      </w:tr>
      <w:tr>
        <w:trPr>
          <w:trHeight w:val="270"/>
        </w:trPr>
        <w:tc>
          <w:tcPr>
            <w:tcW w:w="52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40" w:type="dxa"/>
            <w:vAlign w:val="bottom"/>
            <w:shd w:val="clear" w:color="auto" w:fill="CCEEFF"/>
          </w:tcPr>
          <w:p>
            <w:pPr>
              <w:spacing w:after="0"/>
              <w:rPr>
                <w:sz w:val="23"/>
                <w:szCs w:val="23"/>
                <w:color w:val="auto"/>
              </w:rPr>
            </w:pPr>
          </w:p>
        </w:tc>
      </w:tr>
      <w:tr>
        <w:trPr>
          <w:trHeight w:val="175"/>
        </w:trPr>
        <w:tc>
          <w:tcPr>
            <w:tcW w:w="52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Ratio of net recoveries (charge-offs) to average loans outstanding</w:t>
            </w:r>
          </w:p>
        </w:tc>
        <w:tc>
          <w:tcPr>
            <w:tcW w:w="18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41"/>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during the period:</w:t>
            </w: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232"/>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80" w:type="dxa"/>
            <w:vAlign w:val="bottom"/>
            <w:shd w:val="clear" w:color="auto" w:fill="CCEEFF"/>
          </w:tcPr>
          <w:p>
            <w:pPr>
              <w:spacing w:after="0"/>
              <w:rPr>
                <w:sz w:val="20"/>
                <w:szCs w:val="20"/>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Multifamily</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r>
      <w:tr>
        <w:trPr>
          <w:trHeight w:val="230"/>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real estate</w:t>
            </w:r>
          </w:p>
        </w:tc>
        <w:tc>
          <w:tcPr>
            <w:tcW w:w="18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80" w:type="dxa"/>
            <w:vAlign w:val="bottom"/>
          </w:tcPr>
          <w:p>
            <w:pPr>
              <w:spacing w:after="0"/>
              <w:rPr>
                <w:sz w:val="19"/>
                <w:szCs w:val="19"/>
                <w:color w:val="auto"/>
              </w:rPr>
            </w:pPr>
          </w:p>
        </w:tc>
        <w:tc>
          <w:tcPr>
            <w:tcW w:w="1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w:t>
            </w:r>
          </w:p>
        </w:tc>
      </w:tr>
      <w:tr>
        <w:trPr>
          <w:trHeight w:val="223"/>
        </w:trPr>
        <w:tc>
          <w:tcPr>
            <w:tcW w:w="52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8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r>
      <w:tr>
        <w:trPr>
          <w:trHeight w:val="270"/>
        </w:trPr>
        <w:tc>
          <w:tcPr>
            <w:tcW w:w="5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tcPr>
          <w:p>
            <w:pPr>
              <w:spacing w:after="0"/>
              <w:rPr>
                <w:sz w:val="23"/>
                <w:szCs w:val="23"/>
                <w:color w:val="auto"/>
              </w:rPr>
            </w:pPr>
          </w:p>
        </w:tc>
      </w:tr>
      <w:tr>
        <w:trPr>
          <w:trHeight w:val="230"/>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0.05 %</w:t>
            </w:r>
          </w:p>
        </w:tc>
      </w:tr>
      <w:tr>
        <w:trPr>
          <w:trHeight w:val="230"/>
        </w:trPr>
        <w:tc>
          <w:tcPr>
            <w:tcW w:w="5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Consumer solar</w:t>
            </w:r>
          </w:p>
        </w:tc>
        <w:tc>
          <w:tcPr>
            <w:tcW w:w="18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9"/>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Consumer and other</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30"/>
        </w:trPr>
        <w:tc>
          <w:tcPr>
            <w:tcW w:w="52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retail portfolio</w:t>
            </w: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r>
      <w:tr>
        <w:trPr>
          <w:trHeight w:val="223"/>
        </w:trPr>
        <w:tc>
          <w:tcPr>
            <w:tcW w:w="5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2" w:name="page73"/>
    <w:bookmarkEnd w:id="72"/>
    <w:p>
      <w:pPr>
        <w:jc w:val="both"/>
        <w:spacing w:after="0" w:line="261" w:lineRule="auto"/>
        <w:rPr>
          <w:sz w:val="20"/>
          <w:szCs w:val="20"/>
          <w:color w:val="auto"/>
        </w:rPr>
      </w:pPr>
      <w:r>
        <w:rPr>
          <w:rFonts w:ascii="Times New Roman" w:cs="Times New Roman" w:eastAsia="Times New Roman" w:hAnsi="Times New Roman"/>
          <w:sz w:val="18"/>
          <w:szCs w:val="18"/>
          <w:color w:val="auto"/>
        </w:rPr>
        <w:t>Nonperforming assets totaled $28.7 million, or 0.32% of period-end total assets at December 31, 2025, an increase of $2.8 million, compared with $25.9 million, or 0.31% of period-end total assets at December 31, 2024. Nonperforming assets at December 31, 2025 compared to December 31, 2024 had notable changes including a $10.3 million increase in multifamily loans on nonaccrual status, partially offset by a $4.0 million decrease in commercial real estate loans on nonaccrual status, and a $3.9 million decrease in held for sale nonaccrual loans.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Potential problem loans are loans which management has doubts as to the ability of the borrowers to comply with the present loan repayment terms. Potential problem loans are performing loans and include our special mention and substandard-accruing commercial loans and/or loans 30-89 days past due. Potential problem loans are not included in the nonperforming assets table above and totaled $99.8 million, or 1.1% of total assets, at December 31, 2025, and $109.4 million, or 1.3% of total assets, at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entered into $48.7 million in short term investments of resell agreements backed by government guaranteed loans and other loans, with a weighted interest rate of 6.00%. As of December 31, 2024, we entered into $23.7 million of short term investments of resell agreements backed by residential first-lien mortgage loans, with a weighted interest rate of 6.91%.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Tax Asset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deferred tax assets, net of deferred tax liabilities, of $30.8 million at December 31, 2025 and $42.4 million at December 31, 2024. As of December 31, 2025, our deferred tax assets were fully realizable with no valuation allowance held against the balance. Our management concluded that it was more-likely-than-not that the entire amount will be realized.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evaluate the recoverability of our net deferred tax asset on a periodic basis and record decreases (increases) as a deferred tax provision (benefit) in the Consolidated Statements of Income as appropriate.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Deposits represent our primary source of funds. We are focused on growing our core deposits through relationship-based banking with our business and consumer clients. Total deposits were $7.95 billion at December 31, 2025, compared to $7.18 billion at December 31, 2024. We believe that our strong deposit franchise is attributable to our mission-based strategy of developing and maintaining relationships with our clients who share similar values and through maintaining a high level of service.</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gather deposits through each of our three branch locations across New York City, our one branch in Washington, D.C., our one branch in San Francisco, and through the efforts of our commercial banking team including our Boston group which focuses nationally on business growth. Through our branch network, online, mobile and direct banking channels, we offer a variety of deposit products including demand deposit accounts, money market deposits, NOW accounts, savings and certificates of deposit, ICS accounts, Certificate of Deposit Account Registry Service accounts, and brokered certificates of deposit. We bank politically active customers, such as campaigns, Political Action Committee ("PACs"), and state and national party committees, which we refer to as political deposits. These deposits exhibit seasonality based on election cycles. As of December 31, 2025 and December 31, 2024, we had approximately $1.73 billion and $969.6 million, respectively, in on-balance sheet and off-balance sheet political deposits which are primarily in demand deposits.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average balance amounts and the average rates paid on deposits held by us for the years ended December 31, 2025, December 31, 2024 and December 31, 2023.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Average Rate</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Average Rate</w:t>
            </w:r>
          </w:p>
        </w:tc>
        <w:tc>
          <w:tcPr>
            <w:tcW w:w="160" w:type="dxa"/>
            <w:vAlign w:val="bottom"/>
          </w:tcPr>
          <w:p>
            <w:pPr>
              <w:spacing w:after="0"/>
              <w:rPr>
                <w:sz w:val="17"/>
                <w:szCs w:val="17"/>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20" w:type="dxa"/>
            <w:vAlign w:val="bottom"/>
          </w:tcPr>
          <w:p>
            <w:pPr>
              <w:spacing w:after="0"/>
              <w:rPr>
                <w:sz w:val="17"/>
                <w:szCs w:val="17"/>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Average Rate</w:t>
            </w:r>
          </w:p>
        </w:tc>
        <w:tc>
          <w:tcPr>
            <w:tcW w:w="0" w:type="dxa"/>
            <w:vAlign w:val="bottom"/>
          </w:tcPr>
          <w:p>
            <w:pPr>
              <w:spacing w:after="0"/>
              <w:rPr>
                <w:sz w:val="1"/>
                <w:szCs w:val="1"/>
                <w:color w:val="auto"/>
              </w:rPr>
            </w:pPr>
          </w:p>
        </w:tc>
      </w:tr>
      <w:tr>
        <w:trPr>
          <w:trHeight w:val="212"/>
        </w:trPr>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18"/>
                <w:szCs w:val="18"/>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Paid</w:t>
            </w: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20" w:type="dxa"/>
            <w:vAlign w:val="bottom"/>
          </w:tcPr>
          <w:p>
            <w:pPr>
              <w:spacing w:after="0"/>
              <w:rPr>
                <w:sz w:val="18"/>
                <w:szCs w:val="18"/>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1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Paid</w:t>
            </w:r>
          </w:p>
        </w:tc>
        <w:tc>
          <w:tcPr>
            <w:tcW w:w="0" w:type="dxa"/>
            <w:vAlign w:val="bottom"/>
          </w:tcPr>
          <w:p>
            <w:pPr>
              <w:spacing w:after="0"/>
              <w:rPr>
                <w:sz w:val="1"/>
                <w:szCs w:val="1"/>
                <w:color w:val="auto"/>
              </w:rPr>
            </w:pPr>
          </w:p>
        </w:tc>
      </w:tr>
      <w:tr>
        <w:trPr>
          <w:trHeight w:val="33"/>
        </w:trPr>
        <w:tc>
          <w:tcPr>
            <w:tcW w:w="1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1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1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Non-interest-bearing</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demand and transaction</w:t>
            </w: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deposits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2,929,346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3,373,047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3,045,013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0.00 %</w:t>
            </w:r>
          </w:p>
        </w:tc>
        <w:tc>
          <w:tcPr>
            <w:tcW w:w="0" w:type="dxa"/>
            <w:vAlign w:val="bottom"/>
          </w:tcPr>
          <w:p>
            <w:pPr>
              <w:spacing w:after="0"/>
              <w:rPr>
                <w:sz w:val="1"/>
                <w:szCs w:val="1"/>
                <w:color w:val="auto"/>
              </w:rPr>
            </w:pPr>
          </w:p>
        </w:tc>
      </w:tr>
      <w:tr>
        <w:trPr>
          <w:trHeight w:val="233"/>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NOW accounts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175,293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0.65 %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187,996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0.93 %</w:t>
            </w:r>
          </w:p>
        </w:tc>
        <w:tc>
          <w:tcPr>
            <w:tcW w:w="0" w:type="dxa"/>
            <w:vAlign w:val="bottom"/>
          </w:tcPr>
          <w:p>
            <w:pPr>
              <w:spacing w:after="0"/>
              <w:rPr>
                <w:sz w:val="1"/>
                <w:szCs w:val="1"/>
                <w:color w:val="auto"/>
              </w:rPr>
            </w:pPr>
          </w:p>
        </w:tc>
      </w:tr>
      <w:tr>
        <w:trPr>
          <w:trHeight w:val="212"/>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market deposit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3,959,733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108,866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3,178,206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92,747</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2,787,911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54,334</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1.95 %</w:t>
            </w:r>
          </w:p>
        </w:tc>
        <w:tc>
          <w:tcPr>
            <w:tcW w:w="0" w:type="dxa"/>
            <w:vAlign w:val="bottom"/>
          </w:tcPr>
          <w:p>
            <w:pPr>
              <w:spacing w:after="0"/>
              <w:rPr>
                <w:sz w:val="1"/>
                <w:szCs w:val="1"/>
                <w:color w:val="auto"/>
              </w:rPr>
            </w:pPr>
          </w:p>
        </w:tc>
      </w:tr>
      <w:tr>
        <w:trPr>
          <w:trHeight w:val="233"/>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Savings accounts</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362,731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3,680</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c>
          <w:tcPr>
            <w:tcW w:w="0" w:type="dxa"/>
            <w:vAlign w:val="bottom"/>
          </w:tcPr>
          <w:p>
            <w:pPr>
              <w:spacing w:after="0"/>
              <w:rPr>
                <w:sz w:val="1"/>
                <w:szCs w:val="1"/>
                <w:color w:val="auto"/>
              </w:rPr>
            </w:pPr>
          </w:p>
        </w:tc>
      </w:tr>
      <w:tr>
        <w:trPr>
          <w:trHeight w:val="253"/>
        </w:trPr>
        <w:tc>
          <w:tcPr>
            <w:tcW w:w="1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 deposits</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213,261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7,345</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210,599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7,706</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167,167</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w:t>
            </w:r>
          </w:p>
        </w:tc>
        <w:tc>
          <w:tcPr>
            <w:tcW w:w="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0" w:type="dxa"/>
            <w:vAlign w:val="bottom"/>
          </w:tcPr>
          <w:p>
            <w:pPr>
              <w:spacing w:after="0"/>
              <w:rPr>
                <w:sz w:val="1"/>
                <w:szCs w:val="1"/>
                <w:color w:val="auto"/>
              </w:rPr>
            </w:pPr>
          </w:p>
        </w:tc>
      </w:tr>
      <w:tr>
        <w:trPr>
          <w:trHeight w:val="236"/>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Brokered CDs</w:t>
            </w:r>
          </w:p>
        </w:tc>
        <w:tc>
          <w:tcPr>
            <w:tcW w:w="16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6,393</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364,833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17,854</w:t>
            </w:r>
          </w:p>
        </w:tc>
        <w:tc>
          <w:tcPr>
            <w:tcW w:w="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4.89 %</w:t>
            </w:r>
          </w:p>
        </w:tc>
        <w:tc>
          <w:tcPr>
            <w:tcW w:w="0" w:type="dxa"/>
            <w:vAlign w:val="bottom"/>
          </w:tcPr>
          <w:p>
            <w:pPr>
              <w:spacing w:after="0"/>
              <w:rPr>
                <w:sz w:val="1"/>
                <w:szCs w:val="1"/>
                <w:color w:val="auto"/>
              </w:rPr>
            </w:pPr>
          </w:p>
        </w:tc>
      </w:tr>
      <w:tr>
        <w:trPr>
          <w:trHeight w:val="262"/>
        </w:trPr>
        <w:tc>
          <w:tcPr>
            <w:tcW w:w="17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7,608,484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121,554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1.60 %</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7,405,653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113,461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6,921,420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81,124</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participation through ICS, our off-balance sheet deposits totaled $1.05 billion at December 31, 2025, and zero at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uninsured deposits of $4.61 billion, and $3.71 billion for the years ended December 31, 2025, and December 31, 2024, respectively. The increase in uninsured deposits compared to the prior year is driven by overall growth of deposits, as well as movement of deposits in our reciprocal program off-balance sheet.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time certificates of deposit and other time deposits of $250,000 or more outstanding at December 31, 2025 are summarized as follows:</w:t>
      </w:r>
    </w:p>
    <w:p>
      <w:pPr>
        <w:spacing w:after="0" w:line="26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Maturities as of December 31,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r>
      <w:tr>
        <w:trPr>
          <w:trHeight w:val="232"/>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three months</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70,406</w:t>
            </w:r>
          </w:p>
        </w:tc>
      </w:tr>
      <w:tr>
        <w:trPr>
          <w:trHeight w:val="23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three but within six months</w:t>
            </w:r>
          </w:p>
        </w:tc>
        <w:tc>
          <w:tcPr>
            <w:tcW w:w="4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64,561</w:t>
            </w: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 six months but within twelve months</w:t>
            </w:r>
          </w:p>
        </w:tc>
        <w:tc>
          <w:tcPr>
            <w:tcW w:w="4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57,304</w:t>
            </w:r>
          </w:p>
        </w:tc>
      </w:tr>
      <w:tr>
        <w:trPr>
          <w:trHeight w:val="230"/>
        </w:trPr>
        <w:tc>
          <w:tcPr>
            <w:tcW w:w="3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After twelve months</w:t>
            </w:r>
          </w:p>
        </w:tc>
        <w:tc>
          <w:tcPr>
            <w:tcW w:w="4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10,950</w:t>
            </w:r>
          </w:p>
        </w:tc>
      </w:tr>
      <w:tr>
        <w:trPr>
          <w:trHeight w:val="248"/>
        </w:trPr>
        <w:tc>
          <w:tcPr>
            <w:tcW w:w="38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203,221</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Liquidity refers to our ability to maintain cash flow that is adequate to fund our operations, support asset growth, maintain reserve requirements and meet present and future obligations of deposit withdrawals, lending obligations and other contractual obligations through either the sale or maturity of existing assets or by obtaining additional funding through liability management. Our liquidity risk management policy provides the framework that we use to maintain adequate liquidity and sources of available liquidity at levels that enable us to meet all reasonably foreseeable short-term, long-term and strategic liquidity demands. The Asset and Liability Management Committee is responsible for oversight of liquidity risk management activities in accordance with the provisions of our liquidity risk policy and applicable bank regulatory capital and liquidity laws and regulations. Our liquidity risk management process includes (i) ongoing analysis and monitoring of our funding requirements under various balance sheet and economic scenarios, (ii) review and monitoring of lenders, depositors, brokers and other liability holders to ensure appropriate diversification of funding sources and (iii) liquidity contingency planning to address liquidity needs in the event of unforeseen market disruption impacting a wide range of variables. We continuously monitor our liquidity position in order for our assets and liabilities to be managed in a manner that will meet our immediate and long-term funding requirements. We manage our liquidity position to meet the daily cash flow needs of customers, while maintaining an appropriate balance between assets and liabilities to meet the return on investment objectives of our stockholders. We also monitor our liquidity requirements in light of interest rate trends, changes in the economy, and the scheduled maturity and interest rate sensitivity of our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18"/>
          <w:szCs w:val="18"/>
          <w:color w:val="auto"/>
        </w:rPr>
        <w:t>securities and loan portfolios and deposits. The complexity of liquidity management increases due to the varying levels of management control that can be exerted over different elements of the balance sheet. For example, the timing of maturities of our investment portfolio is fairly predictable and subject to a high degree of control when we make investment decisions. Net deposit inflows and outflows, however, are far less predictable and are not subject to the same degree of certainty.</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assessing liquidity risk on a consolidated basis, we monitor the parent company’s liquidity. The parent company’s routine funding requirements consist primarily of operating expenses, dividends paid to shareholders, debt service, repurchases of common stock and funds used for acquisitions. The parent company obtains funding to meet its obligations from dividends collected from its subsidiaries and the issuance of debt and capital securities. Dividend payments to the parent company by its subsidiary bank are subject to regulatory review and statutory limitations and, in some instances, regulatory approval. The Company maintains sufficient funding to meet expected capital and debt service obligations for 18 months without the support of dividends from subsidiaries and assuming access to the wholesale markets is maintained. The Company maintains sufficient liquidity to meet its capital and debt service obligations for 12 months under adverse conditions without the support of dividends from subsidiaries or access to the wholesale markets.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liquidity position is supported by management of our liquid assets and liabilities and access to alternative sources of funds. Our short-term and long-term liquidity requirements are primarily to fund on-going operations, including payment of interest on deposits and debt, extensions of credit to borrowers and capital expenditures. These liquidity requirements are met primarily through our deposits, FHLBNY advances and the principal and interest payments we receive on loans and investment securities. Cash, interest-bearing deposits in third-party banks, securities available for sale and maturing or prepaying balances in our investment and loan portfolios are our most liquid assets. Other sources of liquidity that are available to us include the sale of loans we hold for investment, securitization of loans or PACE assessments, the ability to acquire additional national market non-core deposits, borrowings through the Federal Reserve’s discount window and the issuance of debt or equity securities. We believe that the sources of available liquidity are adequate to meet our current and reasonably foreseeable future liquidity needs.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December 31, 2025, our cash and equivalents, which consist of cash and amounts due from banks and interest-bearing deposits in other financial institutions, amounted to $291.2 million, or 3.3% of total assets, compared to $60.7 million, or 0.7% of total assets at December 31, 2024. The $230.5 million, or 379.4%, increase is due to normal business activities and strategic investment securities sales, offset by paydowns of borrowings and strategic investment securities purchases. Our available for sale securities at December 31, 2025 were $1.78 billion, or 20.1% of total assets, compared to $1.63 billion, or 19.7% of total assets at December 31, 2024. Available for sale securities with an aggregate fair value of $1.15 billion at December 31, 2025 were pledged to secure outstanding advances, letters of credit, provide additional borrowing potential and collateralize municipal deposits. Additionally, as of December 31, 2025 and December 31, 2024, mortgage loans with an unpaid principal balance of $2.33 billion and $2.45 billion respectively, were pledged to the FHLBNY to secure outstanding advances, letters of credit and to provide additional borrowing potential.</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liability portion of the balance sheet serves as our primary source of liquidity. Over the long term, we plan to meet our future cash needs through the generation of deposits. Customer deposits have historically provided a sizeable source of relatively stable and low-cost funds. We are also a member of the FHLBNY, from which we can borrow for leverage or liquidity purposes. The FHLBNY requires that securities and qualifying loans be pledged to secure any advances. At December 31, 2025, we had $5.8 million in advances from the FHLBNY and remaining credit availability of $1.97 billion. In addition, we maintain additional borrowing capacity of approximately $946.9 million with the Federal Reserve’s discount window that is secured by certain securities from our portfolio which are not pledged for other purposes.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had $63.8 million in subordinated debt, net of issuance costs. Our cash and borrowing capacity totaled $4.26 billion of immediately available funds, in addition to unpledged securities with two-day availability of $486.0 million for total liquidity within two days of $4.74 billion, which provided coverage for 103% of total uninsured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stockholders’ equity at December 31, 2025 was $794.5 million, compared to $707.7 million at December 31, 2024, an increase of $86.8 million. The increase was primarily driven by $104.4 million in net income and a $26.5 million increase in accumulated other comprehensive income due to the mark to market on our available for sale securities portfolio, offset by $17.3 million in dividends paid, and $32.3 million in stock repurchases.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various regulatory capital requirements administered by federal banking regulators. Failure to meet minimum capital requirements can initiate certain mandatory and possibly additional discretionary actions by federal banking regulators that, if undertaken, could have a direct material effect on our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5" w:name="page76"/>
    <w:bookmarkEnd w:id="75"/>
    <w:p>
      <w:pPr>
        <w:jc w:val="both"/>
        <w:spacing w:after="0" w:line="256" w:lineRule="auto"/>
        <w:rPr>
          <w:sz w:val="20"/>
          <w:szCs w:val="20"/>
          <w:color w:val="auto"/>
        </w:rPr>
      </w:pPr>
      <w:r>
        <w:rPr>
          <w:rFonts w:ascii="Times New Roman" w:cs="Times New Roman" w:eastAsia="Times New Roman" w:hAnsi="Times New Roman"/>
          <w:sz w:val="18"/>
          <w:szCs w:val="18"/>
          <w:color w:val="auto"/>
        </w:rPr>
        <w:t>Basel III regulatory capital rules impose minimum capital requirements for bank holding companies and banks. These rules apply to all national and state banks and savings associations regardless of size and bank holding companies and savings and loan holding companies with consolidated assets of more than $3 billion. In order to avoid restrictions on capital distributions or discretionary bonus payments to executives, a covered banking organization must maintain the fully phased in “capital conservation buffer” of 2.5% on top of its minimum risk-based capital requirements. This buffer must consist solely of common equity Tier 1 risk-based capital, but the buffer applies to all three measurements (common equity Tier 1 risk-based capital, Tier 1 capital and total capital). The capital conservation buffer is equal to 2.5% of risk-weighted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regulatory capital ratios for the Company and the Bank at the dates indicated: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20"/>
                <w:szCs w:val="20"/>
                <w:color w:val="auto"/>
              </w:rPr>
            </w:pPr>
          </w:p>
        </w:tc>
        <w:tc>
          <w:tcPr>
            <w:tcW w:w="208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3"/>
            <w:vMerge w:val="continue"/>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20" w:type="dxa"/>
            <w:vAlign w:val="bottom"/>
            <w:gridSpan w:val="4"/>
          </w:tcPr>
          <w:p>
            <w:pPr>
              <w:jc w:val="center"/>
              <w:ind w:right="360"/>
              <w:spacing w:after="0" w:line="243" w:lineRule="exact"/>
              <w:rPr>
                <w:sz w:val="20"/>
                <w:szCs w:val="20"/>
                <w:color w:val="auto"/>
              </w:rPr>
            </w:pPr>
            <w:r>
              <w:rPr>
                <w:rFonts w:ascii="Times New Roman" w:cs="Times New Roman" w:eastAsia="Times New Roman" w:hAnsi="Times New Roman"/>
                <w:sz w:val="18"/>
                <w:szCs w:val="18"/>
                <w:b w:val="1"/>
                <w:bCs w:val="1"/>
                <w:color w:val="auto"/>
                <w:w w:val="97"/>
              </w:rPr>
              <w:t>Adequacy Purposes</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0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960" w:type="dxa"/>
            <w:vAlign w:val="bottom"/>
            <w:gridSpan w:val="3"/>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936,532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16.40 %</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456,875</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342,656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347,198</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256,992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455,612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569,515</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341,709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455,612</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345,109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431,387</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256,282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370,185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250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432,496</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324,372</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243,279</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Bank:</w:t>
            </w: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829,871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432,493</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540,616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324,370</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432,493</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334,109</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417,637</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243,277</w:t>
            </w: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351,400</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Amounts are shown exclusive of the capital conservation buffer of 2.50%.</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Bank was categorized as “well capitalized” under the prompt corrective action measures and met the capital conservation buffer requirements.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entered into contractual obligations in the normal course of business that involve elements of credit risk, interest rate risk</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color w:val="auto"/>
        </w:rPr>
        <w:t>and liquidity risk. The following table summarizes these obligations by contractual maturity date as of December 31, 2025:</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More than 5</w:t>
            </w:r>
          </w:p>
        </w:tc>
        <w:tc>
          <w:tcPr>
            <w:tcW w:w="0" w:type="dxa"/>
            <w:vAlign w:val="bottom"/>
          </w:tcPr>
          <w:p>
            <w:pPr>
              <w:spacing w:after="0"/>
              <w:rPr>
                <w:sz w:val="1"/>
                <w:szCs w:val="1"/>
                <w:color w:val="auto"/>
              </w:rPr>
            </w:pPr>
          </w:p>
        </w:tc>
      </w:tr>
      <w:tr>
        <w:trPr>
          <w:trHeight w:val="175"/>
        </w:trPr>
        <w:tc>
          <w:tcPr>
            <w:tcW w:w="2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5"/>
                <w:szCs w:val="15"/>
                <w:color w:val="auto"/>
              </w:rPr>
            </w:pPr>
          </w:p>
        </w:tc>
        <w:tc>
          <w:tcPr>
            <w:tcW w:w="12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40" w:type="dxa"/>
            <w:vAlign w:val="bottom"/>
          </w:tcPr>
          <w:p>
            <w:pPr>
              <w:spacing w:after="0"/>
              <w:rPr>
                <w:sz w:val="15"/>
                <w:szCs w:val="15"/>
                <w:color w:val="auto"/>
              </w:rPr>
            </w:pPr>
          </w:p>
        </w:tc>
        <w:tc>
          <w:tcPr>
            <w:tcW w:w="1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58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gridSpan w:val="2"/>
            <w:vMerge w:val="continue"/>
          </w:tcPr>
          <w:p>
            <w:pPr>
              <w:spacing w:after="0"/>
              <w:rPr>
                <w:sz w:val="21"/>
                <w:szCs w:val="21"/>
                <w:color w:val="auto"/>
              </w:rPr>
            </w:pPr>
          </w:p>
        </w:tc>
        <w:tc>
          <w:tcPr>
            <w:tcW w:w="150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FHLBNY Advances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Subordinated Debt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0" w:type="dxa"/>
            <w:vAlign w:val="bottom"/>
          </w:tcPr>
          <w:p>
            <w:pPr>
              <w:spacing w:after="0"/>
              <w:rPr>
                <w:sz w:val="1"/>
                <w:szCs w:val="1"/>
                <w:color w:val="auto"/>
              </w:rPr>
            </w:pPr>
          </w:p>
        </w:tc>
      </w:tr>
      <w:tr>
        <w:trPr>
          <w:trHeight w:val="229"/>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Leases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Certificates of Deposit</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203,197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192,248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25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285,488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Not included in the above are three leases in which the Company entered into during the year ended December 31, 2025, but the leases have not yet commenced and are expected to commence in 2026. These include a fifteen-year lease for the Company's new headquarters, a thirty-month lease for commercial office location in Oakland, California, and a forty two-month lease for relocation of a branch in New York City.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Obligations</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investments, with commitments extending through December 2026 and June 2028, respectively. As of December 31, 2025, the estimated remaining commitments under these agreements were $139.5 million and $100.0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immaterial.</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fourth quarter of 2025, the Company funded $2.4 million to Greenskies Clean Energy LLC as a solar tax equity investment. As part of this investment agreement, the Company committed to additional fundings of $5.6 million which is recognized as a liability on the balance sheet given this future event is unconditional and legally binding.</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primary market risk is interest rate risk, which is defined as the risk of loss of net interest income or net interest margin because of changes in interest rates.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seek to measure and manage the potential impact of interest rate risk on our net interest income and net interest expense. Interest rate risk occurs when interest-earning assets and interest-bearing liabilities mature or re-price at different times, on a different basis or in unequal amounts. Interest rate risk also arises when our assets, liabilities and off-balance sheet contracts each respond differently to changes in interest rates, including as a result of explicit and implicit provisions in agreements related to such assets and liabilities and in off-balance sheet contracts that alter the applicable interest rate and cash flow characteristics as interest rates change. The two primary examples of such provisions that we are exposed to are the duration and rate sensitivity associated with indeterminate-maturity deposits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non-interest-bearing checking accounts, negotiable order of withdrawal accounts, savings accounts and money market deposits accounts) and the rate of prepayment associated with fixed-rate lending and mortgage-backed securities. Interest rates may also affect loan demand, credit losses, mortgage origination volume and other items affecting earnings.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Asset Liability Management Committee, chaired by our Treasurer, manages our interest rate risk according to written policies approved by our Board of Directors. Changes in our risk profiles are monitored and managed on a continual basis while risk limits are based on quarterly calculations. We use two primary models to monitor interest rate risk: economic value of equity and net interest income simulations. Scenarios include parallel shifts, ramped shifts, twists of yield curves and other adverse impacts. In addition, we monitor the impact of changes to various assumptions including asset prepayments and deposit repricing and decay assumptions. Our risk management infrastructure also requires the Asset Liability Management Committee to periodically review and disclose all key assumptions used, compare these assumptions and observations to actual historical experience, and check model reliability and validity by sample testing data inputs, back testing and third party validation.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our interest rate risk by monitoring calculated risk measures and balance sheet trends such as growth in fixed rate loans, deposit trends and other factors that affect our risk profile. In order to counter changes in risk, we evaluate costs and other trade-offs associated with changing the composition of assets and liabilities; such as selling fixed rate securities, extending the term of borrowings, derivative hedging transactions, changing pricing of loans or deposits or selling residential mortgage loans in the secondary market. We do not engage in speculative trading activities relating to interest rates, foreign exchange rates, commodity prices, equities or credit.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also subject to credit risk. Credit risk is the risk that borrowers or counterparties will be unable or unwilling to repay their obligations in accordance with the underlying contractual terms. We manage and control credit risk in the loan portfolio by adhering to well-defined underwriting criteria and account administration standards established by management. Written credit policies document underwriting standards, approval levels, exposure limits and other limits or standards deemed necessary and prudent. Portfolio diversification at the obligor, industry, product and/or geographic location levels is actively managed to mitigate concentration risk. In addition, credit risk management also includes an independent credit review process that assesses compliance with commercial, real estate and other credit policies, risk ratings and other critical credit information. In addition to implementing risk management practices that are based upon established and sound lending practices, we adhere to sound credit principles. We understand and evaluate our customers’ borrowing needs and capacity to repay, in conjunction with their character and history. We manage and control credit risk in the securities portfolio by adhering to investment policies established by management. Our written investment policies ensure that our risk is diversified and monitored, and we only invest in securities that have strong credit quality. The credit risk associated with each investment is thoroughly reviewed, and certain investments are required to undergo stress testing of variables to ensure the Company is not subject to undue credit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Interest Rate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simulation models incorporate various assumptions, which we believe are reasonable but which may have a significant impact on results such as: (1) the timing of changes in interest rates, (2) shifts or rotations in the yield curve, (3) loan and securities prepayment speeds for different interest rate scenarios, (4) interest rates and balances of indeterminate-maturity deposits for different scenarios, and (5) new volume and yield assumptions for loans, securities and deposits. Because of limitations inherent in any approach used to measure interest rate risk, simulation results are not intended as a forecast of the actual effect of a change in market interest rates on our results but rather to better plan and execute appropriate asset-liability management strategies and manage our interest rate risk.</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Potential changes to our net interest income and economic value of equity in hypothetical rising and declining rate scenarios calculated as of December 31, 2025 are presented in the following table. The projections assume immediate, parallel shifts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78" w:name="page79"/>
    <w:bookmarkEnd w:id="78"/>
    <w:p>
      <w:pPr>
        <w:jc w:val="both"/>
        <w:spacing w:after="0" w:line="282" w:lineRule="auto"/>
        <w:rPr>
          <w:sz w:val="20"/>
          <w:szCs w:val="20"/>
          <w:color w:val="auto"/>
        </w:rPr>
      </w:pPr>
      <w:r>
        <w:rPr>
          <w:rFonts w:ascii="Times New Roman" w:cs="Times New Roman" w:eastAsia="Times New Roman" w:hAnsi="Times New Roman"/>
          <w:sz w:val="18"/>
          <w:szCs w:val="18"/>
          <w:color w:val="auto"/>
        </w:rPr>
        <w:t>downward of the yield curve of 100, 200, 300 and 400 basis points and immediate, parallel shifts upward of the yield curve of 100, 200 and 300 basis points.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results of this simulation analysis are hypothetical and should not be relied on as indicative of expected operating results. A variety of factors might cause actual results to differ substantially from what is depicted. For example, if the timing and magnitude of interest rate changes differ from those projected, our net interest income might vary significantly. Non-parallel yield curve shifts such as a flattening or steepening of the yield curve or changes in interest rate spreads, would also cause our net interest income to be different from that depicted. An increasing interest rate environment could reduce projected net interest income if deposits and other short-term liabilities re-price faster than expected or faster than our assets re-price. Actual results could differ from those projected if we grow assets and liabilities faster or slower than estimated, if we experience a net outflow of deposit liabilities or if our mix of assets and liabilities otherwise changes. Actual results could also differ from those projected if we experience substantially different repayment speeds in our loan portfolio than those assumed in the simulation model. Finally, these simulation results do not contemplate all the actions that we may undertake in response to potential or actual changes in interest rates, such as changes to our loan, investment, deposit, funding or hedging strategies.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Market Interest Rates as of</w:t>
            </w:r>
          </w:p>
        </w:tc>
        <w:tc>
          <w:tcPr>
            <w:tcW w:w="1820" w:type="dxa"/>
            <w:vAlign w:val="bottom"/>
          </w:tcPr>
          <w:p>
            <w:pPr>
              <w:spacing w:after="0"/>
              <w:rPr>
                <w:sz w:val="17"/>
                <w:szCs w:val="17"/>
                <w:color w:val="auto"/>
              </w:rPr>
            </w:pPr>
          </w:p>
        </w:tc>
        <w:tc>
          <w:tcPr>
            <w:tcW w:w="4000" w:type="dxa"/>
            <w:vAlign w:val="bottom"/>
            <w:gridSpan w:val="2"/>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Estimated Increase (Decrease) in:</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20" w:type="dxa"/>
            <w:vAlign w:val="bottom"/>
          </w:tcPr>
          <w:p>
            <w:pPr>
              <w:spacing w:after="0"/>
              <w:rPr>
                <w:sz w:val="21"/>
                <w:szCs w:val="21"/>
                <w:color w:val="auto"/>
              </w:rPr>
            </w:pPr>
          </w:p>
        </w:tc>
        <w:tc>
          <w:tcPr>
            <w:tcW w:w="4000" w:type="dxa"/>
            <w:vAlign w:val="bottom"/>
            <w:gridSpan w:val="2"/>
            <w:vMerge w:val="continue"/>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1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216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Economic Value of</w:t>
            </w:r>
          </w:p>
        </w:tc>
        <w:tc>
          <w:tcPr>
            <w:tcW w:w="18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Year 1 Net Interest</w:t>
            </w:r>
          </w:p>
        </w:tc>
        <w:tc>
          <w:tcPr>
            <w:tcW w:w="2000" w:type="dxa"/>
            <w:vAlign w:val="bottom"/>
            <w:tcBorders>
              <w:top w:val="single" w:sz="8" w:color="auto"/>
            </w:tcBorders>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8"/>
              </w:rPr>
              <w:t>Year 1 Net Interest</w:t>
            </w:r>
          </w:p>
        </w:tc>
        <w:tc>
          <w:tcPr>
            <w:tcW w:w="0" w:type="dxa"/>
            <w:vAlign w:val="bottom"/>
          </w:tcPr>
          <w:p>
            <w:pPr>
              <w:spacing w:after="0"/>
              <w:rPr>
                <w:sz w:val="1"/>
                <w:szCs w:val="1"/>
                <w:color w:val="auto"/>
              </w:rPr>
            </w:pPr>
          </w:p>
        </w:tc>
      </w:tr>
      <w:tr>
        <w:trPr>
          <w:trHeight w:val="243"/>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Immediate Shift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Equity ($ in thousands)</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Income</w:t>
            </w: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rPr>
              <w:t>Income ($ in thousands)</w:t>
            </w:r>
          </w:p>
        </w:tc>
        <w:tc>
          <w:tcPr>
            <w:tcW w:w="0" w:type="dxa"/>
            <w:vAlign w:val="bottom"/>
          </w:tcPr>
          <w:p>
            <w:pPr>
              <w:spacing w:after="0"/>
              <w:rPr>
                <w:sz w:val="1"/>
                <w:szCs w:val="1"/>
                <w:color w:val="auto"/>
              </w:rPr>
            </w:pPr>
          </w:p>
        </w:tc>
      </w:tr>
      <w:tr>
        <w:trPr>
          <w:trHeight w:val="223"/>
        </w:trPr>
        <w:tc>
          <w:tcPr>
            <w:tcW w:w="3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-16.4%</w:t>
            </w:r>
          </w:p>
        </w:tc>
        <w:tc>
          <w:tcPr>
            <w:tcW w:w="2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(312,978)</w:t>
            </w:r>
          </w:p>
        </w:tc>
        <w:tc>
          <w:tcPr>
            <w:tcW w:w="18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2000" w:type="dxa"/>
            <w:vAlign w:val="bottom"/>
            <w:tcBorders>
              <w:top w:val="single" w:sz="8" w:color="auto"/>
            </w:tcBorders>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(10,544)</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-9.7%</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(184,432)</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-0.4%</w:t>
            </w: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(1,373)</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(67,364)</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0.7%</w:t>
            </w:r>
          </w:p>
        </w:tc>
        <w:tc>
          <w:tcPr>
            <w:tcW w:w="2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8"/>
              </w:rPr>
              <w:t>2,296</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-100 basis points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(24,372)</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-2.8%</w:t>
            </w: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8"/>
              </w:rPr>
              <w:t>(9,433)</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-200 basis points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-8.7%</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(166,303)</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-7.3%</w:t>
            </w:r>
          </w:p>
        </w:tc>
        <w:tc>
          <w:tcPr>
            <w:tcW w:w="2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(24,481)</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-300 basis points</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-22.9%</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(436,627.0)</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20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7"/>
              </w:rPr>
              <w:t>(41,030)</w:t>
            </w:r>
          </w:p>
        </w:tc>
        <w:tc>
          <w:tcPr>
            <w:tcW w:w="0" w:type="dxa"/>
            <w:vAlign w:val="bottom"/>
          </w:tcPr>
          <w:p>
            <w:pPr>
              <w:spacing w:after="0"/>
              <w:rPr>
                <w:sz w:val="1"/>
                <w:szCs w:val="1"/>
                <w:color w:val="auto"/>
              </w:rPr>
            </w:pPr>
          </w:p>
        </w:tc>
      </w:tr>
      <w:tr>
        <w:trPr>
          <w:trHeight w:val="230"/>
        </w:trPr>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-400 basis points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-48.5%</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(924,031.0)</w:t>
            </w: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20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7"/>
              </w:rPr>
              <w:t>(57,329)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8"/>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940" w:type="dxa"/>
            <w:vAlign w:val="bottom"/>
          </w:tcPr>
          <w:p>
            <w:pPr>
              <w:spacing w:after="0"/>
              <w:rPr>
                <w:sz w:val="20"/>
                <w:szCs w:val="20"/>
                <w:color w:val="auto"/>
              </w:rPr>
            </w:pPr>
          </w:p>
        </w:tc>
      </w:tr>
      <w:tr>
        <w:trPr>
          <w:trHeight w:val="432"/>
        </w:trPr>
        <w:tc>
          <w:tcPr>
            <w:tcW w:w="93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tc>
        <w:tc>
          <w:tcPr>
            <w:tcW w:w="19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Consolidated Statements of Financial Condition as of December 31, 2025, and 2024</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E32E1"/>
          </w:tcPr>
          <w:p>
            <w:pPr>
              <w:spacing w:after="0" w:line="20" w:lineRule="exact"/>
              <w:rPr>
                <w:sz w:val="1"/>
                <w:szCs w:val="1"/>
                <w:color w:val="auto"/>
              </w:rPr>
            </w:pPr>
          </w:p>
        </w:tc>
        <w:tc>
          <w:tcPr>
            <w:tcW w:w="2640" w:type="dxa"/>
            <w:vAlign w:val="bottom"/>
            <w:shd w:val="clear" w:color="auto" w:fill="0E32E1"/>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9"/>
              </w:rPr>
              <w:t>Consolidated Statements of Income for the years ended December 31, 2025, 2024, and 2023</w:t>
            </w:r>
          </w:p>
        </w:tc>
        <w:tc>
          <w:tcPr>
            <w:tcW w:w="2620" w:type="dxa"/>
            <w:vAlign w:val="bottom"/>
            <w:gridSpan w:val="5"/>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r>
      <w:tr>
        <w:trPr>
          <w:trHeight w:val="209"/>
        </w:trPr>
        <w:tc>
          <w:tcPr>
            <w:tcW w:w="20" w:type="dxa"/>
            <w:vAlign w:val="bottom"/>
          </w:tcPr>
          <w:p>
            <w:pPr>
              <w:spacing w:after="0"/>
              <w:rPr>
                <w:sz w:val="18"/>
                <w:szCs w:val="18"/>
                <w:color w:val="auto"/>
              </w:rPr>
            </w:pPr>
          </w:p>
        </w:tc>
        <w:tc>
          <w:tcPr>
            <w:tcW w:w="834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Consolidated Statements of Comprehensive Income (Loss) for the years ended December 31, 2025, 2024, and 2023</w:t>
            </w:r>
          </w:p>
        </w:tc>
        <w:tc>
          <w:tcPr>
            <w:tcW w:w="940" w:type="dxa"/>
            <w:vAlign w:val="bottom"/>
            <w:gridSpan w:val="2"/>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r>
      <w:tr>
        <w:trPr>
          <w:trHeight w:val="209"/>
        </w:trPr>
        <w:tc>
          <w:tcPr>
            <w:tcW w:w="20" w:type="dxa"/>
            <w:vAlign w:val="bottom"/>
          </w:tcPr>
          <w:p>
            <w:pPr>
              <w:spacing w:after="0"/>
              <w:rPr>
                <w:sz w:val="18"/>
                <w:szCs w:val="18"/>
                <w:color w:val="auto"/>
              </w:rPr>
            </w:pPr>
          </w:p>
        </w:tc>
        <w:tc>
          <w:tcPr>
            <w:tcW w:w="846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9"/>
              </w:rPr>
              <w:t>Consolidated Statements of Changes in Stockholders' Equity for the years ended December 31, 2025, 2024, and 2023</w:t>
            </w:r>
          </w:p>
        </w:tc>
        <w:tc>
          <w:tcPr>
            <w:tcW w:w="82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r>
      <w:tr>
        <w:trPr>
          <w:trHeight w:val="209"/>
        </w:trPr>
        <w:tc>
          <w:tcPr>
            <w:tcW w:w="20" w:type="dxa"/>
            <w:vAlign w:val="bottom"/>
          </w:tcPr>
          <w:p>
            <w:pPr>
              <w:spacing w:after="0"/>
              <w:rPr>
                <w:sz w:val="18"/>
                <w:szCs w:val="18"/>
                <w:color w:val="auto"/>
              </w:rPr>
            </w:pPr>
          </w:p>
        </w:tc>
        <w:tc>
          <w:tcPr>
            <w:tcW w:w="6960" w:type="dxa"/>
            <w:vAlign w:val="bottom"/>
            <w:tcBorders>
              <w:bottom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 for the years ended December 31, 2025, 2024, and 2023</w:t>
            </w:r>
          </w:p>
        </w:tc>
        <w:tc>
          <w:tcPr>
            <w:tcW w:w="2320" w:type="dxa"/>
            <w:vAlign w:val="bottom"/>
            <w:gridSpan w:val="4"/>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10"/>
        </w:trPr>
        <w:tc>
          <w:tcPr>
            <w:tcW w:w="20" w:type="dxa"/>
            <w:vAlign w:val="bottom"/>
          </w:tcPr>
          <w:p>
            <w:pPr>
              <w:spacing w:after="0"/>
              <w:rPr>
                <w:sz w:val="18"/>
                <w:szCs w:val="18"/>
                <w:color w:val="auto"/>
              </w:rPr>
            </w:pPr>
          </w:p>
        </w:tc>
        <w:tc>
          <w:tcPr>
            <w:tcW w:w="3420" w:type="dxa"/>
            <w:vAlign w:val="bottom"/>
            <w:tcBorders>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9"/>
              </w:rPr>
              <w:t>Notes to the Consolidated Financial Statements</w:t>
            </w:r>
          </w:p>
        </w:tc>
        <w:tc>
          <w:tcPr>
            <w:tcW w:w="5860" w:type="dxa"/>
            <w:vAlign w:val="bottom"/>
            <w:gridSpan w:val="7"/>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84</w:t>
            </w:r>
          </w:p>
        </w:tc>
      </w:tr>
      <w:tr>
        <w:trPr>
          <w:trHeight w:val="210"/>
        </w:trPr>
        <w:tc>
          <w:tcPr>
            <w:tcW w:w="20" w:type="dxa"/>
            <w:vAlign w:val="bottom"/>
          </w:tcPr>
          <w:p>
            <w:pPr>
              <w:spacing w:after="0"/>
              <w:rPr>
                <w:sz w:val="18"/>
                <w:szCs w:val="18"/>
                <w:color w:val="auto"/>
              </w:rPr>
            </w:pPr>
          </w:p>
        </w:tc>
        <w:tc>
          <w:tcPr>
            <w:tcW w:w="9280" w:type="dxa"/>
            <w:vAlign w:val="bottom"/>
            <w:gridSpan w:val="8"/>
          </w:tcPr>
          <w:p>
            <w:pPr>
              <w:spacing w:after="0"/>
              <w:rPr>
                <w:sz w:val="20"/>
                <w:szCs w:val="20"/>
                <w:color w:val="auto"/>
              </w:rPr>
            </w:pPr>
            <w:r>
              <w:rPr>
                <w:rFonts w:ascii="Times New Roman" w:cs="Times New Roman" w:eastAsia="Times New Roman" w:hAnsi="Times New Roman"/>
                <w:sz w:val="18"/>
                <w:szCs w:val="18"/>
                <w:color w:val="0E32E1"/>
              </w:rPr>
              <w:t>Report of Independent Registered Accounting Firm, Crowe LLP, New York, New York (PCAOB ID 173)</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144</w:t>
            </w:r>
          </w:p>
        </w:tc>
      </w:tr>
      <w:tr>
        <w:trPr>
          <w:trHeight w:val="763"/>
        </w:trPr>
        <w:tc>
          <w:tcPr>
            <w:tcW w:w="20" w:type="dxa"/>
            <w:vAlign w:val="bottom"/>
          </w:tcPr>
          <w:p>
            <w:pPr>
              <w:spacing w:after="0"/>
              <w:rPr>
                <w:sz w:val="24"/>
                <w:szCs w:val="24"/>
                <w:color w:val="auto"/>
              </w:rPr>
            </w:pPr>
          </w:p>
        </w:tc>
        <w:tc>
          <w:tcPr>
            <w:tcW w:w="6060" w:type="dxa"/>
            <w:vAlign w:val="bottom"/>
            <w:tcBorders>
              <w:top w:val="single" w:sz="8" w:color="0E32E1"/>
            </w:tcBorders>
            <w:gridSpan w:val="2"/>
          </w:tcPr>
          <w:p>
            <w:pPr>
              <w:ind w:left="5520"/>
              <w:spacing w:after="0"/>
              <w:rPr>
                <w:sz w:val="20"/>
                <w:szCs w:val="20"/>
                <w:color w:val="auto"/>
              </w:rPr>
            </w:pPr>
            <w:r>
              <w:rPr>
                <w:rFonts w:ascii="Times New Roman" w:cs="Times New Roman" w:eastAsia="Times New Roman" w:hAnsi="Times New Roman"/>
                <w:sz w:val="18"/>
                <w:szCs w:val="18"/>
                <w:color w:val="auto"/>
              </w:rPr>
              <w:t>77</w:t>
            </w:r>
          </w:p>
        </w:tc>
        <w:tc>
          <w:tcPr>
            <w:tcW w:w="600" w:type="dxa"/>
            <w:vAlign w:val="bottom"/>
            <w:tcBorders>
              <w:top w:val="single" w:sz="8" w:color="0E32E1"/>
            </w:tcBorders>
          </w:tcPr>
          <w:p>
            <w:pPr>
              <w:spacing w:after="0"/>
              <w:rPr>
                <w:sz w:val="24"/>
                <w:szCs w:val="24"/>
                <w:color w:val="auto"/>
              </w:rPr>
            </w:pPr>
          </w:p>
        </w:tc>
        <w:tc>
          <w:tcPr>
            <w:tcW w:w="300" w:type="dxa"/>
            <w:vAlign w:val="bottom"/>
            <w:tcBorders>
              <w:top w:val="single" w:sz="8" w:color="0E32E1"/>
            </w:tcBorders>
          </w:tcPr>
          <w:p>
            <w:pPr>
              <w:spacing w:after="0"/>
              <w:rPr>
                <w:sz w:val="24"/>
                <w:szCs w:val="24"/>
                <w:color w:val="auto"/>
              </w:rPr>
            </w:pPr>
          </w:p>
        </w:tc>
        <w:tc>
          <w:tcPr>
            <w:tcW w:w="640" w:type="dxa"/>
            <w:vAlign w:val="bottom"/>
            <w:tcBorders>
              <w:top w:val="single" w:sz="8" w:color="0E32E1"/>
            </w:tcBorders>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c>
          <w:tcPr>
            <w:tcW w:w="26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Financial Condition</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12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64"/>
        </w:trPr>
        <w:tc>
          <w:tcPr>
            <w:tcW w:w="8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8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due from banks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4,042</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Interest-bearing deposits in banks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286,716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56,707</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291,217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60,749</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Securities:</w:t>
            </w: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Available for sale, at fair value: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Traditional securities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1,580,049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1,477,047</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Property Assessed Clean Energy ("PACE") assessments</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203,502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152,011</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1,783,551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1,629,058</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Held-to-maturity, at amortized cost: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Traditional securities, net of allowance for credit losses of $41 and $49, respectively</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476,950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542,246</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PACE assessments, net of allowance for credit losses of $703 and $655, respectively</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1,077,065</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1,043,959</w:t>
            </w:r>
          </w:p>
        </w:tc>
        <w:tc>
          <w:tcPr>
            <w:tcW w:w="0" w:type="dxa"/>
            <w:vAlign w:val="bottom"/>
          </w:tcPr>
          <w:p>
            <w:pPr>
              <w:spacing w:after="0"/>
              <w:rPr>
                <w:sz w:val="1"/>
                <w:szCs w:val="1"/>
                <w:color w:val="auto"/>
              </w:rPr>
            </w:pPr>
          </w:p>
        </w:tc>
      </w:tr>
      <w:tr>
        <w:trPr>
          <w:trHeight w:val="195"/>
        </w:trPr>
        <w:tc>
          <w:tcPr>
            <w:tcW w:w="8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1,554,015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1,586,205</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Loans held for sale</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37,593</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 of deferred loan origination fees and costs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4,957,273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(57,586)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Loans receivable, net</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4,899,687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4,612,838</w:t>
            </w:r>
          </w:p>
        </w:tc>
        <w:tc>
          <w:tcPr>
            <w:tcW w:w="0" w:type="dxa"/>
            <w:vAlign w:val="bottom"/>
          </w:tcPr>
          <w:p>
            <w:pPr>
              <w:spacing w:after="0"/>
              <w:rPr>
                <w:sz w:val="1"/>
                <w:szCs w:val="1"/>
                <w:color w:val="auto"/>
              </w:rPr>
            </w:pPr>
          </w:p>
        </w:tc>
      </w:tr>
      <w:tr>
        <w:trPr>
          <w:trHeight w:val="216"/>
        </w:trPr>
        <w:tc>
          <w:tcPr>
            <w:tcW w:w="8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Resell agreements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48,662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23,741</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Federal Home Loan Bank of New York ("FHLBNY") stock, at cost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15,693</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interest receivable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61,172</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Premises and equipment, net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6,386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Bank-owned life insurance</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108,941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108,026</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Right-of-use lease asset</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14,231</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 net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42,437</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12,936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1,487</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method investments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8,482</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43,947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35,858</w:t>
            </w:r>
          </w:p>
        </w:tc>
        <w:tc>
          <w:tcPr>
            <w:tcW w:w="0" w:type="dxa"/>
            <w:vAlign w:val="bottom"/>
          </w:tcPr>
          <w:p>
            <w:pPr>
              <w:spacing w:after="0"/>
              <w:rPr>
                <w:sz w:val="1"/>
                <w:szCs w:val="1"/>
                <w:color w:val="auto"/>
              </w:rPr>
            </w:pPr>
          </w:p>
        </w:tc>
      </w:tr>
      <w:tr>
        <w:trPr>
          <w:trHeight w:val="203"/>
        </w:trPr>
        <w:tc>
          <w:tcPr>
            <w:tcW w:w="8140" w:type="dxa"/>
            <w:vAlign w:val="bottom"/>
          </w:tcPr>
          <w:p>
            <w:pPr>
              <w:ind w:left="640"/>
              <w:spacing w:after="0"/>
              <w:rPr>
                <w:sz w:val="20"/>
                <w:szCs w:val="20"/>
                <w:color w:val="auto"/>
              </w:rPr>
            </w:pPr>
            <w:r>
              <w:rPr>
                <w:rFonts w:ascii="Times New Roman" w:cs="Times New Roman" w:eastAsia="Times New Roman" w:hAnsi="Times New Roman"/>
                <w:sz w:val="14"/>
                <w:szCs w:val="14"/>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8,869,836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Deposits</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7,949,241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7,180,605</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Borrowings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314,409</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12,255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19,734</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2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44,329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34,490</w:t>
            </w:r>
          </w:p>
        </w:tc>
        <w:tc>
          <w:tcPr>
            <w:tcW w:w="0" w:type="dxa"/>
            <w:vAlign w:val="bottom"/>
          </w:tcPr>
          <w:p>
            <w:pPr>
              <w:spacing w:after="0"/>
              <w:rPr>
                <w:sz w:val="1"/>
                <w:szCs w:val="1"/>
                <w:color w:val="auto"/>
              </w:rPr>
            </w:pPr>
          </w:p>
        </w:tc>
      </w:tr>
      <w:tr>
        <w:trPr>
          <w:trHeight w:val="203"/>
        </w:trPr>
        <w:tc>
          <w:tcPr>
            <w:tcW w:w="81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8,075,372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7,549,238</w:t>
            </w:r>
          </w:p>
        </w:tc>
        <w:tc>
          <w:tcPr>
            <w:tcW w:w="0" w:type="dxa"/>
            <w:vAlign w:val="bottom"/>
          </w:tcPr>
          <w:p>
            <w:pPr>
              <w:spacing w:after="0"/>
              <w:rPr>
                <w:sz w:val="1"/>
                <w:szCs w:val="1"/>
                <w:color w:val="auto"/>
              </w:rPr>
            </w:pPr>
          </w:p>
        </w:tc>
      </w:tr>
      <w:tr>
        <w:trPr>
          <w:trHeight w:val="176"/>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8140" w:type="dxa"/>
            <w:vAlign w:val="bottom"/>
            <w:shd w:val="clear" w:color="auto" w:fill="CCEEFF"/>
          </w:tcPr>
          <w:p>
            <w:pPr>
              <w:ind w:left="20"/>
              <w:spacing w:after="0" w:line="145" w:lineRule="exact"/>
              <w:rPr>
                <w:sz w:val="20"/>
                <w:szCs w:val="20"/>
                <w:color w:val="auto"/>
              </w:rPr>
            </w:pPr>
            <w:r>
              <w:rPr>
                <w:rFonts w:ascii="Times New Roman" w:cs="Times New Roman" w:eastAsia="Times New Roman" w:hAnsi="Times New Roman"/>
                <w:sz w:val="14"/>
                <w:szCs w:val="14"/>
                <w:color w:val="auto"/>
              </w:rPr>
              <w:t>Common stock, par value $0.01 per share (70,000,000 shares authorized; 31,045,377 and 30,809,484 shares issued, respectively, and</w:t>
            </w:r>
          </w:p>
        </w:tc>
        <w:tc>
          <w:tcPr>
            <w:tcW w:w="240" w:type="dxa"/>
            <w:vAlign w:val="bottom"/>
            <w:shd w:val="clear" w:color="auto" w:fill="CCEEFF"/>
          </w:tcPr>
          <w:p>
            <w:pPr>
              <w:spacing w:after="0"/>
              <w:rPr>
                <w:sz w:val="12"/>
                <w:szCs w:val="12"/>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w:t>
            </w:r>
          </w:p>
        </w:tc>
        <w:tc>
          <w:tcPr>
            <w:tcW w:w="0" w:type="dxa"/>
            <w:vAlign w:val="bottom"/>
          </w:tcPr>
          <w:p>
            <w:pPr>
              <w:spacing w:after="0"/>
              <w:rPr>
                <w:sz w:val="1"/>
                <w:szCs w:val="1"/>
                <w:color w:val="auto"/>
              </w:rPr>
            </w:pPr>
          </w:p>
        </w:tc>
      </w:tr>
      <w:tr>
        <w:trPr>
          <w:trHeight w:val="19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29,818,424 and 30,670,982 shares outstanding, respectively)</w:t>
            </w:r>
          </w:p>
        </w:tc>
        <w:tc>
          <w:tcPr>
            <w:tcW w:w="24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294,134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288,656</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480,144</w:t>
            </w:r>
          </w:p>
        </w:tc>
        <w:tc>
          <w:tcPr>
            <w:tcW w:w="0" w:type="dxa"/>
            <w:vAlign w:val="bottom"/>
          </w:tcPr>
          <w:p>
            <w:pPr>
              <w:spacing w:after="0"/>
              <w:rPr>
                <w:sz w:val="1"/>
                <w:szCs w:val="1"/>
                <w:color w:val="auto"/>
              </w:rPr>
            </w:pPr>
          </w:p>
        </w:tc>
      </w:tr>
      <w:tr>
        <w:trPr>
          <w:trHeight w:val="195"/>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 net of income taxes</w:t>
            </w:r>
          </w:p>
        </w:tc>
        <w:tc>
          <w:tcPr>
            <w:tcW w:w="24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(58,637)</w:t>
            </w:r>
          </w:p>
        </w:tc>
        <w:tc>
          <w:tcPr>
            <w:tcW w:w="0" w:type="dxa"/>
            <w:vAlign w:val="bottom"/>
          </w:tcPr>
          <w:p>
            <w:pPr>
              <w:spacing w:after="0"/>
              <w:rPr>
                <w:sz w:val="1"/>
                <w:szCs w:val="1"/>
                <w:color w:val="auto"/>
              </w:rPr>
            </w:pPr>
          </w:p>
        </w:tc>
      </w:tr>
      <w:tr>
        <w:trPr>
          <w:trHeight w:val="21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at cost (1,226,953 and 138,502 shares, respectively)</w:t>
            </w: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(35,163)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w:t>
            </w:r>
          </w:p>
        </w:tc>
        <w:tc>
          <w:tcPr>
            <w:tcW w:w="0" w:type="dxa"/>
            <w:vAlign w:val="bottom"/>
          </w:tcPr>
          <w:p>
            <w:pPr>
              <w:spacing w:after="0"/>
              <w:rPr>
                <w:sz w:val="1"/>
                <w:szCs w:val="1"/>
                <w:color w:val="auto"/>
              </w:rPr>
            </w:pPr>
          </w:p>
        </w:tc>
      </w:tr>
      <w:tr>
        <w:trPr>
          <w:trHeight w:val="189"/>
        </w:trPr>
        <w:tc>
          <w:tcPr>
            <w:tcW w:w="814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794,464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707,654</w:t>
            </w:r>
          </w:p>
        </w:tc>
        <w:tc>
          <w:tcPr>
            <w:tcW w:w="0" w:type="dxa"/>
            <w:vAlign w:val="bottom"/>
          </w:tcPr>
          <w:p>
            <w:pPr>
              <w:spacing w:after="0"/>
              <w:rPr>
                <w:sz w:val="1"/>
                <w:szCs w:val="1"/>
                <w:color w:val="auto"/>
              </w:rPr>
            </w:pPr>
          </w:p>
        </w:tc>
      </w:tr>
      <w:tr>
        <w:trPr>
          <w:trHeight w:val="228"/>
        </w:trPr>
        <w:tc>
          <w:tcPr>
            <w:tcW w:w="814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8,869,836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8,256,892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5" w:right="339" w:bottom="1440" w:gutter="0" w:footer="0" w:header="0"/>
        </w:sectPr>
      </w:pPr>
    </w:p>
    <w:bookmarkStart w:id="81" w:name="page82"/>
    <w:bookmarkEnd w:id="81"/>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Income</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240,616</w:t>
            </w:r>
          </w:p>
        </w:tc>
        <w:tc>
          <w:tcPr>
            <w:tcW w:w="5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215,380</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191,295</w:t>
            </w:r>
          </w:p>
        </w:tc>
      </w:tr>
      <w:tr>
        <w:trPr>
          <w:trHeight w:val="23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176,272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177,247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161,003</w:t>
            </w:r>
          </w:p>
        </w:tc>
      </w:tr>
      <w:tr>
        <w:trPr>
          <w:trHeight w:val="229"/>
        </w:trPr>
        <w:tc>
          <w:tcPr>
            <w:tcW w:w="5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Interest-bearing deposits in banks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8,669</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5,779</w:t>
            </w:r>
          </w:p>
        </w:tc>
      </w:tr>
      <w:tr>
        <w:trPr>
          <w:trHeight w:val="223"/>
        </w:trPr>
        <w:tc>
          <w:tcPr>
            <w:tcW w:w="5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and dividend income</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422,229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401,296</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358,077</w:t>
            </w:r>
          </w:p>
        </w:tc>
      </w:tr>
      <w:tr>
        <w:trPr>
          <w:trHeight w:val="20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Deposits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121,554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113,461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81,124</w:t>
            </w:r>
          </w:p>
        </w:tc>
      </w:tr>
      <w:tr>
        <w:trPr>
          <w:trHeight w:val="229"/>
        </w:trPr>
        <w:tc>
          <w:tcPr>
            <w:tcW w:w="5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Borrowed funds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15,642</w:t>
            </w:r>
          </w:p>
        </w:tc>
      </w:tr>
      <w:tr>
        <w:trPr>
          <w:trHeight w:val="223"/>
        </w:trPr>
        <w:tc>
          <w:tcPr>
            <w:tcW w:w="5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interest expense</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124,445</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118,866</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96,766</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INCOME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297,784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282,430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261,311</w:t>
            </w:r>
          </w:p>
        </w:tc>
      </w:tr>
      <w:tr>
        <w:trPr>
          <w:trHeight w:val="229"/>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16,323</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14,670</w:t>
            </w:r>
          </w:p>
        </w:tc>
      </w:tr>
      <w:tr>
        <w:trPr>
          <w:trHeight w:val="223"/>
        </w:trPr>
        <w:tc>
          <w:tcPr>
            <w:tcW w:w="56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281,461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272,146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246,641</w:t>
            </w:r>
          </w:p>
        </w:tc>
      </w:tr>
      <w:tr>
        <w:trPr>
          <w:trHeight w:val="229"/>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 INCOME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 Department fees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15,175</w:t>
            </w:r>
          </w:p>
        </w:tc>
      </w:tr>
      <w:tr>
        <w:trPr>
          <w:trHeight w:val="229"/>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10,999</w:t>
            </w: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Bank-owned life insurance income</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2,882</w:t>
            </w:r>
          </w:p>
        </w:tc>
      </w:tr>
      <w:tr>
        <w:trPr>
          <w:trHeight w:val="229"/>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Losses on sale of securities and other assets, net</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r>
      <w:tr>
        <w:trPr>
          <w:trHeight w:val="175"/>
        </w:trPr>
        <w:tc>
          <w:tcPr>
            <w:tcW w:w="5640" w:type="dxa"/>
            <w:vAlign w:val="bottom"/>
          </w:tcPr>
          <w:p>
            <w:pPr>
              <w:ind w:left="200"/>
              <w:spacing w:after="0" w:line="176" w:lineRule="exact"/>
              <w:rPr>
                <w:sz w:val="20"/>
                <w:szCs w:val="20"/>
                <w:color w:val="auto"/>
              </w:rPr>
            </w:pPr>
            <w:r>
              <w:rPr>
                <w:rFonts w:ascii="Times New Roman" w:cs="Times New Roman" w:eastAsia="Times New Roman" w:hAnsi="Times New Roman"/>
                <w:sz w:val="18"/>
                <w:szCs w:val="18"/>
                <w:color w:val="auto"/>
              </w:rPr>
              <w:t>Gain (loss) on sale of loans and changes in fair value on loans held-for-</w:t>
            </w:r>
          </w:p>
        </w:tc>
        <w:tc>
          <w:tcPr>
            <w:tcW w:w="10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243"/>
        </w:trPr>
        <w:tc>
          <w:tcPr>
            <w:tcW w:w="5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sale, net</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investments income (loss)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4,932</w:t>
            </w:r>
          </w:p>
        </w:tc>
      </w:tr>
      <w:tr>
        <w:trPr>
          <w:trHeight w:val="230"/>
        </w:trPr>
        <w:tc>
          <w:tcPr>
            <w:tcW w:w="5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2,079</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23"/>
        </w:trPr>
        <w:tc>
          <w:tcPr>
            <w:tcW w:w="56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non-interest income</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30,940</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33,215</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29,336</w:t>
            </w:r>
          </w:p>
        </w:tc>
      </w:tr>
      <w:tr>
        <w:trPr>
          <w:trHeight w:val="21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NON-INTEREST EXPENSE</w:t>
            </w: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Compensation and employee benefits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98,555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93,766</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85,774</w:t>
            </w: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Occupancy and depreciation</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13,605</w:t>
            </w:r>
          </w:p>
        </w:tc>
      </w:tr>
      <w:tr>
        <w:trPr>
          <w:trHeight w:val="23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Professional fees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9,637</w:t>
            </w: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19,802</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17,744</w:t>
            </w:r>
          </w:p>
        </w:tc>
      </w:tr>
      <w:tr>
        <w:trPr>
          <w:trHeight w:val="229"/>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Office maintenance and depreciation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r>
      <w:tr>
        <w:trPr>
          <w:trHeight w:val="230"/>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and promotion</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w:t>
            </w:r>
          </w:p>
        </w:tc>
      </w:tr>
      <w:tr>
        <w:trPr>
          <w:trHeight w:val="230"/>
        </w:trPr>
        <w:tc>
          <w:tcPr>
            <w:tcW w:w="5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 deposit insurance premiums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r>
      <w:tr>
        <w:trPr>
          <w:trHeight w:val="229"/>
        </w:trPr>
        <w:tc>
          <w:tcPr>
            <w:tcW w:w="5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w:t>
            </w:r>
          </w:p>
        </w:tc>
        <w:tc>
          <w:tcPr>
            <w:tcW w:w="10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13,083</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r>
      <w:tr>
        <w:trPr>
          <w:trHeight w:val="223"/>
        </w:trPr>
        <w:tc>
          <w:tcPr>
            <w:tcW w:w="56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non-interest expense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172,246</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159,772</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151,247</w:t>
            </w:r>
          </w:p>
        </w:tc>
      </w:tr>
      <w:tr>
        <w:trPr>
          <w:trHeight w:val="22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140,155</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145,589</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124,730</w:t>
            </w:r>
          </w:p>
        </w:tc>
      </w:tr>
      <w:tr>
        <w:trPr>
          <w:trHeight w:val="230"/>
        </w:trPr>
        <w:tc>
          <w:tcPr>
            <w:tcW w:w="5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16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36,752</w:t>
            </w:r>
          </w:p>
        </w:tc>
      </w:tr>
      <w:tr>
        <w:trPr>
          <w:trHeight w:val="223"/>
        </w:trPr>
        <w:tc>
          <w:tcPr>
            <w:tcW w:w="56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16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87,978</w:t>
            </w:r>
          </w:p>
        </w:tc>
      </w:tr>
      <w:tr>
        <w:trPr>
          <w:trHeight w:val="223"/>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common share - basic</w:t>
            </w:r>
          </w:p>
        </w:tc>
        <w:tc>
          <w:tcPr>
            <w:tcW w:w="10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6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30"/>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common share - diluted</w:t>
            </w:r>
          </w:p>
        </w:tc>
        <w:tc>
          <w:tcPr>
            <w:tcW w:w="108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56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Comprehensive Income (Loss)</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19"/>
                <w:szCs w:val="19"/>
                <w:color w:val="auto"/>
              </w:rPr>
            </w:pPr>
          </w:p>
        </w:tc>
      </w:tr>
      <w:tr>
        <w:trPr>
          <w:trHeight w:val="238"/>
        </w:trPr>
        <w:tc>
          <w:tcPr>
            <w:tcW w:w="65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50"/>
        </w:trPr>
        <w:tc>
          <w:tcPr>
            <w:tcW w:w="65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87,978</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175"/>
        </w:trPr>
        <w:tc>
          <w:tcPr>
            <w:tcW w:w="65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Change in total obligation for postretirement benefits, prior service credit, and other</w:t>
            </w: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securities available for sale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22,183</w:t>
            </w: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7,392</w:t>
            </w:r>
          </w:p>
        </w:tc>
      </w:tr>
      <w:tr>
        <w:trPr>
          <w:trHeight w:val="230"/>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r>
      <w:tr>
        <w:trPr>
          <w:trHeight w:val="223"/>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gains on securities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31,470</w:t>
            </w: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6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9"/>
        </w:trPr>
        <w:tc>
          <w:tcPr>
            <w:tcW w:w="6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income</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unrealized gains (losses) on cash flow hedges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before tax</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36,559</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38,161</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w:t>
            </w:r>
          </w:p>
        </w:tc>
      </w:tr>
      <w:tr>
        <w:trPr>
          <w:trHeight w:val="230"/>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(9,010)</w:t>
            </w: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22,703</w:t>
            </w: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net of taxes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130,996</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133,801</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110,681</w:t>
            </w:r>
          </w:p>
        </w:tc>
      </w:tr>
      <w:tr>
        <w:trPr>
          <w:trHeight w:val="20"/>
        </w:trPr>
        <w:tc>
          <w:tcPr>
            <w:tcW w:w="65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Consolidated Statements of Changes in Stockholders’ Equity</w:t>
      </w: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13"/>
                <w:szCs w:val="13"/>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40" w:type="dxa"/>
            <w:vAlign w:val="bottom"/>
          </w:tcPr>
          <w:p>
            <w:pPr>
              <w:spacing w:after="0"/>
              <w:rPr>
                <w:sz w:val="12"/>
                <w:szCs w:val="12"/>
                <w:color w:val="auto"/>
              </w:rPr>
            </w:pPr>
          </w:p>
        </w:tc>
        <w:tc>
          <w:tcPr>
            <w:tcW w:w="70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80" w:type="dxa"/>
            <w:vAlign w:val="bottom"/>
          </w:tcPr>
          <w:p>
            <w:pPr>
              <w:spacing w:after="0"/>
              <w:rPr>
                <w:sz w:val="12"/>
                <w:szCs w:val="12"/>
                <w:color w:val="auto"/>
              </w:rPr>
            </w:pPr>
          </w:p>
        </w:tc>
        <w:tc>
          <w:tcPr>
            <w:tcW w:w="10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7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Stock, at</w:t>
            </w:r>
          </w:p>
        </w:tc>
        <w:tc>
          <w:tcPr>
            <w:tcW w:w="10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0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7"/>
                <w:szCs w:val="17"/>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40" w:type="dxa"/>
            <w:vAlign w:val="bottom"/>
          </w:tcPr>
          <w:p>
            <w:pPr>
              <w:spacing w:after="0"/>
              <w:rPr>
                <w:sz w:val="17"/>
                <w:szCs w:val="17"/>
                <w:color w:val="auto"/>
              </w:rPr>
            </w:pPr>
          </w:p>
        </w:tc>
        <w:tc>
          <w:tcPr>
            <w:tcW w:w="7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2023</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30,700,198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286,947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330,275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(108,707)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508,822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508,955</w:t>
            </w:r>
          </w:p>
        </w:tc>
        <w:tc>
          <w:tcPr>
            <w:tcW w:w="0" w:type="dxa"/>
            <w:vAlign w:val="bottom"/>
          </w:tcPr>
          <w:p>
            <w:pPr>
              <w:spacing w:after="0"/>
              <w:rPr>
                <w:sz w:val="1"/>
                <w:szCs w:val="1"/>
                <w:color w:val="auto"/>
              </w:rPr>
            </w:pPr>
          </w:p>
        </w:tc>
      </w:tr>
      <w:tr>
        <w:trPr>
          <w:trHeight w:val="135"/>
        </w:trPr>
        <w:tc>
          <w:tcPr>
            <w:tcW w:w="28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Cumulative effect of adoption of ASU No. 2016-</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(17,825)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(17,825)</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13</w:t>
            </w: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88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Balance at January 1, 2023 adjusted for</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30,700,198</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286,947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312,450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(108,707)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0"/>
                <w:szCs w:val="10"/>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490,997</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491,130</w:t>
            </w:r>
          </w:p>
        </w:tc>
        <w:tc>
          <w:tcPr>
            <w:tcW w:w="0" w:type="dxa"/>
            <w:vAlign w:val="bottom"/>
          </w:tcPr>
          <w:p>
            <w:pPr>
              <w:spacing w:after="0"/>
              <w:rPr>
                <w:sz w:val="1"/>
                <w:szCs w:val="1"/>
                <w:color w:val="auto"/>
              </w:rPr>
            </w:pPr>
          </w:p>
        </w:tc>
      </w:tr>
      <w:tr>
        <w:trPr>
          <w:trHeight w:val="20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change in accounting principle</w:t>
            </w: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87,978</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issued under Equity Program</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stock</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(12,395)</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shares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(474,689)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(8,315)</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net of repurchases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28,739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vesting, net of repurchases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4,687</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22,703</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30,428,359</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307</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288,232</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388,033</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(86,004)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(5,337)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585,231</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133</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585,364</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106,434</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Equity Program</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stock</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(14,323)</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Redemption of AREMCO class B shares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(1,130)</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 net of repurchases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stock unit vesting, net of repurchases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142,597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6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00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27,367</w:t>
            </w:r>
          </w:p>
        </w:tc>
        <w:tc>
          <w:tcPr>
            <w:tcW w:w="0" w:type="dxa"/>
            <w:vAlign w:val="bottom"/>
          </w:tcPr>
          <w:p>
            <w:pPr>
              <w:spacing w:after="0"/>
              <w:rPr>
                <w:sz w:val="1"/>
                <w:szCs w:val="1"/>
                <w:color w:val="auto"/>
              </w:rPr>
            </w:pPr>
          </w:p>
        </w:tc>
      </w:tr>
      <w:tr>
        <w:trPr>
          <w:trHeight w:val="19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30,670,982</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308</w:t>
            </w:r>
          </w:p>
        </w:tc>
        <w:tc>
          <w:tcPr>
            <w:tcW w:w="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288,656</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480,144</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(58,637)</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(2,817)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707,654</w:t>
            </w: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707,654</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104,447</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 under Equity Program</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30,642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declared on common stock</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(17,322)</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(1,088,451)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(32,346)</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Exercise of stock options, net of repurchases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43,456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0" w:type="dxa"/>
            <w:vAlign w:val="bottom"/>
          </w:tcPr>
          <w:p>
            <w:pPr>
              <w:spacing w:after="0"/>
              <w:rPr>
                <w:sz w:val="1"/>
                <w:szCs w:val="1"/>
                <w:color w:val="auto"/>
              </w:rPr>
            </w:pPr>
          </w:p>
        </w:tc>
      </w:tr>
      <w:tr>
        <w:trPr>
          <w:trHeight w:val="195"/>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stock unit vesting, net of repurchases</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161,795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(2,614)</w:t>
            </w:r>
          </w:p>
        </w:tc>
        <w:tc>
          <w:tcPr>
            <w:tcW w:w="0" w:type="dxa"/>
            <w:vAlign w:val="bottom"/>
          </w:tcPr>
          <w:p>
            <w:pPr>
              <w:spacing w:after="0"/>
              <w:rPr>
                <w:sz w:val="1"/>
                <w:szCs w:val="1"/>
                <w:color w:val="auto"/>
              </w:rPr>
            </w:pPr>
          </w:p>
        </w:tc>
      </w:tr>
      <w:tr>
        <w:trPr>
          <w:trHeight w:val="21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6,918</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26,549</w:t>
            </w: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29,818,424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294,134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567,269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(32,088)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794,464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794,464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See accompanying notes to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2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Consolidated Statements of Cash Flows</w:t>
      </w:r>
    </w:p>
    <w:p>
      <w:pPr>
        <w:ind w:left="20"/>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7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87,978</w:t>
            </w:r>
          </w:p>
        </w:tc>
        <w:tc>
          <w:tcPr>
            <w:tcW w:w="0" w:type="dxa"/>
            <w:vAlign w:val="bottom"/>
          </w:tcPr>
          <w:p>
            <w:pPr>
              <w:spacing w:after="0"/>
              <w:rPr>
                <w:sz w:val="1"/>
                <w:szCs w:val="1"/>
                <w:color w:val="auto"/>
              </w:rPr>
            </w:pPr>
          </w:p>
        </w:tc>
      </w:tr>
      <w:tr>
        <w:trPr>
          <w:trHeight w:val="229"/>
        </w:trPr>
        <w:tc>
          <w:tcPr>
            <w:tcW w:w="7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Deferred income tax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0" w:type="dxa"/>
            <w:vAlign w:val="bottom"/>
          </w:tcPr>
          <w:p>
            <w:pPr>
              <w:spacing w:after="0"/>
              <w:rPr>
                <w:sz w:val="1"/>
                <w:szCs w:val="1"/>
                <w:color w:val="auto"/>
              </w:rPr>
            </w:pPr>
          </w:p>
        </w:tc>
      </w:tr>
      <w:tr>
        <w:trPr>
          <w:trHeight w:val="22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14,670</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2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 from equity method investments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loss on sale of securities available for sale and other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0" w:type="dxa"/>
            <w:vAlign w:val="bottom"/>
          </w:tcPr>
          <w:p>
            <w:pPr>
              <w:spacing w:after="0"/>
              <w:rPr>
                <w:sz w:val="1"/>
                <w:szCs w:val="1"/>
                <w:color w:val="auto"/>
              </w:rPr>
            </w:pPr>
          </w:p>
        </w:tc>
      </w:tr>
      <w:tr>
        <w:trPr>
          <w:trHeight w:val="229"/>
        </w:trPr>
        <w:tc>
          <w:tcPr>
            <w:tcW w:w="7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(gain) loss on sale of loans and change in fair value on loans held-for-sale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gain on death benefits of bank-owned life insurance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 held for sale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Originations of loans held for sale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in cash surrender value of bank-owned life insurance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in accrued interest receivable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w:t>
            </w: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Increase (decrease) in other liabilities</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117,224</w:t>
            </w:r>
          </w:p>
        </w:tc>
        <w:tc>
          <w:tcPr>
            <w:tcW w:w="0" w:type="dxa"/>
            <w:vAlign w:val="bottom"/>
          </w:tcPr>
          <w:p>
            <w:pPr>
              <w:spacing w:after="0"/>
              <w:rPr>
                <w:sz w:val="1"/>
                <w:szCs w:val="1"/>
                <w:color w:val="auto"/>
              </w:rPr>
            </w:pPr>
          </w:p>
        </w:tc>
      </w:tr>
      <w:tr>
        <w:trPr>
          <w:trHeight w:val="21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increase in loans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(317,211)</w:t>
            </w:r>
          </w:p>
        </w:tc>
        <w:tc>
          <w:tcPr>
            <w:tcW w:w="0" w:type="dxa"/>
            <w:vAlign w:val="bottom"/>
          </w:tcPr>
          <w:p>
            <w:pPr>
              <w:spacing w:after="0"/>
              <w:rPr>
                <w:sz w:val="1"/>
                <w:szCs w:val="1"/>
                <w:color w:val="auto"/>
              </w:rPr>
            </w:pPr>
          </w:p>
        </w:tc>
      </w:tr>
      <w:tr>
        <w:trPr>
          <w:trHeight w:val="22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sales of loans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 of securities available for sale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(116,453)</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(157,951)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(264,498)</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sales of securities available for sale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285,408</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available for sale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477,862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310,786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167,783</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Maturities, principal payments and redemptions of securities held-to-maturity</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204,346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108,877</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resell agreements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(24,246)</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Decrease (increase) in equity method investments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Decrease (increase) in FHLBNY stock, net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25,218</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premises and equipment,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redemption of bank-owned life insurance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owned assets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(378,019)</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(315,947)</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(134,407)</w:t>
            </w:r>
          </w:p>
        </w:tc>
        <w:tc>
          <w:tcPr>
            <w:tcW w:w="0" w:type="dxa"/>
            <w:vAlign w:val="bottom"/>
          </w:tcPr>
          <w:p>
            <w:pPr>
              <w:spacing w:after="0"/>
              <w:rPr>
                <w:sz w:val="1"/>
                <w:szCs w:val="1"/>
                <w:color w:val="auto"/>
              </w:rPr>
            </w:pPr>
          </w:p>
        </w:tc>
      </w:tr>
      <w:tr>
        <w:trPr>
          <w:trHeight w:val="21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increase in deposits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416,951</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other borrowings, net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(345,619)</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subordinated debt</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Common stock issued under Equity Program</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Redemption of AREMCO class B shares</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0" w:type="dxa"/>
            <w:vAlign w:val="bottom"/>
          </w:tcPr>
          <w:p>
            <w:pPr>
              <w:spacing w:after="0"/>
              <w:rPr>
                <w:sz w:val="1"/>
                <w:szCs w:val="1"/>
                <w:color w:val="auto"/>
              </w:rPr>
            </w:pPr>
          </w:p>
        </w:tc>
      </w:tr>
      <w:tr>
        <w:trPr>
          <w:trHeight w:val="23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738"/>
        </w:trPr>
        <w:tc>
          <w:tcPr>
            <w:tcW w:w="736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related to repurchase of common stock for equity awards</w:t>
            </w:r>
          </w:p>
        </w:tc>
        <w:tc>
          <w:tcPr>
            <w:tcW w:w="3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tcPr>
          <w:p>
            <w:pPr>
              <w:ind w:left="10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162,061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0" w:type="dxa"/>
            <w:vAlign w:val="bottom"/>
          </w:tcPr>
          <w:p>
            <w:pPr>
              <w:spacing w:after="0"/>
              <w:rPr>
                <w:sz w:val="1"/>
                <w:szCs w:val="1"/>
                <w:color w:val="auto"/>
              </w:rPr>
            </w:pPr>
          </w:p>
        </w:tc>
      </w:tr>
      <w:tr>
        <w:trPr>
          <w:trHeight w:val="223"/>
        </w:trPr>
        <w:tc>
          <w:tcPr>
            <w:tcW w:w="736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27,030</w:t>
            </w:r>
          </w:p>
        </w:tc>
        <w:tc>
          <w:tcPr>
            <w:tcW w:w="0" w:type="dxa"/>
            <w:vAlign w:val="bottom"/>
          </w:tcPr>
          <w:p>
            <w:pPr>
              <w:spacing w:after="0"/>
              <w:rPr>
                <w:sz w:val="1"/>
                <w:szCs w:val="1"/>
                <w:color w:val="auto"/>
              </w:rPr>
            </w:pP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year</w:t>
            </w:r>
          </w:p>
        </w:tc>
        <w:tc>
          <w:tcPr>
            <w:tcW w:w="3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90,570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63,540</w:t>
            </w:r>
          </w:p>
        </w:tc>
        <w:tc>
          <w:tcPr>
            <w:tcW w:w="0" w:type="dxa"/>
            <w:vAlign w:val="bottom"/>
          </w:tcPr>
          <w:p>
            <w:pPr>
              <w:spacing w:after="0"/>
              <w:rPr>
                <w:sz w:val="1"/>
                <w:szCs w:val="1"/>
                <w:color w:val="auto"/>
              </w:rPr>
            </w:pPr>
          </w:p>
        </w:tc>
      </w:tr>
      <w:tr>
        <w:trPr>
          <w:trHeight w:val="221"/>
        </w:trPr>
        <w:tc>
          <w:tcPr>
            <w:tcW w:w="73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Cash, cash equivalents, and restricted cash at end of year</w:t>
            </w: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291,217</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60,749</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90,570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3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paid during the year</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85,714</w:t>
            </w:r>
          </w:p>
        </w:tc>
        <w:tc>
          <w:tcPr>
            <w:tcW w:w="0" w:type="dxa"/>
            <w:vAlign w:val="bottom"/>
          </w:tcPr>
          <w:p>
            <w:pPr>
              <w:spacing w:after="0"/>
              <w:rPr>
                <w:sz w:val="1"/>
                <w:szCs w:val="1"/>
                <w:color w:val="auto"/>
              </w:rPr>
            </w:pPr>
          </w:p>
        </w:tc>
      </w:tr>
      <w:tr>
        <w:trPr>
          <w:trHeight w:val="230"/>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non-cash activities: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Loans transferred from held-for-sale</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4,664</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Loans transferred to held-for-sale</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3,581</w:t>
            </w:r>
          </w:p>
        </w:tc>
        <w:tc>
          <w:tcPr>
            <w:tcW w:w="0" w:type="dxa"/>
            <w:vAlign w:val="bottom"/>
          </w:tcPr>
          <w:p>
            <w:pPr>
              <w:spacing w:after="0"/>
              <w:rPr>
                <w:sz w:val="1"/>
                <w:szCs w:val="1"/>
                <w:color w:val="auto"/>
              </w:rPr>
            </w:pPr>
          </w:p>
        </w:tc>
      </w:tr>
      <w:tr>
        <w:trPr>
          <w:trHeight w:val="234"/>
        </w:trPr>
        <w:tc>
          <w:tcPr>
            <w:tcW w:w="7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Cumulative change due to adoption of ASU No. 2016-13</w:t>
            </w:r>
          </w:p>
        </w:tc>
        <w:tc>
          <w:tcPr>
            <w:tcW w:w="3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1.</w:t>
      </w:r>
      <w:r>
        <w:rPr>
          <w:sz w:val="20"/>
          <w:szCs w:val="20"/>
          <w:color w:val="auto"/>
        </w:rPr>
        <w:tab/>
      </w:r>
      <w:r>
        <w:rPr>
          <w:rFonts w:ascii="Times New Roman" w:cs="Times New Roman" w:eastAsia="Times New Roman" w:hAnsi="Times New Roman"/>
          <w:sz w:val="19"/>
          <w:szCs w:val="19"/>
          <w:b w:val="1"/>
          <w:bCs w:val="1"/>
          <w:color w:val="auto"/>
        </w:rPr>
        <w:t>SUMMARY OF SIGNIFICANT ACCOUNTING POLICIES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Nature of Operations and Principles of Consolidation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Amalgamated Financial Corp., a Delaware public benefit corporation (the "Company"), was formed on August 25, 2020 to serve as the holding company for Amalgamated Bank and is a bank holding company registered with the Federal Reserve Board of Governors under the Bank Holding Company Act of 1956, as amended. On March 1, 2021 the Company acquired all of the outstanding stock of Amalgamated Bank, a New York state-chartered commercial bank in a statutory share exchange transaction (the “Reorganization”) effected under New York law and in accordance with the terms of a Plan of Acquisition dated September 4, 2020. Pursuant to the Reorganization, the Bank became the sole subsidiary of the Company, the Company became the holding company for the Bank and the stockholders of the Bank became stockholders of the Company.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Bank was formed in 1923 as Amalgamated Bank of New York by the Amalgamated Clothing Workers of America, one of the country’s oldest labor unions.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audited consolidated financial statements presented in this Annual Report on Form 10-K include the collective results of the Holding Company and its wholly-owned subsidiary, the Bank, which are collectively herein referred to as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Accounting and Changes in Significant Accounting Policies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accounting and reporting policies of the Company conform to generally accepted accounting principles ("GAAP") in the United States of America, or GAAP and predominant practices within the banking industry. The Company uses the accrual basis of accounting for financial statement purposes.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majority-owned and wholly-owned subsidiaries. All significant inter-company transactions and balances are eliminated in consolidation.</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liabilities and disclosures of contingent assets and liabilities at the date of the financial statements, as well as the reported amounts of revenues and expenses during the reporting period. In particular, estimates and assumptions are used in measuring the fair value of certain financial instruments, determining the appropriateness of the allowance for credit losses (“allowance”), evaluating potential other-than-temporary securities impairment, assessing the ability to realize deferred tax assets, and the valuation of share-based payment awards. Estimates and assumptions are based on available information and judgment; therefore actual results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purposes of reporting cash flows, cash, cash equivalents, and restricted cash include cash, due from banks, interest-bearing deposits in other banks and federal funds sold with original maturities of three months or less. The Company had $0.7 million and $0.7 million in restricted cash as of December 31, 2025 and December 31, 2024, respectively and is included in total cash and cash equivalents on the Consolidated Statements of Financial Condition. The Company’s restricted cash reflects funds held in other financial institutions to secure business operating rights or contractually obligated minimum account funding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Purchases of investments in debt securities are designated as either trading, available for sale or held-to-maturity depending on the intent and ability to hold the securities. The initial designation is made at the time of purchase. Investments are categorized as either traditional investments or Property Assessed Clean Energy ("PACE") assessments.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December 31, 2024, the Company had no securities designated as trading.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Securities available for sale are carried at fair value, with any net unrealized appreciation or depreciation in fair value reported net of taxes as a component of accumulated other comprehensive income (loss) in stockholders’ equity. Debt securities held-to-maturity are carried at amortized cost provided management does not have the intent to sell these securities and does not anticipate that it will be necessary to sell these securities before the full recovery of principal and interest, which may be at maturity.</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87" w:name="page88"/>
    <w:bookmarkEnd w:id="87"/>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Premiums (discounts) on debt securities are amortized (accreted) to income using the level yield method to the contractual maturity date adjusted for actual prepayment experience.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Realized gains and losses on sale of securities are determined using the specific identification method and are reported in non-interest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derivative instruments are carried at fair value in the Company’s financial statements as part of Other assets for derivatives with positive fair values and Other liabilities for derivatives with negative fair values. The accounting for changes in the fair value of a derivative instrument is dependent upon whether or not it qualifies and has been designated as a hedge for accounting purposes, and further, by the type of hedging relationship.</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inception of a derivative contract, the Company designates the derivative as one of three types based on the Company’s intentions and belief as to likely effectiveness as a hedge. These three types are (1) a hedge of the fair value of a recognized asset or liability or of an unrecognized firm commitment (“fair value hedge”), (2) a hedge of a forecasted transaction or the variability of cash flows to be received or paid related to a recognized asset or liability (“cash flow hedge”), or (3) an instrument with no hedging designation. For a fair value hedge, the gain or loss on the derivative, as well as the offsetting loss or gain on the hedged item, are recognized in current earnings as fair values change. For a cash flow hedge, the gain or loss on the derivative is reported in other comprehensive income and is reclassified into earnings in the same periods during which the hedged transaction affects earnings. For cash flow hedges, changes in the fair value of derivatives that are not highly effective in hedging the changes in fair value or expected cash flows of the hedged item are recognized immediately in current earnings. Changes in the fair value of derivatives that do not qualify for hedge accounting are reported currently in earnings, as non-interest income. When hedge accounting is discontinued on a fair value hedge that no longer qualifies as an effective hedge, the derivative continues to be reported at fair value in the statement of condition, but the carrying amount of the hedged item is no longer adjusted for future changes in fair value. The adjustment to the carrying amount of the hedged item that existed at the date hedge accounting is discontinued is amortized over the remaining life of the hedged item into earnings.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settlements on derivatives that qualify for hedge accounting are recorded in interest income or interest expense, based on the item being hedged. Net cash settlements on derivatives that do not qualify for hedge accounting are reported in non-interest income. Cash flows on hedges are classified in the cash flow statement the same as the cash flows of the items being hedged.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formally documents the relationship between derivatives and hedged items, as well as the risk-management objective and the strategy for undertaking hedge transactions at the inception of the hedging relationship. This documentation includes linking fair value or cash flow hedges to specific assets and liabilities on the statement of condition or to specific firm commitments or forecasted transactions. The Company discontinues hedge accounting when it determines that the derivative is no longer effective in offsetting changes in the fair value or cash flows of the hedged item, the derivative is settled or terminates, a hedged forecasted transaction is no longer probable, a hedged firm commitment is no longer firm, or treatment of the derivative as a hedge is no longer appropriate or intended.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hedge accounting is discontinued, subsequent changes in fair value of the derivative are recorded as non-interest income. When a cash flow hedge is discontinued but the hedged cash flows or forecasted transactions are still expected to occur, gains or losses that were accumulated in other comprehensive income are amortized into earnings over the same periods which the hedged transactions will affect earnings.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Held for Sale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held for sale in the secondary market are carried at the lower of cost or estimated fair value in the aggregate. Loans originated for sale are recorded at cost and loans transferred to loans held for sale are transferred at fair value. The Company may transfer loans held for investment to loans held for sale in connection with pooled note sale transactions and are transferred at their estimated fair value. Net unrealized losses, if any, are recognized through a valuation allowance by charges to current earnings. Gains or losses resulting from sales of loans held for sale, net of unamortized deferred fees and costs, are recognized at the time of sale and are included in non-interest income on the Consolidated Statements of Income. The Company had $2.8 million and $37.6 million of loans classified as held for sale as of December 31, 2025 and December 31,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and Loan Interest Income Recognition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Loans are stated at the principal amount outstanding, net of charge-offs, deferred origination costs and fees and purchase premiums and discounts. Loan origination and commitment fees and certain direct and indirect costs incurred in connection with loan originations are deferred and amortized to income over the life of the related loans as an adjustment to yield. Premiums or discounts on purchased portfolios are amortized or accreted to income using the level yield method.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on loans is generally recognized on the accrual basis. Interest is not accrued on loans that are more than 90 days delinquent on payments, and any interest that was accrued but unpaid on such loans is reversed from interest income at that time, or when deemed to be uncollectible. Interest subsequently received on such loans is recorded as interest income or alternatively as a reduction in the amortized cost of the loan if there is significant doubt as to the collectability of the unpaid principal balance. Loans are returned to accrual status when principal and interest amounts contractually due are brought current and future payments are reasonably assured.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Loans are considered modifications made to borrowers experiencing financial difficulty if the borrower is experiencing financial difficulty at the time of the modification and the modification is in the form of: (i) principal forgiveness; (ii) an interest rate reduction; (iii) other-than-insignificant payment delay; (iv) a term extension, or (v) any combination of the aforementioned. If a modification results in an effective interest rate less than the market rate for comparable loans with similar collection risks, a change in present value of cash flows of at least 10%, or is more than minor based on the specific facts and circumstances, the modification is accounted for as a new receivable. Absent these conditions, the modification is accounted for as a continuation of the existing receivable.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u w:val="single" w:color="auto"/>
          <w:color w:val="auto"/>
        </w:rPr>
        <w:t>Allowance for Credit Losses - Available for Sale Securities:</w:t>
      </w:r>
      <w:r>
        <w:rPr>
          <w:rFonts w:ascii="Times New Roman" w:cs="Times New Roman" w:eastAsia="Times New Roman" w:hAnsi="Times New Roman"/>
          <w:sz w:val="18"/>
          <w:szCs w:val="18"/>
          <w:color w:val="auto"/>
        </w:rPr>
        <w:t xml:space="preserve"> Any available for sale security in an unrealized loss position is assessed for Management's intent to sell, or if it is more likely than not that it will be required to sell before the recovery of its amortized cost basis. If either criteria regarding intent or requirement to sell is met, the security's amortized cost basis is written down to fair value through income. Accrued interest receivable is excluded from the estimate of expected credit losses, as accrued interest receivable is reversed for securities placed on nonaccrual status. Securities issued by U.S. government entities are either explicitly or implicitly guaranteed by the U.S. government, and are highly rated by major ratings agencies and have a long history of no credit losses. For debt securities that do not meet the aforementioned criteria, the Company evaluates whether the decline in fair value has resulted from expected credit losses or other factors in making this assessment. Management considers the extent in which fair value is less than amortized cost, any changes to the rating of the security by a rating agency, and adverse conditions specifically related to the security, among other factors. If this assessment indicates that a credit loss exists, the present value of cash flows expected to be collected from the security are compared to the amortized cost basis of the security. If the present value of cash flows is expected to be collected is less than the amortized cost basis, a credit loss exists and an allowance for credit losses is recorded for the credit loss, limited by the amount that the fair value is less than the amortized cost basis. Any impairment that has not been recorded through an allowance for credit losses is recognized in other comprehensive income.</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u w:val="single" w:color="auto"/>
          <w:color w:val="auto"/>
        </w:rPr>
        <w:t>Allowance for Credit Losses - Held-to-maturity Securities:</w:t>
      </w:r>
      <w:r>
        <w:rPr>
          <w:rFonts w:ascii="Times New Roman" w:cs="Times New Roman" w:eastAsia="Times New Roman" w:hAnsi="Times New Roman"/>
          <w:sz w:val="18"/>
          <w:szCs w:val="18"/>
          <w:color w:val="auto"/>
        </w:rPr>
        <w:t xml:space="preserve"> Management measures expected credit losses on held-to-maturity securities on a collective basis by security type. The Company’s methodology to measure the allowance for credit losses incorporates both quantitative and qualitative information to assess lifetime expected credit losses. The calculation is based on projected annual default rates, loss severities, and prepayment rates. Expected credit losses are estimated over the contractual term of the securities, adjusted for forecasted prepayments when appropriate.</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Accrued interest receivable is excluded from the estimate of expected credit losses, as accrued interest receivable is reversed for securities placed on nonaccrual status. The Company has identified the following portfolio segments and measures the allowance for credit losses using the following methodology:</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Non-GSE residential and commercial mortgage-backed securities held by the Company are secured by pools of commercial or residential certificates.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Asset-backed securities ("ABS") held by the Company are secured by pools of consumer products such as student loans, consumer loans, and consumer residential solar loans.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Property assessed clean energy ("PACE assessments") held by the Company are secured low loan-to-value long-term funding for energy efficient and renewable energy projects for residential or commercial projects.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Other securities held by the Company include corporate securities, municipal securities and small investments community reinvestment act investments secured by loans.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GSE and U.S. Treasury securities are either explicitly or implicitly guaranteed by the U.S. government, and are highly rated by major rating agencies and have a long history of no credit losses, therefore the Company does not estimate or recognize an allowance for credit losses on these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Allowance for Credit Losses - Loans: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Methods and Assumptions Underlying the Estimate</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allowance for credit losses is established and maintained through a provision for credit losses based on expected losses inherent in our loan portfolio. Management evaluates the adequacy of the allowance on a quarterly basis, and additions to the allowance are charged to expense and subsequent changes (favorable and unfavorable) in expected credit losses are recognized immediately in net income as a credit loss expense or a reversal of credit loss expense. Loans are charged off against the allowance when management believes the uncollectibility of a loan balance is confirmed, and expected recoveries do not exceed the aggregate of amounts previously charged-off and expected to be charged-off. Determining the appropriateness of the allowance is complex and requires judgment by management about the effect of matters that are inherently uncertain.</w:t>
      </w:r>
    </w:p>
    <w:p>
      <w:pPr>
        <w:spacing w:after="0" w:line="20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During 2025, the Company enhanced its allowance for credit loss ("ACL") calculation, which included a change in ACL software vendors. These enhancements are intended to better align the estimation process with the nature and risk profile of the Company's loan portfolio, while enhancing operational efficiency and consistency in application. These enhancements did not have a material impact to the Company's financial statements. See Note 5 for additional information related to the change.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segments other than the consumer solar loan segment, we calculate the quantitative portion of the allowance for credit losses using the discounted cash flow methodology ("DCF") whereby the amortized cost basis of the loan is compared to the net present value of expected cash flows to be collected. For segments with reserves calculated under the DCF model, a peer group by segment is used to develop periodic default rates, and statistical regression is utilized to relate historical macro-economic variables to historical credit loss experience of that peer group of banks. The DCF model includes a four-quarter reasonable and supportable economic forecast period followed by a four-quarter straight-line reversion to historical loss rates. In addition, the model incorporates assumptions for curtailment rates and recovery lag periods in its calculation of quantitative allowance.</w:t>
      </w:r>
    </w:p>
    <w:p>
      <w:pPr>
        <w:spacing w:after="0" w:line="21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consumer solar loan segment, the weighted average remaining maturity ("WARM") methodology calculates expected credit losses based on historical loss rates and forecasts those losses over the weighted average remaining maturity of the portfolio. The core assumption of the WARM methodology is based on use of internal loss data applied to a straight-line balance reduction, which aligns with the nature of repayment of these loans as well as the Company’s strategy of portfolio runoff.</w:t>
      </w:r>
    </w:p>
    <w:p>
      <w:pPr>
        <w:spacing w:after="0" w:line="2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Adjustments to the quantitative results for both DCF and WARM models are made using qualitative factors. These factors include: (1) borrowers' financial condition; (2) borrowers' ability to pay; (3) nature and volume of financial assets; (4) value of the underlying collateral; (5) lending policies and procedures;</w:t>
      </w:r>
    </w:p>
    <w:p>
      <w:pPr>
        <w:spacing w:after="0" w:line="1" w:lineRule="exact"/>
        <w:rPr>
          <w:sz w:val="20"/>
          <w:szCs w:val="20"/>
          <w:color w:val="auto"/>
        </w:rPr>
      </w:pPr>
    </w:p>
    <w:p>
      <w:pPr>
        <w:jc w:val="both"/>
        <w:ind w:firstLine="8"/>
        <w:spacing w:after="0" w:line="234" w:lineRule="auto"/>
        <w:tabs>
          <w:tab w:leader="none" w:pos="2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the loan review system; (7) the experience, ability, and depth of staff; (8) regulatory and legal environment; (9) changes in market conditions; and (10) changes in economic conditions. Factors are weighted based on level of impact and assigned a risk rating that determine the amount of required qualitative reserves. The level of impact and risk ratings are evaluated each quarter.</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For loans that do not share risk characteristics, the Company evaluates these loans on an individual basis based on various factors. Factors that may be considered are borrowers delinquency trends and nonaccrual status, probability of foreclosure or note sale, changes in the borrowers' circumstances or cash collections, borrowers' industry, or other facts and circumstances of the loan or collateral. The expected credit loss is measured based on net realizable value, that is, the difference between the discounted value of the expected future cash flows, based on the original effective interest rate, and the amortized cost basis of the loan. For collateral dependent loans, expected credit loss is measured as the difference between the amortized cost basis of the loan and the fair value of the collateral, less estimated costs to sell.</w:t>
      </w:r>
    </w:p>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Economic parameters are developed using available information relating to past events, current conditions, and reasonable and supportable forecasts. Historical credit experience provides the basis for the estimation of expected credit losses, with qualitative adjustments made to loan segments for differences in current loan-specific risk characteristics such as differences in underwriting</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90" w:name="page91"/>
    <w:bookmarkEnd w:id="90"/>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standards, portfolio mix, delinquency levels and terms, as well as for changes in environmental conditions, such as changes in unemployment rates, property values or other relevant factors.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business of the Company is lending in commercial and industrial loans, multifamily mortgage loans, commercial real estate loans, residential real estate mortgage loans, consumer solar, and consumer and other loans. The Company considers its primary lending area to be the states of New York and California, and Washington, D.C. A substantial portion of the Company’s loans are secured by real estate in these areas. Accordingly, the ultimate collectability of the loan portfolio is susceptible to changes in market and economic conditions in this region.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identified the following portfolio segments and measures the allowance for credit losses using the methods described above.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Commercial and Industrial Loans - Loans in this classification are made to businesses and include term loans, lines of credit, and senior secured loans to corporations. Generally, these loans are secured by assets of the business and repayment is expected from the cash flows of the business. A weakened economy, and resultant decreased consumer and/or business spending, will have an effect on the credit quality in this loan class.</w:t>
      </w:r>
    </w:p>
    <w:p>
      <w:pPr>
        <w:spacing w:after="0" w:line="17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Multifamily Mortgage Loans - Loans in this classification include income producing residential investment properties of five or more families. Loans are made to established owners with a proven and demonstrable record of strong performance. Repayment is derived generally from the rental income generated from the property and may be supplemented by the owners’ personal cash flow. Credit risk arises with an increase in vacancy rates, property mismanagement and the predominance of non-recourse loans that are customary in the industry.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Commercial Real Estate Loans - Loans in this classification include income producing investment properties and owner-occupied real estate used for business purposes. The underlying properties are located largely in the Company’s primary market area. The cash flows of the income producing investment properties are adversely impacted by a downturn in the economy as evidenced by increased vacancy rates, which in turn, will have an effect on credit quality. In the case of owner-occupied real estate used for business purposes, a weakened economy and resultant decreased consumer and/or business spending will have an adverse effect on credit quality.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Construction and Land Development Loans - Loans in this classification primarily include land loans to local individuals, contractors and developers for developing the land for sale or for the purpose of making improvements thereon. Repayment is derived primarily from sale of the lots/units including any pre-sold units. Credit risk is affected by market conditions, time to sell at an adequate price and cost overruns. To a lesser extent, this class includes commercial development projects that the Company finances, which in most cases are interest only during construction, and then convert to permanent financing. Construction delays, cost overruns, market conditions and the availability of permanent financing, to the extent such permanent financing is not being provided by the Bank, all affect the credit risk in this loan class.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Residential Real Estate Loans - Loans in this classification are generally secured by owner-occupied one-to-four family residential real estate and repayment is dependent on the credit quality of the individual borrower. Loans in this class are secured by both first liens and second liens. The overall health of the economy, including unemployment rates and housing prices, can have an effect on the credit quality in this loan class.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Solar Loans - Loans in this classification are secured by Uniform Commercial Code filings. This portfolio is comprised of residential solar loans. Repayment is dependent on the credit quality of the individual borrower and, if applicable, sale of the collateral securing the loan. Therefore, the overall health of the economy, including unemployment rates and housing prices, will have an effect on the credit quality in this loan class.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Consumer and Other Loans - Loans in this classification are unsecured. This portfolio is comprised of student loans and other consumer products. Repayment is dependent on the credit quality of the individual borrower. Therefore, the overall health of the economy, including unemployment rates and housing prices, will have an effect on the credit quality in this loan class.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Loans that are determined to have unique risk characteristics are evaluated on an individual basis by Management. Loans evaluated individually are not included in the collective evaluation. Factors that may be considered are borrower delinquency trends and nonaccrual status, probability of foreclosure or note sale, changes in the borrower’s circumstances or cash collections, borrower’s industry, or other facts and circumstances of the loan or collateral.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u w:val="single" w:color="auto"/>
          <w:color w:val="auto"/>
        </w:rPr>
        <w:t>Individually Evaluated Loans with an ACL:</w:t>
      </w:r>
      <w:r>
        <w:rPr>
          <w:rFonts w:ascii="Times New Roman" w:cs="Times New Roman" w:eastAsia="Times New Roman" w:hAnsi="Times New Roman"/>
          <w:sz w:val="18"/>
          <w:szCs w:val="18"/>
          <w:color w:val="auto"/>
        </w:rPr>
        <w:t xml:space="preserve"> For collateral-dependent loans where the Company has determined that foreclosure of the collateral is probable, or where the borrower is experiencing financial difficulty and the Company expects repayment of the loan to be provided substantially through the operation or sale of the collateral, the ACL is measured based on the difference between the fair value of the collateral, less the estimated costs to sell, and the amortized cost basis of the loan as of the measurement date. The fair value of real estate collateral is determined based on recent appraised values. The fair value of non-real estate collateral, may be determined based on an appraisal, net book value per the borrower’s financial statements, aging reports, or by reference to market activity, adjusted or discounted based on management’s historical knowledge, changes in market conditions from the time of the valuation and management’s expertise and knowledge of the borrower and its business. For non-collateral dependent loans, ACL is measured based on the difference between the present value of expected cash flows and the amortized cost basis of the loan as of the measurement date.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Allowance for Credit Losses on Off-Balance Sheet Loan Credit Exposures:</w:t>
      </w:r>
      <w:r>
        <w:rPr>
          <w:rFonts w:ascii="Times New Roman" w:cs="Times New Roman" w:eastAsia="Times New Roman" w:hAnsi="Times New Roman"/>
          <w:sz w:val="18"/>
          <w:szCs w:val="18"/>
          <w:color w:val="auto"/>
        </w:rPr>
        <w:t xml:space="preserve"> The Company estimates expected credit losses over the contractual period in which the Company is exposed to credit risk via a contractual obligation to extend credit, unless that obligation is unconditionally cancellable by the Company for its security and loan portfolios. The allowance for credit losses on off-balance sheet credit exposures is recorded in other liabilities on the consolidated statements of financial condition, and adjusted through the credit loss expense which is recorded in the provision for credit losses on the consolidated statements of income. The estimate includes consideration of the likelihood that funding will occur and an estimate of expected credit losses on commitments expected to be funded over its estimated life, which is the same as the expected loss factor as determined based on the corresponding portfolio segment.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FHLBNY Stock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of membership with the FHLBNY, the Company is required to hold FHLBNY stock in an amount equal to 0.125% of its aggregate mortgage related assets plus 4.5% of its outstanding FHLBNY advances. The Company’s holdings of FHLBNY stock are pledged against outstanding advances. FHLBNY stock is a non-marketable equity security and is, therefore, reported at cost, which equals par value (the amount at which shares have been redeemed in the past). The investment is periodically evaluated for impairment based on, among other things, the capital adequacy of the FHLBNY and its overall financial condition.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Real Estate Owned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real estate owned (“OREO”) properties acquired through, or in lieu of, foreclosure are recorded initially at fair value less costs to sell. Any write-down of the recorded investment in the related loan is charged to the allowance prior to transfer. OREO assets are subsequently accounted for at lower of cost or fair value less estimated costs to sell. If fair value declines subsequent to foreclosure, a valuation allowance is recorded through non-interest income. Costs relating to the development and improvement of other real estate owned are capitalized. Costs relating to holding other real estate owned, including real estate taxes, insurance and maintenance, are charged to expense as incurred. The balance of OREO was $0 at both December 31, 2025 and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Goodwill resulting from business combinations is generally determined as the excess of the fair value of the consideration transferred over the fair value of the net assets acquired and liabilities assumed as of the acquisition date. Goodwill and indefinite-lived intangible assets are not amortized, but tested for impairment at least annually, or more frequently if events and circumstances exist that indicate the carrying amount of the asset may be impaired. The Company elected June 30 as the annual date for impairment testing. Other intangible assets with definite useful lives are amortized over their estimated useful lives to their estimated residual values. Core deposit intangible assets are amortized on an accelerated method over their estimated useful lives of ten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Premises and Equipment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Premises and equipment are stated at cost less accumulated depreciation and amortization. Depreciation of furniture, fixtures, and equipment is computed by the straight-line method over the estimated useful lives of the related assets. Furniture and fixtures are generally depreciated over ten years. Equipment, computer hardware and computer software are normally depreciated over three to seven years. Amortization of leasehold improvements is computed by the straight-line method over their estimated useful lives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 the terms of the leases, whichever is shorter. Fully depreciated assets with no determinable salvage value are disposed. Repairs and maintenance are charged to expense as incurred.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determines whether a contract is or contains a lease at inception. For leases with terms greater than twelve months under which the Company is lessee, right-of-use ("ROU") assets and lease liabilities are recorded at the commencement date. Lease liabilities are initially recorded based on the present value of future lease payments over the lease term. ROU assets are initially recorded at the amount of the associated lease liabilities plus prepaid lease payments and initial direct costs, less any lease incentives received. The cost of short term leases is recognized on a straight line basis over the lease term. The lease term includes options to extend if the exercise of those options is reasonably certain and includes termination options if there is reasonable certainty the options will not be exercised. The Company uses its incremental borrowing rate (“IBR”) as the discount rate to the remaining lease payments to derive a present value calculation for initial measurement of lease liabilities. The IBR reflects the interest rate the Company would have to pay to borrow on a collateralized basis over a similar term for an amount equal to the lease payments. Leases are classified as financing or operating leases at commencement. All of the Company's leases are classified as operating leases as of December 31, 2025. Operating lease cost is recognized in the Consolidated Statements of Income on a straight line basis over the lease terms. Variable lease costs are recognized in the period in which the obligation for those costs is incurred.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Bank-Owned Life Insurance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invests in bank-owned life insurance (“BOLI”). BOLI involves the purchase of life insurance policies by the Company on a select group of employees. The Company is the owner and beneficiary of the policies. The insurance and earnings thereon is used to offset a portion of future employee benefit costs. BOLI is carried at the cash surrender value of the underlying policies. Earnings from BOLI, as well as changes in cash surrender value, are recognized as non-interest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Advertising Costs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expenses advertising and promotion costs as incurred.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are two components of income tax expense: current and deferred. Current income tax expense (benefit) approximates cash to be paid (refunded) for income taxes for the applicable period. Deferred income tax expense (benefit) results from differences between assets and liabilities measured for financial reporting and for income-tax return purposes.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records as a deferred tax asset on its Consolidated Statement of Financial Condition an amount equal to the tax credit and tax loss carry-forwards and tax deductions (tax benefits) that we believe will be available to us to offset or reduce the amounts of our income taxes in future periods. Under applicable federal and state income tax laws and regulations, such tax benefits will expire if not used within specified periods of time. Accordingly, the ability to fully utilize our deferred tax asset may depend on the amount of taxable income that we generate during those time periods. At least once each year, or more frequently, if warranted, we make estimates of future taxable income that we believe we are likely to generate during those future periods. If we conclude, on the basis of those estimates and the amount of the tax benefits available to us, that it is more likely than not that we will be able to fully utilize those tax benefits prior to their expiration, we recognize the deferred tax asset in full on our Consolidated Statement of Financial Condition. If, however, we conclude on the basis of those estimates and the amount of the tax benefits available to us that it has become more likely than not that we will be unable to utilize those tax benefits in full prior to their expiration, then we would establish (or increase any existing) a valuation allowance to reduce the deferred tax asset on our Consolidated Statement of Financial Condition to the amount which we believe we are more likely than not to be able to utilize. Such a reduction is implemented by recognizing a non-cash charge that would have the effect of increasing the provision, or reducing any benefit, for income taxes that we would otherwise have recorded in our Consolidated Statements of Income. The determination of whether and the extent to which we will be able to utilize our deferred tax asset involves management judgments and assumptions that are subject to period-to-period changes as a result of changes in tax laws, changes in the market, or economic conditions that could affect our operating results or variances between our actual operating results and our projected operating results, as well as other factors.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3" w:name="page94"/>
    <w:bookmarkEnd w:id="93"/>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 measuring the amount of current taxes to be paid (or refunded) management considers the merit of various tax treatments in the context of statutory, judicial and regulatory guidance. Management also considers results of recent tax audits and historical experience. While management considers the amount of income taxes payable (or receivable) to be appropriate based on information currently available, future additions or reductions to such amounts may be necessary due to unanticipated events or changes in circumstances. Management has not taken, and does not expect to take, any position in a tax return which it deems to be uncertain.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recognizes interest and penalties related to income tax matters in income tax expense.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solar equity tax investments entered into prior to 2025, the deferral method of accounting is used for investments that generate investment tax credits as these investments are not compliant with ASU 2023-02. Under this method, the investment tax credits are recognized as a reduction of the related asset. Contributions made by the Company are recognized as an increase of the related asset, and distributions are recognized as a reduction. Income and loss generated by the investment is recognized as a corresponding increase or reduction in the related asset.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invested in a solar tax equity investment that is in compliance with ASU 2023-02 in which the Proportional Amortization Method ("PAM") was applied. Under this method, the investment tax credits and other tax benefits are recognized as a reduction to income tax expense. Contributions and commitments made by the Company are recognized as an increase of the related asset, and distributions of cash are recognized through other income. The amortization of the investment is recognized as a reduction of the related asset and an increase to income tax expense. Refer to the Note 18 to the Consolidated Financial Statements for additional disclosure of income statement impacts.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sponsors several post-retirement benefit plans for current and former employees and certain directors. Contributions to the trustee of a multi-employer defined benefit pension plan are recorded as expense in the period of contribution. Plan obligations and related expenses for other post-retirement plans are calculated using actuarial methodologies. The measurement of such obligations and expenses requires management to make certain assumptions, in particular the discount rate, which is evaluated on an annual basis. Other factors include retirement patterns, mortality and turnover assumptions. The Company uses a December 31 measurement date for its post-retirement benefit plans. Additionally the Company offers a deferred compensation plan for certain executives to defer their bonus and earn a company match in the form of deferred stock units which convert to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Comprehensive income includes net income and all other changes in equity during a period, except those resulting from investments by owners and distributions to owners. Other comprehensive income includes income, expenses, gains and losses that under generally accepted accounting principles are included in comprehensive income but excluded from net income. Other comprehensive income (loss) and accumulated other comprehensive income (loss) are reported net of deferred income taxes. Accumulated other comprehensive income for the Company includes unrealized holding gains or losses on available for sale securities, unaccreted unrealized losses on securities transferred to held-to-maturity, unrealized holding gains on cash flow hedges, and actuarial gains or losses on the Company’s pension plans. FASB ASC 715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30 “Compensation – Retirement Benefits – Defined Benefit Plans – Pension” requires employers to recognize the overfunded or underfunded status of a defined benefit postretirement plan as an asset or liability in its statement of financial position and to recognize changes in that funded status in the year the changes occur through comprehensive income.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Stock-based compensation is recorded in accordance with FASB ASC No. 718, “Accounting for Stock-Based Compensation” which requires the Company to record compensation cost for stock options and restricted stock granted to employees and directors in return for employee service. The cost is measured at the fair value of the options and restricted stock when granted, and this cost is expensed over the service period, which is normally the vesting period of the options and restricted stock.Forfeitures result in a retirement of the related award and a reversal of the cost previously incurred. The Company grants time-based restricted stock units (“RSUs”) that are subject to a time-based vesting schedule, performance-based RSUs ("PRSUs") that are subject to the achievement of the Company's corporate goals, and deferred restricted stock units ("DSUs") that allows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participating executives to defer their annual incentive plan bonus. The Company's stock-based compensation plans are further described in Note 12, Employee Benefit Plans.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include investments in certain variable interest entities (“VIEs”). The Company considers a voting rights entity to be a subsidiary and consolidates if the Company has a controlling financial interest in the entity. VIEs are consolidated if the Company has the power to direct the activities of the VIE that significantly impact financial performance and has the obligation to absorb losses or the right to receive benefits that could potentially be significant to the VIE (i.e., the Company is the primary beneficiary).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Investments in VIEs where the Company is not the primary beneficiary of a VIE are accounted for using the equity method of accounting. The determination of whether the Company is the primary beneficiary of a VIE is reassessed on an ongoing basis. The consolidation status may change as a result of these reassessments.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investments are included in Equity Investments on the Company’s Consolidated Statements of Financial Condition. The maximum potential exposure to losses relative to investments in VIEs is generally limited to the sum of the outstanding balance, future funding commitments and any related loans to the entity, both funded and unfunded. Loans to these entities are underwritten in substantially the same manner as other loans and are generally secured. Additional disclosures regarding VIEs are further described in Note 18, Variable Interest Entities.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Resell Agreements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short-term resell agreements backed by residential first-lien mortgage loans. The Company obtains possession of collateral with a market value equal to or in excess of the principal amount loaned under resell agreements. The Company had $48.7 million and $23.7 million in resell agreements as of December 31, 2025 and December 31, 2024, respectively. The resell agreements were entered into at par, and earned $3.7 million, $5.9 million, and $0.7 million in interest income for the years ended December 31, 2025, 2024, and 2023, respectively. Interest income on resell agreements is reported in interest income from securities on the Consolidated Statements of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Public companies are required to report certain financial information about significant revenue-producing segments of the business for which such information is available and utilized by the chief operating decision maker.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Transfers of Financial Assets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relinquished. Control over transferred assets is deemed to be surrendered when the assets have been isolated from the Company, the transferee obtains the right (free of conditions that constrain it from taking advantage of that right) to pledge or exchange the transferred assets, and the Company does not maintain effective control over the transferred assets through an agreement to repurchase them before their maturity.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stock is carried at cost. Shares issued out of treasury are valued based on the weighted average cost.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prior year amounts to conform to the current year presentation. The reclassifications had no impact to net income on the Consolidated Statements of Income or the stockholders' equity on the Consolidated Statements of Changes in Stockholders’ Equity.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5" w:name="page96"/>
    <w:bookmarkEnd w:id="95"/>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2.</w:t>
      </w:r>
      <w:r>
        <w:rPr>
          <w:sz w:val="20"/>
          <w:szCs w:val="20"/>
          <w:color w:val="auto"/>
        </w:rPr>
        <w:tab/>
      </w:r>
      <w:r>
        <w:rPr>
          <w:rFonts w:ascii="Times New Roman" w:cs="Times New Roman" w:eastAsia="Times New Roman" w:hAnsi="Times New Roman"/>
          <w:sz w:val="19"/>
          <w:szCs w:val="19"/>
          <w:b w:val="1"/>
          <w:bCs w:val="1"/>
          <w:color w:val="auto"/>
        </w:rPr>
        <w:t>RECENT ACCOUNTING PRONOUNCEMENTS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 Accounting Standards Effective in 2023</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No. 2016-13, Financial Instruments - Credit Losses (Topic 326) - Measurement of Credit Losses on Financial Instruments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adopted ASU No. 2016-13 inclusive of subsequent amendments as of January 1, 2023. ASU No. 2016-13 amends guidance on reporting credit losses for assets held on an amortized cost basis and available-for-sale debt securities, as well as off balance sheet credit exposures. For assets held at amortized cost, ASU No. 2016-13 eliminates the probable incurred recognition threshold in current GAAP and, instead, requires an entity to reflect its current estimate of all expected credit losses. The amendments in ASU No. 2016-13 replace the incurred loss impairment methodology with a methodology that reflects the measurement of expected credit losses based on relevant information about past events, including historical loss experience, current conditions, and reasonable and supportable forecasts that affect the collectability of the reported amounts. The allowance for credit losses is a valuation account that is deducted from the amortized cost basis of financial assets to present the net amount expected to be collected. For available for sale debt securities, credit losses will be presented as an allowance rather than as a write-down. For the Company, the amendments affected loans, debt securities, off-balance sheet credit exposures, and any other financial assets not excluded from the scope that have the contractual right to receive cash.</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adopted ASU No. 2016-13 on a modified retrospective basis with a cumulative-effect adjustment to retained earnings as of the adoption date and, accordingly, the Company recorded a $24.6 million increase to the allowance for credit losses, a $6.8 million increase to deferred tax assets, and a decrease of $17.8 million to retained earnings as of January 1, 2023. The results for prior period amounts continue to be reported in accordance with previously applicable GAAP.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illustrates the impact of the adoption of ASU 2016-13.</w:t>
            </w: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59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January 1, 2023</w:t>
            </w:r>
          </w:p>
        </w:tc>
        <w:tc>
          <w:tcPr>
            <w:tcW w:w="5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Adjustment</w:t>
            </w:r>
          </w:p>
        </w:tc>
        <w:tc>
          <w:tcPr>
            <w:tcW w:w="140" w:type="dxa"/>
            <w:vAlign w:val="bottom"/>
          </w:tcPr>
          <w:p>
            <w:pPr>
              <w:spacing w:after="0"/>
              <w:rPr>
                <w:sz w:val="14"/>
                <w:szCs w:val="14"/>
                <w:color w:val="auto"/>
              </w:rPr>
            </w:pPr>
          </w:p>
        </w:tc>
        <w:tc>
          <w:tcPr>
            <w:tcW w:w="15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Tax Impact</w:t>
            </w:r>
          </w:p>
        </w:tc>
        <w:tc>
          <w:tcPr>
            <w:tcW w:w="1620" w:type="dxa"/>
            <w:vAlign w:val="bottom"/>
            <w:gridSpan w:val="2"/>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Net Adjustment to</w:t>
            </w:r>
          </w:p>
        </w:tc>
        <w:tc>
          <w:tcPr>
            <w:tcW w:w="0" w:type="dxa"/>
            <w:vAlign w:val="bottom"/>
          </w:tcPr>
          <w:p>
            <w:pPr>
              <w:spacing w:after="0"/>
              <w:rPr>
                <w:sz w:val="1"/>
                <w:szCs w:val="1"/>
                <w:color w:val="auto"/>
              </w:rPr>
            </w:pPr>
          </w:p>
        </w:tc>
      </w:tr>
      <w:tr>
        <w:trPr>
          <w:trHeight w:val="243"/>
        </w:trPr>
        <w:tc>
          <w:tcPr>
            <w:tcW w:w="5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vMerge w:val="continue"/>
          </w:tcPr>
          <w:p>
            <w:pPr>
              <w:spacing w:after="0"/>
              <w:rPr>
                <w:sz w:val="21"/>
                <w:szCs w:val="21"/>
                <w:color w:val="auto"/>
              </w:rPr>
            </w:pPr>
          </w:p>
        </w:tc>
        <w:tc>
          <w:tcPr>
            <w:tcW w:w="16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Retained Earnings</w:t>
            </w:r>
          </w:p>
        </w:tc>
        <w:tc>
          <w:tcPr>
            <w:tcW w:w="0" w:type="dxa"/>
            <w:vAlign w:val="bottom"/>
          </w:tcPr>
          <w:p>
            <w:pPr>
              <w:spacing w:after="0"/>
              <w:rPr>
                <w:sz w:val="1"/>
                <w:szCs w:val="1"/>
                <w:color w:val="auto"/>
              </w:rPr>
            </w:pPr>
          </w:p>
        </w:tc>
      </w:tr>
      <w:tr>
        <w:trPr>
          <w:trHeight w:val="210"/>
        </w:trPr>
        <w:tc>
          <w:tcPr>
            <w:tcW w:w="5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held-to-maturity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loans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15,380</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Allowance for credit losses on off-balance sheet credit exposures</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0" w:type="dxa"/>
            <w:vAlign w:val="bottom"/>
          </w:tcPr>
          <w:p>
            <w:pPr>
              <w:spacing w:after="0"/>
              <w:rPr>
                <w:sz w:val="1"/>
                <w:szCs w:val="1"/>
                <w:color w:val="auto"/>
              </w:rPr>
            </w:pPr>
          </w:p>
        </w:tc>
      </w:tr>
      <w:tr>
        <w:trPr>
          <w:trHeight w:val="270"/>
        </w:trPr>
        <w:tc>
          <w:tcPr>
            <w:tcW w:w="59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Day 1 Adjustment for Adoption of ASU 2016-13</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0" w:type="dxa"/>
            <w:vAlign w:val="bottom"/>
          </w:tcPr>
          <w:p>
            <w:pPr>
              <w:spacing w:after="0"/>
              <w:rPr>
                <w:sz w:val="1"/>
                <w:szCs w:val="1"/>
                <w:color w:val="auto"/>
              </w:rPr>
            </w:pPr>
          </w:p>
        </w:tc>
      </w:tr>
      <w:tr>
        <w:trPr>
          <w:trHeight w:val="20"/>
        </w:trPr>
        <w:tc>
          <w:tcPr>
            <w:tcW w:w="5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 Accounting Standards Effective in 2024</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ASU 2023-02, Investments - Equity Method and Joint Ventures (Topic 323) - Accounting for Investments in Tax Credit Structures Using the Proportional Amortization Method</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2023, the FASB issued ASU 2023-02, Investments - Equity Method and Joint Ventures (Topic 323): Accounting for Investments in Tax Credit Structures Using the Proportional Amortization Method, which is intended to expand the use of the proportional amortization method of accounting, previously allowed only for investments in low-income housing tax credit structures, to equity investments in other tax credit structures that meet certain criteria. The proportional amortization method results in the tax credit investment being amortized in proportion to the allocation of tax credits and other tax benefits in each period, and net presentation within the income tax line item. This expansion to other investments simplifies the accounting for reporting entities and can provide users with a better understanding of these investments. The Company adopted the standard for the year ended December 31, 2024. The adoption did not impact the existing equity investments in tax structures through December 31, 2024. During the year ended December 31, 2025, the Company invested in one investment which was in compliance with ASU 2023-02.</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2023-07, Segment Reporting (Topic 280) - Improvements to Reportable Segment Disclosures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27, 2023, the FASB issued ASU 2023-07, Segment Reporting (Topic 280): Improvements to Reportable Segment Disclosures, which is intended to improve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A public entity should apply the amendments retrospectively to all prior periods presented in the financial statements. Upon transition, the segment expense categories and amounts disclosed in the prior periods should be based on the significant segment expense categories identified and disclosed in the period of adoption. The Company adopted the standard for the year ended December 31, 2024. The adoption resulted in a disclosure requirement but did not result in a material impact on the Company’s Consolidated Financial Statements. See Note 20.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Adopted Accounting Standards Effective in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ASU 2023-09, Income Taxes (Topic 740) - Improvements to Income Tax Disclosures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14, 2023, the FASB issued ASU 2023-09, Income Taxes (Topic 740): Improvements to Income Tax Disclosures, which is intended to enhance the transparency and decision usefulness of income tax disclosures. The amendments in ASU 2023-09 address investor requests for enhanced income tax information primarily through changes to the rate reconciliation and income taxes paid information. The update will be effective for annual periods beginning after December 15, 2024, and early adoption is permitted. The Company adopted the standard for the year ended December 31, 2025 and applied a retrospective application to provide for comparative-period disclosures. The updated disclosures are presented in Note 10.</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20"/>
          <w:szCs w:val="20"/>
          <w:b w:val="1"/>
          <w:bCs w:val="1"/>
          <w:color w:val="auto"/>
        </w:rPr>
        <w:t>3.</w:t>
      </w:r>
      <w:r>
        <w:rPr>
          <w:sz w:val="20"/>
          <w:szCs w:val="20"/>
          <w:color w:val="auto"/>
        </w:rPr>
        <w:tab/>
      </w:r>
      <w:r>
        <w:rPr>
          <w:rFonts w:ascii="Times New Roman" w:cs="Times New Roman" w:eastAsia="Times New Roman" w:hAnsi="Times New Roman"/>
          <w:sz w:val="19"/>
          <w:szCs w:val="19"/>
          <w:b w:val="1"/>
          <w:bCs w:val="1"/>
          <w:color w:val="auto"/>
        </w:rPr>
        <w:t>ACCUMULATED OTHER COMPREHENSIVE INCOME (LOSS)</w:t>
      </w:r>
    </w:p>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as a component of other comprehensive income (loss) the actuarial gains or losses as well as the prior service costs or credits that arise during the period from post-retirement benefit plans. The Company also records unrealized gains and losses, net of taxes, on securities available for sale in accumulated other comprehensive income (loss) in the Consolidated Statements of Changes in Stockholders’ Equity. Gains and losses on securities available for sale are reclassified to operations as the gains or losses are recognized. Lastly, the Company recognizes as a component of comprehensive income the changes in unrealized gains and losses on derivatives.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comprehensive income (loss) components and related income tax effects were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69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obligation for postretirement benefits and for prior service credit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6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Reclassification adjustment for prior service expense included in other expense for the year</w:t>
            </w: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69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ended December 31, 2025 and December 31, 2024, and in compensation and employee</w:t>
            </w: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 for the year ended December 31, 2023</w:t>
            </w: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obligation for other benefits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9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Change in total obligation for postretirement benefits and for prior service credit and for other</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243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6940" w:type="dxa"/>
            <w:vAlign w:val="bottom"/>
            <w:shd w:val="clear" w:color="auto" w:fill="CCEEFF"/>
          </w:tcPr>
          <w:p>
            <w:pPr>
              <w:ind w:left="40"/>
              <w:spacing w:after="0" w:line="164" w:lineRule="exact"/>
              <w:rPr>
                <w:sz w:val="20"/>
                <w:szCs w:val="20"/>
                <w:color w:val="auto"/>
              </w:rPr>
            </w:pPr>
            <w:r>
              <w:rPr>
                <w:rFonts w:ascii="Times New Roman" w:cs="Times New Roman" w:eastAsia="Times New Roman" w:hAnsi="Times New Roman"/>
                <w:sz w:val="18"/>
                <w:szCs w:val="18"/>
                <w:color w:val="auto"/>
              </w:rPr>
              <w:t>Net change in total obligation for postretirement benefits and prior service credit and for other</w:t>
            </w: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benefits</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available for sale securities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realized in income on sale of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 of net unrealized loss on securities transferred to held-to-maturity</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unrealized gains on available for sale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37,345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on securities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holding gains (losses) on cash flow hedges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Reclassification adjustment for losses (gains) realized in interest income on securities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unrealized gains (losses) on cash flow hedges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unrealized gains (losses) on cash flow hedges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9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27,367</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9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95</w:t>
            </w: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6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9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accumulated other comprehensive income (loss) balances, net of income taxes: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Unaccreted</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Total Accumulated</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00" w:type="dxa"/>
            <w:vAlign w:val="bottom"/>
          </w:tcPr>
          <w:p>
            <w:pPr>
              <w:spacing w:after="0"/>
              <w:rPr>
                <w:sz w:val="14"/>
                <w:szCs w:val="14"/>
                <w:color w:val="auto"/>
              </w:rPr>
            </w:pPr>
          </w:p>
        </w:tc>
        <w:tc>
          <w:tcPr>
            <w:tcW w:w="146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unrealized loss on</w:t>
            </w: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54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Unrealized loss on</w:t>
            </w:r>
          </w:p>
        </w:tc>
        <w:tc>
          <w:tcPr>
            <w:tcW w:w="1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securities</w:t>
            </w:r>
          </w:p>
        </w:tc>
        <w:tc>
          <w:tcPr>
            <w:tcW w:w="15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Unrealized gain on</w:t>
            </w:r>
          </w:p>
        </w:tc>
        <w:tc>
          <w:tcPr>
            <w:tcW w:w="160" w:type="dxa"/>
            <w:vAlign w:val="bottom"/>
          </w:tcPr>
          <w:p>
            <w:pPr>
              <w:spacing w:after="0"/>
              <w:rPr>
                <w:sz w:val="14"/>
                <w:szCs w:val="14"/>
                <w:color w:val="auto"/>
              </w:rPr>
            </w:pPr>
          </w:p>
        </w:tc>
        <w:tc>
          <w:tcPr>
            <w:tcW w:w="13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15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available for sale</w:t>
            </w:r>
          </w:p>
        </w:tc>
        <w:tc>
          <w:tcPr>
            <w:tcW w:w="15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transferred to held-</w:t>
            </w:r>
          </w:p>
        </w:tc>
        <w:tc>
          <w:tcPr>
            <w:tcW w:w="15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benefits plans</w:t>
            </w: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to-maturity</w:t>
            </w:r>
          </w:p>
        </w:tc>
        <w:tc>
          <w:tcPr>
            <w:tcW w:w="1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cash flow hedges</w:t>
            </w:r>
          </w:p>
        </w:tc>
        <w:tc>
          <w:tcPr>
            <w:tcW w:w="1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0" w:type="dxa"/>
            <w:vAlign w:val="bottom"/>
          </w:tcPr>
          <w:p>
            <w:pPr>
              <w:spacing w:after="0"/>
              <w:rPr>
                <w:sz w:val="1"/>
                <w:szCs w:val="1"/>
                <w:color w:val="auto"/>
              </w:rPr>
            </w:pPr>
          </w:p>
        </w:tc>
      </w:tr>
      <w:tr>
        <w:trPr>
          <w:trHeight w:val="184"/>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(95,539)</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(74,348)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Period Change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34,673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(9,464)</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3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ind w:right="71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4.</w:t>
      </w:r>
      <w:r>
        <w:rPr>
          <w:sz w:val="20"/>
          <w:szCs w:val="20"/>
          <w:color w:val="auto"/>
        </w:rPr>
        <w:tab/>
      </w:r>
      <w:r>
        <w:rPr>
          <w:rFonts w:ascii="Times New Roman" w:cs="Times New Roman" w:eastAsia="Times New Roman" w:hAnsi="Times New Roman"/>
          <w:sz w:val="19"/>
          <w:szCs w:val="19"/>
          <w:b w:val="1"/>
          <w:bCs w:val="1"/>
          <w:color w:val="auto"/>
        </w:rPr>
        <w:t>INVESTMENT SECURITIES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2025 are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14"/>
                <w:szCs w:val="14"/>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40" w:type="dxa"/>
            <w:vAlign w:val="bottom"/>
          </w:tcPr>
          <w:p>
            <w:pPr>
              <w:spacing w:after="0"/>
              <w:rPr>
                <w:sz w:val="15"/>
                <w:szCs w:val="15"/>
                <w:color w:val="auto"/>
              </w:rPr>
            </w:pPr>
          </w:p>
        </w:tc>
        <w:tc>
          <w:tcPr>
            <w:tcW w:w="138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1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300" w:type="dxa"/>
            <w:vAlign w:val="bottom"/>
          </w:tcPr>
          <w:p>
            <w:pPr>
              <w:ind w:left="560"/>
              <w:spacing w:after="0" w:line="176" w:lineRule="exact"/>
              <w:rPr>
                <w:sz w:val="20"/>
                <w:szCs w:val="20"/>
                <w:color w:val="auto"/>
              </w:rPr>
            </w:pPr>
            <w:r>
              <w:rPr>
                <w:rFonts w:ascii="Times New Roman" w:cs="Times New Roman" w:eastAsia="Times New Roman" w:hAnsi="Times New Roman"/>
                <w:sz w:val="18"/>
                <w:szCs w:val="18"/>
                <w:color w:val="auto"/>
              </w:rPr>
              <w:t>Government sponsored entities ("GSE") certificates &amp;</w:t>
            </w: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Collateralized mortgage obligations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580,446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(18,634)</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567,070</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and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273,232</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638,635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15,190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15,075</w:t>
            </w:r>
          </w:p>
        </w:tc>
        <w:tc>
          <w:tcPr>
            <w:tcW w:w="0" w:type="dxa"/>
            <w:vAlign w:val="bottom"/>
          </w:tcPr>
          <w:p>
            <w:pPr>
              <w:spacing w:after="0"/>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1,616,058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1,580,049</w:t>
            </w:r>
          </w:p>
        </w:tc>
        <w:tc>
          <w:tcPr>
            <w:tcW w:w="0" w:type="dxa"/>
            <w:vAlign w:val="bottom"/>
          </w:tcPr>
          <w:p>
            <w:pPr>
              <w:spacing w:after="0"/>
              <w:rPr>
                <w:sz w:val="1"/>
                <w:szCs w:val="1"/>
                <w:color w:val="auto"/>
              </w:rPr>
            </w:pPr>
          </w:p>
        </w:tc>
      </w:tr>
      <w:tr>
        <w:trPr>
          <w:trHeight w:val="209"/>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1,816,061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1,783,551</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300" w:type="dxa"/>
            <w:vAlign w:val="bottom"/>
          </w:tcPr>
          <w:p>
            <w:pPr>
              <w:spacing w:after="0"/>
              <w:rPr>
                <w:sz w:val="15"/>
                <w:szCs w:val="15"/>
                <w:color w:val="auto"/>
              </w:rPr>
            </w:pPr>
          </w:p>
        </w:tc>
        <w:tc>
          <w:tcPr>
            <w:tcW w:w="14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4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172,257</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65,868</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151,862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Municipal</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56,421</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449,414</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298,870</w:t>
            </w: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691,688</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1,077,768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990,558</w:t>
            </w: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5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held-to-maturity</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1,554,759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1,439,972</w:t>
            </w:r>
          </w:p>
        </w:tc>
        <w:tc>
          <w:tcPr>
            <w:tcW w:w="0" w:type="dxa"/>
            <w:vAlign w:val="bottom"/>
          </w:tcPr>
          <w:p>
            <w:pPr>
              <w:spacing w:after="0"/>
              <w:rPr>
                <w:sz w:val="1"/>
                <w:szCs w:val="1"/>
                <w:color w:val="auto"/>
              </w:rPr>
            </w:pPr>
          </w:p>
        </w:tc>
      </w:tr>
      <w:tr>
        <w:trPr>
          <w:trHeight w:val="217"/>
        </w:trPr>
        <w:tc>
          <w:tcPr>
            <w:tcW w:w="53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5300" w:type="dxa"/>
            <w:vAlign w:val="bottom"/>
            <w:tcBorders>
              <w:bottom w:val="single" w:sz="8" w:color="CCEEFF"/>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1,554,015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available for sale securities with a fair value of $1.15 billion were pledged and held-to-maturity securities with a fair value of $393.8 million were pledged. The majority of the securities were pledged to the FHLBNY to secure outstanding advances, letters of credit and to provide additional borrowing potential. In addition, securities were pledged to provide capacity to borrow from the Federal Reserve Bank and to collateralize municipal deposits.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fair value of investment securities available for sale and held-to-maturity as of December 31, 2024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300" w:type="dxa"/>
            <w:vAlign w:val="bottom"/>
          </w:tcPr>
          <w:p>
            <w:pPr>
              <w:spacing w:after="0"/>
              <w:rPr>
                <w:sz w:val="14"/>
                <w:szCs w:val="14"/>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4"/>
                <w:szCs w:val="14"/>
                <w:color w:val="auto"/>
              </w:rPr>
            </w:pPr>
          </w:p>
        </w:tc>
        <w:tc>
          <w:tcPr>
            <w:tcW w:w="15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152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Gross Unrealized</w:t>
            </w:r>
          </w:p>
        </w:tc>
        <w:tc>
          <w:tcPr>
            <w:tcW w:w="200" w:type="dxa"/>
            <w:vAlign w:val="bottom"/>
          </w:tcPr>
          <w:p>
            <w:pPr>
              <w:spacing w:after="0"/>
              <w:rPr>
                <w:sz w:val="14"/>
                <w:szCs w:val="14"/>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537,313</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2,072</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665,548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Corporate</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0" w:type="dxa"/>
            <w:vAlign w:val="bottom"/>
          </w:tcPr>
          <w:p>
            <w:pPr>
              <w:spacing w:after="0"/>
              <w:rPr>
                <w:sz w:val="1"/>
                <w:szCs w:val="1"/>
                <w:color w:val="auto"/>
              </w:rPr>
            </w:pPr>
          </w:p>
        </w:tc>
      </w:tr>
      <w:tr>
        <w:trPr>
          <w:trHeight w:val="230"/>
        </w:trPr>
        <w:tc>
          <w:tcPr>
            <w:tcW w:w="5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c>
          <w:tcPr>
            <w:tcW w:w="0" w:type="dxa"/>
            <w:vAlign w:val="bottom"/>
          </w:tcPr>
          <w:p>
            <w:pPr>
              <w:spacing w:after="0"/>
              <w:rPr>
                <w:sz w:val="1"/>
                <w:szCs w:val="1"/>
                <w:color w:val="auto"/>
              </w:rPr>
            </w:pPr>
          </w:p>
        </w:tc>
      </w:tr>
      <w:tr>
        <w:trPr>
          <w:trHeight w:val="223"/>
        </w:trPr>
        <w:tc>
          <w:tcPr>
            <w:tcW w:w="53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1,546,053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1,477,047</w:t>
            </w:r>
          </w:p>
        </w:tc>
        <w:tc>
          <w:tcPr>
            <w:tcW w:w="0" w:type="dxa"/>
            <w:vAlign w:val="bottom"/>
          </w:tcPr>
          <w:p>
            <w:pPr>
              <w:spacing w:after="0"/>
              <w:rPr>
                <w:sz w:val="1"/>
                <w:szCs w:val="1"/>
                <w:color w:val="auto"/>
              </w:rPr>
            </w:pPr>
          </w:p>
        </w:tc>
      </w:tr>
      <w:tr>
        <w:trPr>
          <w:trHeight w:val="210"/>
        </w:trPr>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0" w:type="dxa"/>
            <w:vAlign w:val="bottom"/>
          </w:tcPr>
          <w:p>
            <w:pPr>
              <w:spacing w:after="0"/>
              <w:rPr>
                <w:sz w:val="1"/>
                <w:szCs w:val="1"/>
                <w:color w:val="auto"/>
              </w:rPr>
            </w:pPr>
          </w:p>
        </w:tc>
      </w:tr>
      <w:tr>
        <w:trPr>
          <w:trHeight w:val="237"/>
        </w:trPr>
        <w:tc>
          <w:tcPr>
            <w:tcW w:w="53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3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available for sale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1,696,237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1,629,058</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5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300" w:type="dxa"/>
            <w:vAlign w:val="bottom"/>
          </w:tcPr>
          <w:p>
            <w:pPr>
              <w:spacing w:after="0"/>
              <w:rPr>
                <w:sz w:val="15"/>
                <w:szCs w:val="15"/>
                <w:color w:val="auto"/>
              </w:rPr>
            </w:pPr>
          </w:p>
        </w:tc>
        <w:tc>
          <w:tcPr>
            <w:tcW w:w="14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60"/>
              <w:spacing w:after="0" w:line="180"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140" w:type="dxa"/>
            <w:vAlign w:val="bottom"/>
          </w:tcPr>
          <w:p>
            <w:pPr>
              <w:spacing w:after="0"/>
              <w:rPr>
                <w:sz w:val="15"/>
                <w:szCs w:val="15"/>
                <w:color w:val="auto"/>
              </w:rPr>
            </w:pPr>
          </w:p>
        </w:tc>
        <w:tc>
          <w:tcPr>
            <w:tcW w:w="138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Unrecognized</w:t>
            </w:r>
          </w:p>
        </w:tc>
        <w:tc>
          <w:tcPr>
            <w:tcW w:w="200" w:type="dxa"/>
            <w:vAlign w:val="bottom"/>
          </w:tcPr>
          <w:p>
            <w:pPr>
              <w:spacing w:after="0"/>
              <w:rPr>
                <w:sz w:val="15"/>
                <w:szCs w:val="15"/>
                <w:color w:val="auto"/>
              </w:rPr>
            </w:pPr>
          </w:p>
        </w:tc>
        <w:tc>
          <w:tcPr>
            <w:tcW w:w="120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38"/>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140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40" w:type="dxa"/>
            <w:vAlign w:val="bottom"/>
          </w:tcPr>
          <w:p>
            <w:pPr>
              <w:spacing w:after="0"/>
              <w:rPr>
                <w:sz w:val="20"/>
                <w:szCs w:val="20"/>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188,194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168,222</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67,857</w:t>
            </w:r>
          </w:p>
        </w:tc>
        <w:tc>
          <w:tcPr>
            <w:tcW w:w="0" w:type="dxa"/>
            <w:vAlign w:val="bottom"/>
          </w:tcPr>
          <w:p>
            <w:pPr>
              <w:spacing w:after="0"/>
              <w:rPr>
                <w:sz w:val="1"/>
                <w:szCs w:val="1"/>
                <w:color w:val="auto"/>
              </w:rPr>
            </w:pPr>
          </w:p>
        </w:tc>
      </w:tr>
      <w:tr>
        <w:trPr>
          <w:trHeight w:val="230"/>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215,161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209,193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Municipal</w:t>
            </w: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542,295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499,564</w:t>
            </w:r>
          </w:p>
        </w:tc>
        <w:tc>
          <w:tcPr>
            <w:tcW w:w="0" w:type="dxa"/>
            <w:vAlign w:val="bottom"/>
          </w:tcPr>
          <w:p>
            <w:pPr>
              <w:spacing w:after="0"/>
              <w:rPr>
                <w:sz w:val="1"/>
                <w:szCs w:val="1"/>
                <w:color w:val="auto"/>
              </w:rPr>
            </w:pPr>
          </w:p>
        </w:tc>
      </w:tr>
      <w:tr>
        <w:trPr>
          <w:trHeight w:val="210"/>
        </w:trPr>
        <w:tc>
          <w:tcPr>
            <w:tcW w:w="5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3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Commercial PACE assessments</w:t>
            </w: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(37,731)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230,961</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775,922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702,195</w:t>
            </w:r>
          </w:p>
        </w:tc>
        <w:tc>
          <w:tcPr>
            <w:tcW w:w="0" w:type="dxa"/>
            <w:vAlign w:val="bottom"/>
          </w:tcPr>
          <w:p>
            <w:pPr>
              <w:spacing w:after="0"/>
              <w:rPr>
                <w:sz w:val="1"/>
                <w:szCs w:val="1"/>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1,044,614</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(111,458)</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933,156</w:t>
            </w: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Total held-to-maturity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1,586,909</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1,432,720</w:t>
            </w:r>
          </w:p>
        </w:tc>
        <w:tc>
          <w:tcPr>
            <w:tcW w:w="0" w:type="dxa"/>
            <w:vAlign w:val="bottom"/>
          </w:tcPr>
          <w:p>
            <w:pPr>
              <w:spacing w:after="0"/>
              <w:rPr>
                <w:sz w:val="1"/>
                <w:szCs w:val="1"/>
                <w:color w:val="auto"/>
              </w:rPr>
            </w:pP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3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Total held-to-maturity, net of allowance for credit losses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available for sale securities with a fair value of $1.05 billion were pledged; $473.2 million held-to-maturity securities were pledged. The majority of the securities were pledged to the FHLBNY to secure outstanding advances, letters of credit and to provide additional borrowing potential. In addition, securities were pledged to provide capacity to borrow from the Federal Reserve and to collateralize municipal deposits.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and December 31, 2024, there were no transfers of securities between available for sale and held-to-maturity.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amortized cost and fair value of debt securities available for sale and held-to-maturity, exclusive of mortgage-backed securities, by their contractual maturity as of December 31, 2025. Actual maturities may differ from contractual maturities because borrowers may have the right to call or prepay obligations with or without penalty: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Held-to-maturity</w:t>
            </w:r>
          </w:p>
        </w:tc>
        <w:tc>
          <w:tcPr>
            <w:tcW w:w="0" w:type="dxa"/>
            <w:vAlign w:val="bottom"/>
          </w:tcPr>
          <w:p>
            <w:pPr>
              <w:spacing w:after="0"/>
              <w:rPr>
                <w:sz w:val="1"/>
                <w:szCs w:val="1"/>
                <w:color w:val="auto"/>
              </w:rPr>
            </w:pPr>
          </w:p>
        </w:tc>
      </w:tr>
      <w:tr>
        <w:trPr>
          <w:trHeight w:val="169"/>
        </w:trPr>
        <w:tc>
          <w:tcPr>
            <w:tcW w:w="4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20" w:type="dxa"/>
            <w:vAlign w:val="bottom"/>
          </w:tcPr>
          <w:p>
            <w:pPr>
              <w:spacing w:after="0"/>
              <w:rPr>
                <w:sz w:val="14"/>
                <w:szCs w:val="14"/>
                <w:color w:val="auto"/>
              </w:rPr>
            </w:pPr>
          </w:p>
        </w:tc>
        <w:tc>
          <w:tcPr>
            <w:tcW w:w="1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40" w:type="dxa"/>
            <w:vAlign w:val="bottom"/>
          </w:tcPr>
          <w:p>
            <w:pPr>
              <w:spacing w:after="0"/>
              <w:rPr>
                <w:sz w:val="14"/>
                <w:szCs w:val="14"/>
                <w:color w:val="auto"/>
              </w:rPr>
            </w:pPr>
          </w:p>
        </w:tc>
        <w:tc>
          <w:tcPr>
            <w:tcW w:w="142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260" w:type="dxa"/>
            <w:vAlign w:val="bottom"/>
          </w:tcPr>
          <w:p>
            <w:pPr>
              <w:spacing w:after="0"/>
              <w:rPr>
                <w:sz w:val="14"/>
                <w:szCs w:val="14"/>
                <w:color w:val="auto"/>
              </w:rPr>
            </w:pPr>
          </w:p>
        </w:tc>
        <w:tc>
          <w:tcPr>
            <w:tcW w:w="13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1"/>
                <w:szCs w:val="21"/>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20" w:type="dxa"/>
            <w:vAlign w:val="bottom"/>
          </w:tcPr>
          <w:p>
            <w:pPr>
              <w:spacing w:after="0"/>
              <w:rPr>
                <w:sz w:val="21"/>
                <w:szCs w:val="21"/>
                <w:color w:val="auto"/>
              </w:rPr>
            </w:pPr>
          </w:p>
        </w:tc>
        <w:tc>
          <w:tcPr>
            <w:tcW w:w="16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16,089</w:t>
            </w:r>
          </w:p>
        </w:tc>
        <w:tc>
          <w:tcPr>
            <w:tcW w:w="3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0" w:type="dxa"/>
            <w:vAlign w:val="bottom"/>
          </w:tcPr>
          <w:p>
            <w:pPr>
              <w:spacing w:after="0"/>
              <w:rPr>
                <w:sz w:val="1"/>
                <w:szCs w:val="1"/>
                <w:color w:val="auto"/>
              </w:rPr>
            </w:pPr>
          </w:p>
        </w:tc>
      </w:tr>
      <w:tr>
        <w:trPr>
          <w:trHeight w:val="22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34,909</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16,514</w:t>
            </w: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after five years through ten years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168,986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165,314</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104,021</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ten years</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733,250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726,937</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1,174,584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1,079,405</w:t>
            </w:r>
          </w:p>
        </w:tc>
        <w:tc>
          <w:tcPr>
            <w:tcW w:w="0" w:type="dxa"/>
            <w:vAlign w:val="bottom"/>
          </w:tcPr>
          <w:p>
            <w:pPr>
              <w:spacing w:after="0"/>
              <w:rPr>
                <w:sz w:val="1"/>
                <w:szCs w:val="1"/>
                <w:color w:val="auto"/>
              </w:rPr>
            </w:pPr>
          </w:p>
        </w:tc>
      </w:tr>
      <w:tr>
        <w:trPr>
          <w:trHeight w:val="248"/>
        </w:trPr>
        <w:tc>
          <w:tcPr>
            <w:tcW w:w="40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953,828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943,249</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1,300,871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1,201,847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received and gains and losses realized on sales of securities are summarized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r>
      <w:tr>
        <w:trPr>
          <w:trHeight w:val="223"/>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8"/>
        </w:trPr>
        <w:tc>
          <w:tcPr>
            <w:tcW w:w="3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364,841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285,408</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Realized gains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Realized losses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(7,453)</w:t>
            </w:r>
          </w:p>
        </w:tc>
      </w:tr>
      <w:tr>
        <w:trPr>
          <w:trHeight w:val="248"/>
        </w:trPr>
        <w:tc>
          <w:tcPr>
            <w:tcW w:w="3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Net realized losses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(7,392)</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benefit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4"/>
                <w:szCs w:val="24"/>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sales of held-to-maturity securities during the year ended December 31, 2025, December 31, 2024 or December 31, 2023.</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controls and monitors inherent credit risk in its securities portfolio through due diligence, diversification, concentration limits, periodic securities reviews, and by investing in low risk securities. This includes high quality Non-Agency Securities, low LTV PACE Bonds and a significant portion of the securities portfolio in GSE obligations. GSEs include the Federal Home Loan Mortgage Corporation (“FHLMC”), the Federal National Mortgage Association (“FNMA”), the Government National Mortgage Association (“GNMA”) and the Small Business Administration (“SBA”). GNMA is a wholly owned U.S. Government corporation whereas FHLMC and FNMA are private. Mortgage-related securities may include mortgage pass-through certificates, participation certificates and CMOs. At December 31, 2025 and December 31, 2024, there were no holdings of securities of any one issuer, other than the U.S. Government and its agencies, in an amount greater than 10% of stockholders' equity.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summarizes the fair value and unrealized losses for available for sale securities as of December 31, 2025 and December 31, 2024, respectively, segregated between securities that have been in an unrealized loss position for less than twelve months and those that have been in a continuous unrealized loss position for twelve months or longer at the respective dates: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8"/>
          </w:tcPr>
          <w:p>
            <w:pPr>
              <w:ind w:left="20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2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Twelve Months or Longer</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1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57,671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138,879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18,634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118,250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10,078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ABS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284,508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105,027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389,535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10,472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355,920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437,542</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793,462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43,949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8"/>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Twelve Months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20" w:type="dxa"/>
            <w:vAlign w:val="bottom"/>
            <w:gridSpan w:val="8"/>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Twelve Months or Longer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18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00"/>
              <w:spacing w:after="0" w:line="158" w:lineRule="exact"/>
              <w:rPr>
                <w:sz w:val="20"/>
                <w:szCs w:val="20"/>
                <w:color w:val="auto"/>
              </w:rPr>
            </w:pPr>
            <w:r>
              <w:rPr>
                <w:rFonts w:ascii="Times New Roman" w:cs="Times New Roman" w:eastAsia="Times New Roman" w:hAnsi="Times New Roman"/>
                <w:sz w:val="16"/>
                <w:szCs w:val="16"/>
                <w:b w:val="1"/>
                <w:bCs w:val="1"/>
                <w:color w:val="auto"/>
                <w:w w:val="99"/>
              </w:rPr>
              <w:t>Unrealized</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Losses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w:t>
            </w: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Traditional securities: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249,736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31,227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145,329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15,581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ABS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151,668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14,563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11,167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1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available for sale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206,050</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648,913</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71,297</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72,670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none of the Company’s available for sale debt securities were in an unrealized loss position due to credit and therefore no allowance for credit losses on available for sale debt securities was required. The temporary impairment of fixed income securities is primarily attributable to changes in overall market interest rates and/or changes in credit/liquidity spreads since the investments were acquired. In general, as market interest rates rise and/or credit/liquidity spreads widen, the fair value of fixed rate securities will decrease, as market interest rates fall and/or credit spreads tighten, the fair value of fixed rate securities will increase.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the Company’s security investments that are temporarily impaired as of December 31, 2025, management does not intend to sell these investments and does not believe it will be necessary to do so before anticipated recovery. If either criteria regarding intent or requirement to sell is met, the security's amortized cost basis is written down to fair value through income. The Company expects to collect all amounts due according to the contractual terms of these investments. Therefore, the Company does not hold an allowance for credit losses for available for sale securities at December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Held-to-maturity securities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conducts an evaluation of expected credit losses on held-to-maturity securities on a collective basis by security type. Management monitors the credit quality of debt securities held-to-maturity through reasonable and supportable forecasts, reviews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 credit trends on underlying assets, credit ratings, and other factors. Holdings of securities issued by GSEs with unrealized losses are either explicitly or implicitly guaranteed by the U.S. government, and are highly rated by major rating agencies and have a long history of no credit losses.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With the exception of PACE assessments, which are generally not rated, our traditional securities were rated investment grade by at least one nationally recognized statistical rating organization with only $7.0 million rated below investment grade. All issues were current as to their interest payments. We have had insignificant losses on PACE assessments that we have invested in and are not aware of any significant losses in the PACE bonds sector given the low loan-to-value position and the superior lien position on the property. Management considers that the temporary impairment of these investments as of December 31, 2025 is primarily due to an increase in interest rates and spreads since the time these investments were acquired.</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Accrued interest receivable on securities totaling $41.6 million and $38.7 million at December 31, 2025 and December 31, 2024, respectively, was included in other assets in the consolidated balance sheet and excluded from the amortized cost and estimated fair value totals in the table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in the allowance for credit losses for securities held-to-maturity for the years ended December 31,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2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Non-GSE</w:t>
      </w:r>
    </w:p>
    <w:p>
      <w:pPr>
        <w:jc w:val="center"/>
        <w:ind w:right="-119"/>
        <w:spacing w:after="0" w:line="219" w:lineRule="auto"/>
        <w:rPr>
          <w:sz w:val="20"/>
          <w:szCs w:val="20"/>
          <w:color w:val="auto"/>
        </w:rPr>
      </w:pPr>
      <w:r>
        <w:rPr>
          <w:rFonts w:ascii="Times New Roman" w:cs="Times New Roman" w:eastAsia="Times New Roman" w:hAnsi="Times New Roman"/>
          <w:sz w:val="18"/>
          <w:szCs w:val="18"/>
          <w:b w:val="1"/>
          <w:bCs w:val="1"/>
          <w:color w:val="auto"/>
        </w:rPr>
        <w:t>commercial</w:t>
      </w:r>
    </w:p>
    <w:tbl>
      <w:tblPr>
        <w:tblLayout w:type="fixed"/>
        <w:tblInd w:w="0" w:type="dxa"/>
        <w:tblCellMar>
          <w:top w:w="0" w:type="dxa"/>
          <w:left w:w="0" w:type="dxa"/>
          <w:bottom w:w="0" w:type="dxa"/>
          <w:right w:w="0" w:type="dxa"/>
        </w:tblCellMar>
      </w:tblPr>
      <w:tr>
        <w:trPr>
          <w:trHeight w:val="214"/>
        </w:trPr>
        <w:tc>
          <w:tcPr>
            <w:tcW w:w="49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certificates</w:t>
            </w:r>
          </w:p>
        </w:tc>
        <w:tc>
          <w:tcPr>
            <w:tcW w:w="16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Commercial PACE</w:t>
            </w: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Residential PACE</w:t>
            </w:r>
          </w:p>
        </w:tc>
        <w:tc>
          <w:tcPr>
            <w:tcW w:w="34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Adoption of ASU No. 2016-13</w:t>
            </w: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w:t>
            </w:r>
          </w:p>
        </w:tc>
      </w:tr>
      <w:tr>
        <w:trPr>
          <w:trHeight w:val="229"/>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9"/>
                <w:szCs w:val="19"/>
                <w:color w:val="auto"/>
              </w:rPr>
            </w:pPr>
          </w:p>
        </w:tc>
        <w:tc>
          <w:tcPr>
            <w:tcW w:w="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00" w:type="dxa"/>
            <w:vAlign w:val="bottom"/>
          </w:tcPr>
          <w:p>
            <w:pPr>
              <w:spacing w:after="0"/>
              <w:rPr>
                <w:sz w:val="19"/>
                <w:szCs w:val="19"/>
                <w:color w:val="auto"/>
              </w:rPr>
            </w:pPr>
          </w:p>
        </w:tc>
        <w:tc>
          <w:tcPr>
            <w:tcW w:w="64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r>
      <w:tr>
        <w:trPr>
          <w:trHeight w:val="223"/>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9"/>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Charge-offs</w:t>
            </w:r>
          </w:p>
        </w:tc>
        <w:tc>
          <w:tcPr>
            <w:tcW w:w="22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r>
      <w:tr>
        <w:trPr>
          <w:trHeight w:val="20"/>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Federal Home Loan Bank Stock</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owned 50,091 shares and 156,932 shares at a cost of $100 per share at December 31, 2025 and December 31, 2024, respectively. Dividend income on FHLBNY stock amounted to approximately $0.5 million, $0.4 million, $0.8 million during the years ended December 31, 2025, 2024 and 2023, respectively.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4" w:name="page105"/>
    <w:bookmarkEnd w:id="104"/>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5.</w:t>
      </w:r>
      <w:r>
        <w:rPr>
          <w:sz w:val="20"/>
          <w:szCs w:val="20"/>
          <w:color w:val="auto"/>
        </w:rPr>
        <w:tab/>
      </w:r>
      <w:r>
        <w:rPr>
          <w:rFonts w:ascii="Times New Roman" w:cs="Times New Roman" w:eastAsia="Times New Roman" w:hAnsi="Times New Roman"/>
          <w:sz w:val="19"/>
          <w:szCs w:val="19"/>
          <w:b w:val="1"/>
          <w:bCs w:val="1"/>
          <w:color w:val="auto"/>
        </w:rPr>
        <w:t>LOANS RECEIVABLE, NET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receivable at amortized cost, net of deferred loan origination fees and costs, are summarized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60" w:type="dxa"/>
            <w:vAlign w:val="bottom"/>
          </w:tcPr>
          <w:p>
            <w:pPr>
              <w:spacing w:after="0"/>
              <w:rPr>
                <w:sz w:val="17"/>
                <w:szCs w:val="17"/>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73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1,643,779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363,266</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20,683</w:t>
            </w:r>
          </w:p>
        </w:tc>
      </w:tr>
      <w:tr>
        <w:trPr>
          <w:trHeight w:val="223"/>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3,366,642</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1,237,791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r>
      <w:tr>
        <w:trPr>
          <w:trHeight w:val="230"/>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325,154</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r>
      <w:tr>
        <w:trPr>
          <w:trHeight w:val="229"/>
        </w:trPr>
        <w:tc>
          <w:tcPr>
            <w:tcW w:w="7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34,627</w:t>
            </w:r>
          </w:p>
        </w:tc>
      </w:tr>
      <w:tr>
        <w:trPr>
          <w:trHeight w:val="223"/>
        </w:trPr>
        <w:tc>
          <w:tcPr>
            <w:tcW w:w="7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retail portfolio</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1,590,631</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r>
      <w:tr>
        <w:trPr>
          <w:trHeight w:val="22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w:t>
            </w: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4,957,273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4,672,924</w:t>
            </w:r>
          </w:p>
        </w:tc>
      </w:tr>
      <w:tr>
        <w:trPr>
          <w:trHeight w:val="229"/>
        </w:trPr>
        <w:tc>
          <w:tcPr>
            <w:tcW w:w="7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(57,586)</w:t>
            </w:r>
          </w:p>
        </w:tc>
        <w:tc>
          <w:tcPr>
            <w:tcW w:w="1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(60,086)</w:t>
            </w:r>
          </w:p>
        </w:tc>
      </w:tr>
      <w:tr>
        <w:trPr>
          <w:trHeight w:val="223"/>
        </w:trPr>
        <w:tc>
          <w:tcPr>
            <w:tcW w:w="7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loans receivable,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4,899,687</w:t>
            </w: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4,612,838</w:t>
            </w: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commercial and industrial loans are government guaranteed loans with a balance of $204.9 million at December 31, 2025 and $198.5 million at December 31, 2024. Due to these loans being fully guaranteed by the United States government, no allowance for credit losses is recorded in relation to these loans at December 31, 2025 or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30-59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Due</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61"/>
        </w:trPr>
        <w:tc>
          <w:tcPr>
            <w:tcW w:w="32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1,333,870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1,334,794</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1,627,801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1,643,779</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363,266</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3,321,146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3,366,642</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1,226,864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1,237,791</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325,154</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1,570,209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1,590,631</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32,360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27,715</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65,918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4,891,355</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4,957,273</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the past due status of the Company’s loans as of December 31, 2024: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90 Days or</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More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Delinquent</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30-89 Days</w:t>
            </w:r>
          </w:p>
        </w:tc>
        <w:tc>
          <w:tcPr>
            <w:tcW w:w="12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60-89 Days</w:t>
            </w:r>
          </w:p>
        </w:tc>
        <w:tc>
          <w:tcPr>
            <w:tcW w:w="180" w:type="dxa"/>
            <w:vAlign w:val="bottom"/>
          </w:tcPr>
          <w:p>
            <w:pPr>
              <w:spacing w:after="0"/>
              <w:rPr>
                <w:sz w:val="14"/>
                <w:szCs w:val="14"/>
                <w:color w:val="auto"/>
              </w:rPr>
            </w:pPr>
          </w:p>
        </w:tc>
        <w:tc>
          <w:tcPr>
            <w:tcW w:w="9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Non-</w:t>
            </w:r>
          </w:p>
        </w:tc>
        <w:tc>
          <w:tcPr>
            <w:tcW w:w="140" w:type="dxa"/>
            <w:vAlign w:val="bottom"/>
          </w:tcPr>
          <w:p>
            <w:pPr>
              <w:spacing w:after="0"/>
              <w:rPr>
                <w:sz w:val="14"/>
                <w:szCs w:val="14"/>
                <w:color w:val="auto"/>
              </w:rPr>
            </w:pPr>
          </w:p>
        </w:tc>
        <w:tc>
          <w:tcPr>
            <w:tcW w:w="102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and Still</w:t>
            </w:r>
          </w:p>
        </w:tc>
        <w:tc>
          <w:tcPr>
            <w:tcW w:w="140" w:type="dxa"/>
            <w:vAlign w:val="bottom"/>
          </w:tcPr>
          <w:p>
            <w:pPr>
              <w:spacing w:after="0"/>
              <w:rPr>
                <w:sz w:val="14"/>
                <w:szCs w:val="14"/>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Total Past</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vMerge w:val="restart"/>
          </w:tcPr>
          <w:p>
            <w:pPr>
              <w:jc w:val="right"/>
              <w:ind w:right="32"/>
              <w:spacing w:after="0"/>
              <w:rPr>
                <w:sz w:val="20"/>
                <w:szCs w:val="20"/>
                <w:color w:val="auto"/>
              </w:rPr>
            </w:pPr>
            <w:r>
              <w:rPr>
                <w:rFonts w:ascii="Times New Roman" w:cs="Times New Roman" w:eastAsia="Times New Roman" w:hAnsi="Times New Roman"/>
                <w:sz w:val="16"/>
                <w:szCs w:val="16"/>
                <w:b w:val="1"/>
                <w:bCs w:val="1"/>
                <w:color w:val="auto"/>
                <w:w w:val="97"/>
              </w:rPr>
              <w:t>Total Loans</w:t>
            </w: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Accruing</w:t>
            </w: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12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Past Due</w:t>
            </w:r>
          </w:p>
        </w:tc>
        <w:tc>
          <w:tcPr>
            <w:tcW w:w="1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Past Due</w:t>
            </w:r>
          </w:p>
        </w:tc>
        <w:tc>
          <w:tcPr>
            <w:tcW w:w="180" w:type="dxa"/>
            <w:vAlign w:val="bottom"/>
          </w:tcPr>
          <w:p>
            <w:pPr>
              <w:spacing w:after="0"/>
              <w:rPr>
                <w:sz w:val="18"/>
                <w:szCs w:val="18"/>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Accrual</w:t>
            </w: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4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Due</w:t>
            </w:r>
          </w:p>
        </w:tc>
        <w:tc>
          <w:tcPr>
            <w:tcW w:w="16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Receivable</w:t>
            </w:r>
          </w:p>
        </w:tc>
        <w:tc>
          <w:tcPr>
            <w:tcW w:w="0" w:type="dxa"/>
            <w:vAlign w:val="bottom"/>
          </w:tcPr>
          <w:p>
            <w:pPr>
              <w:spacing w:after="0"/>
              <w:rPr>
                <w:sz w:val="1"/>
                <w:szCs w:val="1"/>
                <w:color w:val="auto"/>
              </w:rPr>
            </w:pPr>
          </w:p>
        </w:tc>
      </w:tr>
      <w:tr>
        <w:trPr>
          <w:trHeight w:val="161"/>
        </w:trPr>
        <w:tc>
          <w:tcPr>
            <w:tcW w:w="3260" w:type="dxa"/>
            <w:vAlign w:val="bottom"/>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1,175,490</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1,343,432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1,351,604</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406,045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411,387</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11,107</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20,683</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2,932,823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2,959,164</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1,305,684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1,313,617</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365,516</w:t>
            </w:r>
          </w:p>
        </w:tc>
        <w:tc>
          <w:tcPr>
            <w:tcW w:w="0" w:type="dxa"/>
            <w:vAlign w:val="bottom"/>
          </w:tcPr>
          <w:p>
            <w:pPr>
              <w:spacing w:after="0"/>
              <w:rPr>
                <w:sz w:val="1"/>
                <w:szCs w:val="1"/>
                <w:color w:val="auto"/>
              </w:rPr>
            </w:pPr>
          </w:p>
        </w:tc>
      </w:tr>
      <w:tr>
        <w:trPr>
          <w:trHeight w:val="230"/>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23"/>
        </w:trPr>
        <w:tc>
          <w:tcPr>
            <w:tcW w:w="32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1,697,038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1,713,760</w:t>
            </w:r>
          </w:p>
        </w:tc>
        <w:tc>
          <w:tcPr>
            <w:tcW w:w="0" w:type="dxa"/>
            <w:vAlign w:val="bottom"/>
          </w:tcPr>
          <w:p>
            <w:pPr>
              <w:spacing w:after="0"/>
              <w:rPr>
                <w:sz w:val="1"/>
                <w:szCs w:val="1"/>
                <w:color w:val="auto"/>
              </w:rPr>
            </w:pPr>
          </w:p>
        </w:tc>
      </w:tr>
      <w:tr>
        <w:trPr>
          <w:trHeight w:val="223"/>
        </w:trPr>
        <w:tc>
          <w:tcPr>
            <w:tcW w:w="32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17,656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21,009</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43,063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4,629,861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4,672,924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six loan modifications were made to borrowers experiencing financial difficulty. The following table presents information regarding loan modifications granted to borrowers experiencing financial difficulty during the year ended December 31,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26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6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c>
          <w:tcPr>
            <w:tcW w:w="64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spacing w:after="0"/>
              <w:rPr>
                <w:sz w:val="21"/>
                <w:szCs w:val="21"/>
                <w:color w:val="auto"/>
              </w:rPr>
            </w:pPr>
          </w:p>
        </w:tc>
      </w:tr>
      <w:tr>
        <w:trPr>
          <w:trHeight w:val="223"/>
        </w:trPr>
        <w:tc>
          <w:tcPr>
            <w:tcW w:w="32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9"/>
                <w:szCs w:val="19"/>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220" w:type="dxa"/>
            <w:vAlign w:val="bottom"/>
          </w:tcPr>
          <w:p>
            <w:pPr>
              <w:spacing w:after="0"/>
              <w:rPr>
                <w:sz w:val="19"/>
                <w:szCs w:val="19"/>
                <w:color w:val="auto"/>
              </w:rPr>
            </w:pPr>
          </w:p>
        </w:tc>
        <w:tc>
          <w:tcPr>
            <w:tcW w:w="18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Payment Delay</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23"/>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2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12,220</w:t>
            </w:r>
          </w:p>
        </w:tc>
        <w:tc>
          <w:tcPr>
            <w:tcW w:w="80" w:type="dxa"/>
            <w:vAlign w:val="bottom"/>
            <w:tcBorders>
              <w:top w:val="single" w:sz="8" w:color="CCEEFF"/>
            </w:tcBorders>
            <w:shd w:val="clear" w:color="auto" w:fill="CCEEFF"/>
          </w:tcPr>
          <w:p>
            <w:pPr>
              <w:spacing w:after="0"/>
              <w:rPr>
                <w:sz w:val="19"/>
                <w:szCs w:val="19"/>
                <w:color w:val="auto"/>
              </w:rPr>
            </w:pPr>
          </w:p>
        </w:tc>
        <w:tc>
          <w:tcPr>
            <w:tcW w:w="2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5"/>
        </w:trPr>
        <w:tc>
          <w:tcPr>
            <w:tcW w:w="3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34"/>
        </w:trPr>
        <w:tc>
          <w:tcPr>
            <w:tcW w:w="3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21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56.5 %</w:t>
            </w:r>
          </w:p>
        </w:tc>
      </w:tr>
      <w:tr>
        <w:trPr>
          <w:trHeight w:val="24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17,146</w:t>
            </w:r>
          </w:p>
        </w:tc>
        <w:tc>
          <w:tcPr>
            <w:tcW w:w="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2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29,333</w:t>
            </w:r>
          </w:p>
        </w:tc>
        <w:tc>
          <w:tcPr>
            <w:tcW w:w="8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spacing w:after="0"/>
              <w:rPr>
                <w:sz w:val="21"/>
                <w:szCs w:val="2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3520" w:type="dxa"/>
            <w:vAlign w:val="bottom"/>
            <w:tcBorders>
              <w:top w:val="single" w:sz="8" w:color="auto"/>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2025</w:t>
            </w:r>
          </w:p>
        </w:tc>
      </w:tr>
      <w:tr>
        <w:trPr>
          <w:trHeight w:val="182"/>
        </w:trPr>
        <w:tc>
          <w:tcPr>
            <w:tcW w:w="3360" w:type="dxa"/>
            <w:vAlign w:val="bottom"/>
          </w:tcPr>
          <w:p>
            <w:pPr>
              <w:spacing w:after="0"/>
              <w:rPr>
                <w:sz w:val="15"/>
                <w:szCs w:val="15"/>
                <w:color w:val="auto"/>
              </w:rPr>
            </w:pPr>
          </w:p>
        </w:tc>
        <w:tc>
          <w:tcPr>
            <w:tcW w:w="3920" w:type="dxa"/>
            <w:vAlign w:val="bottom"/>
            <w:gridSpan w:val="3"/>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Weighted Average Years of Term Extension</w:t>
            </w:r>
          </w:p>
        </w:tc>
      </w:tr>
      <w:tr>
        <w:trPr>
          <w:trHeight w:val="21"/>
        </w:trPr>
        <w:tc>
          <w:tcPr>
            <w:tcW w:w="33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223"/>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5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0.4</w:t>
            </w:r>
          </w:p>
        </w:tc>
        <w:tc>
          <w:tcPr>
            <w:tcW w:w="380" w:type="dxa"/>
            <w:vAlign w:val="bottom"/>
            <w:shd w:val="clear" w:color="auto" w:fill="CCEEFF"/>
          </w:tcPr>
          <w:p>
            <w:pPr>
              <w:spacing w:after="0"/>
              <w:rPr>
                <w:sz w:val="19"/>
                <w:szCs w:val="19"/>
                <w:color w:val="auto"/>
              </w:rPr>
            </w:pPr>
          </w:p>
        </w:tc>
      </w:tr>
      <w:tr>
        <w:trPr>
          <w:trHeight w:val="230"/>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54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7"/>
              </w:rPr>
              <w:t>0.0</w:t>
            </w:r>
          </w:p>
        </w:tc>
        <w:tc>
          <w:tcPr>
            <w:tcW w:w="380" w:type="dxa"/>
            <w:vAlign w:val="bottom"/>
          </w:tcPr>
          <w:p>
            <w:pPr>
              <w:spacing w:after="0"/>
              <w:rPr>
                <w:sz w:val="19"/>
                <w:szCs w:val="19"/>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540" w:type="dxa"/>
            <w:vAlign w:val="bottom"/>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7"/>
              </w:rPr>
              <w:t>1.1</w:t>
            </w:r>
          </w:p>
        </w:tc>
        <w:tc>
          <w:tcPr>
            <w:tcW w:w="38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loans with a payment delay, there was one C&amp;I loan in which the interest was deferred and added to the principal balance as part of the modification.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other loan was a Multifamily loan in which a payment was deferred over the remaining life of twenty-four months.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One C&amp;I loan was modified during this period that had a payment default. The other loan modifications had no delinquencies during the year ended December 31, 2025.</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six loan modifications were made to borrowers experiencing difficulty. The following table presents information regarding loan modifications granted to borrowers experiencing financial difficulty during the year ended December 31, 2024:</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080" w:type="dxa"/>
            <w:vAlign w:val="bottom"/>
            <w:tcBorders>
              <w:top w:val="single" w:sz="8" w:color="auto"/>
              <w:bottom w:val="single" w:sz="8" w:color="auto"/>
            </w:tcBorders>
            <w:gridSpan w:val="4"/>
          </w:tcPr>
          <w:p>
            <w:pPr>
              <w:ind w:left="15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680" w:type="dxa"/>
            <w:vAlign w:val="bottom"/>
            <w:tcBorders>
              <w:top w:val="single" w:sz="8" w:color="auto"/>
              <w:bottom w:val="single" w:sz="8" w:color="auto"/>
            </w:tcBorders>
          </w:tcPr>
          <w:p>
            <w:pPr>
              <w:spacing w:after="0"/>
              <w:rPr>
                <w:sz w:val="21"/>
                <w:szCs w:val="21"/>
                <w:color w:val="auto"/>
              </w:rPr>
            </w:pPr>
          </w:p>
        </w:tc>
      </w:tr>
      <w:tr>
        <w:trPr>
          <w:trHeight w:val="223"/>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Term Extension</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of Portfolio</w:t>
            </w:r>
          </w:p>
        </w:tc>
      </w:tr>
      <w:tr>
        <w:trPr>
          <w:trHeight w:val="22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32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13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11,770</w:t>
            </w:r>
          </w:p>
        </w:tc>
        <w:tc>
          <w:tcPr>
            <w:tcW w:w="44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w:t>
            </w:r>
          </w:p>
        </w:tc>
        <w:tc>
          <w:tcPr>
            <w:tcW w:w="44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3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440" w:type="dxa"/>
            <w:vAlign w:val="bottom"/>
            <w:tcBorders>
              <w:bottom w:val="single" w:sz="8" w:color="CCEEFF"/>
            </w:tcBorders>
          </w:tcPr>
          <w:p>
            <w:pPr>
              <w:spacing w:after="0"/>
              <w:rPr>
                <w:sz w:val="19"/>
                <w:szCs w:val="19"/>
                <w:color w:val="auto"/>
              </w:rPr>
            </w:pPr>
          </w:p>
        </w:tc>
        <w:tc>
          <w:tcPr>
            <w:tcW w:w="16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67.6 %</w:t>
            </w:r>
          </w:p>
        </w:tc>
      </w:tr>
      <w:tr>
        <w:trPr>
          <w:trHeight w:val="248"/>
        </w:trPr>
        <w:tc>
          <w:tcPr>
            <w:tcW w:w="3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132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30,952</w:t>
            </w:r>
          </w:p>
        </w:tc>
        <w:tc>
          <w:tcPr>
            <w:tcW w:w="4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describes the financial effect of the modifications made to borrowers experiencing financial difficulty:</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360" w:type="dxa"/>
            <w:vAlign w:val="bottom"/>
          </w:tcPr>
          <w:p>
            <w:pPr>
              <w:spacing w:after="0"/>
              <w:rPr>
                <w:sz w:val="21"/>
                <w:szCs w:val="21"/>
                <w:color w:val="auto"/>
              </w:rPr>
            </w:pPr>
          </w:p>
        </w:tc>
        <w:tc>
          <w:tcPr>
            <w:tcW w:w="39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 Ended December 31, 2024</w:t>
            </w:r>
          </w:p>
        </w:tc>
      </w:tr>
      <w:tr>
        <w:trPr>
          <w:trHeight w:val="223"/>
        </w:trPr>
        <w:tc>
          <w:tcPr>
            <w:tcW w:w="3360" w:type="dxa"/>
            <w:vAlign w:val="bottom"/>
          </w:tcPr>
          <w:p>
            <w:pPr>
              <w:spacing w:after="0"/>
              <w:rPr>
                <w:sz w:val="19"/>
                <w:szCs w:val="19"/>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 Years of Term Extension</w:t>
            </w: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0.7</w:t>
            </w: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r>
      <w:tr>
        <w:trPr>
          <w:trHeight w:val="229"/>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r>
      <w:tr>
        <w:trPr>
          <w:trHeight w:val="234"/>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0.8</w:t>
            </w:r>
          </w:p>
        </w:tc>
      </w:tr>
    </w:tbl>
    <w:p>
      <w:pPr>
        <w:spacing w:after="0" w:line="27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One CRE and one C&amp;I loans were modified during this period that had a payment default. The other loan modifications had no delinquencies during the year ended December 31, 2024.</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order to manage credit quality, we view the Company’s loan portfolio by various segments. For commercial loans, we assign individual credit ratings ranging from 1 (lowest risk) to 10 (highest risk) as an indicator of credit quality. These ratings are based on specific risk factors including (i) historical and projected financial results of the borrower, (ii) market conditions of the borrower’s industry that may affect the borrower’s future financial performance,</w:t>
      </w:r>
    </w:p>
    <w:p>
      <w:pPr>
        <w:spacing w:after="0" w:line="1" w:lineRule="exact"/>
        <w:rPr>
          <w:sz w:val="20"/>
          <w:szCs w:val="20"/>
          <w:color w:val="auto"/>
        </w:rPr>
      </w:pPr>
    </w:p>
    <w:p>
      <w:pPr>
        <w:jc w:val="both"/>
        <w:ind w:firstLine="8"/>
        <w:spacing w:after="0" w:line="255" w:lineRule="auto"/>
        <w:tabs>
          <w:tab w:leader="none" w:pos="33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experience of the borrower’s management, (iv) nature of the underlying collateral, if any, including the ability of the collateral to generate sources of repayment, and (v) history of the borrower’s payment performance. These specific risk factors are then utilized as inputs in our credit model to determine the associated allowance for credit loss. Non-rated loans generally include residential mortgages and consumer loans.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classifications follow regulatory guidelines and can be generally described as follows:</w:t>
      </w:r>
    </w:p>
    <w:p>
      <w:pPr>
        <w:spacing w:after="0" w:line="225"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 loans are of satisfactory quality (risk rating 1 through 6);</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mention loans have a potential weakness or risk that may result in the deterioration of future repayment (risk rating 7);</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substandard loans are inadequately protected by the current net worth and paying capacity of the borrower or of the collateral pledged (these loans have a well-defined weakness, and there is a distinct possibility that the Company will sustain some loss) (risk rating 8 and 9);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doubtful loans, based on existing circumstances, have weaknesses that make collection or liquidation in full highly questionable and improbable (risk rating 10).</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residential loans are classified utilizing an inter-agency methodology that incorporates the extent of delinquency. Assigned risk rating grades are continuously updated as new information is obtained.</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07" w:name="page108"/>
    <w:bookmarkEnd w:id="107"/>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following table discloses risk rating of the loans. Information below evaluates the Company’s risk category of loans by class as of December 31, 2025:</w:t>
      </w:r>
    </w:p>
    <w:p>
      <w:pPr>
        <w:spacing w:after="0" w:line="27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9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4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Revolving Loans</w:t>
            </w: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0" w:type="dxa"/>
            <w:vAlign w:val="bottom"/>
            <w:gridSpan w:val="2"/>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2021 &amp; Prior</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tcPr>
          <w:p>
            <w:pPr>
              <w:spacing w:after="0"/>
              <w:rPr>
                <w:sz w:val="12"/>
                <w:szCs w:val="12"/>
                <w:color w:val="auto"/>
              </w:rPr>
            </w:pPr>
          </w:p>
        </w:tc>
        <w:tc>
          <w:tcPr>
            <w:tcW w:w="980" w:type="dxa"/>
            <w:vAlign w:val="bottom"/>
          </w:tcPr>
          <w:p>
            <w:pPr>
              <w:jc w:val="center"/>
              <w:ind w:right="28"/>
              <w:spacing w:after="0" w:line="146"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0" w:type="dxa"/>
            <w:vAlign w:val="bottom"/>
            <w:tcBorders>
              <w:bottom w:val="single" w:sz="8" w:color="auto"/>
            </w:tcBorders>
            <w:gridSpan w:val="2"/>
            <w:vMerge w:val="continue"/>
          </w:tcPr>
          <w:p>
            <w:pPr>
              <w:spacing w:after="0"/>
              <w:rPr>
                <w:sz w:val="17"/>
                <w:szCs w:val="17"/>
                <w:color w:val="auto"/>
              </w:rPr>
            </w:pPr>
          </w:p>
        </w:tc>
        <w:tc>
          <w:tcPr>
            <w:tcW w:w="1080" w:type="dxa"/>
            <w:vAlign w:val="bottom"/>
            <w:tcBorders>
              <w:bottom w:val="single" w:sz="8" w:color="auto"/>
            </w:tcBorders>
            <w:gridSpan w:val="2"/>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397,992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238,047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124,706</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363,950</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112,769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1,292,587</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13,416</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15,979</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18,574</w:t>
            </w:r>
          </w:p>
        </w:tc>
        <w:tc>
          <w:tcPr>
            <w:tcW w:w="2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7,307</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26,228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398,339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238,047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55,123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145,793</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384,673</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112,819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1,334,794</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2,284</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1,500</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405,722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241,674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342,101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406,238</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1,598,594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7,358</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7,358</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37,827</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37,827</w:t>
            </w:r>
          </w:p>
        </w:tc>
        <w:tc>
          <w:tcPr>
            <w:tcW w:w="0" w:type="dxa"/>
            <w:vAlign w:val="bottom"/>
          </w:tcPr>
          <w:p>
            <w:pPr>
              <w:spacing w:after="0"/>
              <w:rPr>
                <w:sz w:val="1"/>
                <w:szCs w:val="1"/>
                <w:color w:val="auto"/>
              </w:rPr>
            </w:pP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405,722</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241,674</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202,857</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342,101</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451,423</w:t>
            </w:r>
          </w:p>
        </w:tc>
        <w:tc>
          <w:tcPr>
            <w:tcW w:w="34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1,643,779</w:t>
            </w:r>
          </w:p>
        </w:tc>
        <w:tc>
          <w:tcPr>
            <w:tcW w:w="0" w:type="dxa"/>
            <w:vAlign w:val="bottom"/>
          </w:tcPr>
          <w:p>
            <w:pPr>
              <w:spacing w:after="0"/>
              <w:rPr>
                <w:sz w:val="1"/>
                <w:szCs w:val="1"/>
                <w:color w:val="auto"/>
              </w:rPr>
            </w:pP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100,528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166,973</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363,266</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36,358</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100,528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19,213</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40,191</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166,973</w:t>
            </w:r>
          </w:p>
        </w:tc>
        <w:tc>
          <w:tcPr>
            <w:tcW w:w="3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363,266</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2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106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12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35" w:right="39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3"/>
        </w:trPr>
        <w:tc>
          <w:tcPr>
            <w:tcW w:w="2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980" w:type="dxa"/>
            <w:vAlign w:val="bottom"/>
            <w:gridSpan w:val="2"/>
          </w:tcPr>
          <w:p>
            <w:pPr>
              <w:spacing w:after="0"/>
              <w:rPr>
                <w:sz w:val="2"/>
                <w:szCs w:val="2"/>
                <w:color w:val="auto"/>
              </w:rPr>
            </w:pPr>
          </w:p>
        </w:tc>
        <w:tc>
          <w:tcPr>
            <w:tcW w:w="920" w:type="dxa"/>
            <w:vAlign w:val="bottom"/>
            <w:gridSpan w:val="2"/>
          </w:tcPr>
          <w:p>
            <w:pPr>
              <w:spacing w:after="0"/>
              <w:rPr>
                <w:sz w:val="2"/>
                <w:szCs w:val="2"/>
                <w:color w:val="auto"/>
              </w:rPr>
            </w:pPr>
          </w:p>
        </w:tc>
        <w:tc>
          <w:tcPr>
            <w:tcW w:w="1100" w:type="dxa"/>
            <w:vAlign w:val="bottom"/>
            <w:gridSpan w:val="2"/>
          </w:tcPr>
          <w:p>
            <w:pPr>
              <w:spacing w:after="0"/>
              <w:rPr>
                <w:sz w:val="2"/>
                <w:szCs w:val="2"/>
                <w:color w:val="auto"/>
              </w:rPr>
            </w:pPr>
          </w:p>
        </w:tc>
        <w:tc>
          <w:tcPr>
            <w:tcW w:w="1280" w:type="dxa"/>
            <w:vAlign w:val="bottom"/>
            <w:gridSpan w:val="2"/>
          </w:tcPr>
          <w:p>
            <w:pPr>
              <w:spacing w:after="0"/>
              <w:rPr>
                <w:sz w:val="2"/>
                <w:szCs w:val="2"/>
                <w:color w:val="auto"/>
              </w:rPr>
            </w:pPr>
          </w:p>
        </w:tc>
        <w:tc>
          <w:tcPr>
            <w:tcW w:w="820" w:type="dxa"/>
            <w:vAlign w:val="bottom"/>
            <w:gridSpan w:val="2"/>
          </w:tcPr>
          <w:p>
            <w:pPr>
              <w:spacing w:after="0"/>
              <w:rPr>
                <w:sz w:val="2"/>
                <w:szCs w:val="2"/>
                <w:color w:val="auto"/>
              </w:rPr>
            </w:pPr>
          </w:p>
        </w:tc>
        <w:tc>
          <w:tcPr>
            <w:tcW w:w="760" w:type="dxa"/>
            <w:vAlign w:val="bottom"/>
          </w:tcPr>
          <w:p>
            <w:pPr>
              <w:spacing w:after="0"/>
              <w:rPr>
                <w:sz w:val="2"/>
                <w:szCs w:val="2"/>
                <w:color w:val="auto"/>
              </w:rPr>
            </w:pPr>
          </w:p>
        </w:tc>
      </w:t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11,078</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16,272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24,803</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116,579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361,067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616,426</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1,235,112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1,914</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62,342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64,765</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117,010</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362,981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616,760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13,933</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1,237,791</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21,963</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84,702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214,957</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322,025</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22,069</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85,625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216,996</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325,154</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6,578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10,140</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16,054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27,627</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27,686</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911,262</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645,100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416,796</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962,935</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1,784,598</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127,051</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4,847,742</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2,513</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20,774</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5,244</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28,531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21,432</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47,545</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11,078</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81,000</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911,670</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645,100</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417,333</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986,880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1,852,917</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143,373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4,957,273</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2,084</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8,517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23,452</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risk category of loans by class as of December 31, 2024:</w:t>
      </w:r>
    </w:p>
    <w:p>
      <w:pPr>
        <w:spacing w:after="0" w:line="26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Term Loans by Origination Year</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7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2020 &amp; Prior</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Revolving loans</w:t>
            </w:r>
          </w:p>
        </w:tc>
        <w:tc>
          <w:tcPr>
            <w:tcW w:w="160" w:type="dxa"/>
            <w:vAlign w:val="bottom"/>
          </w:tcPr>
          <w:p>
            <w:pPr>
              <w:spacing w:after="0"/>
              <w:rPr>
                <w:sz w:val="12"/>
                <w:szCs w:val="12"/>
                <w:color w:val="auto"/>
              </w:rPr>
            </w:pPr>
          </w:p>
        </w:tc>
        <w:tc>
          <w:tcPr>
            <w:tcW w:w="98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Converted to</w:t>
            </w:r>
          </w:p>
        </w:tc>
        <w:tc>
          <w:tcPr>
            <w:tcW w:w="220" w:type="dxa"/>
            <w:vAlign w:val="bottom"/>
          </w:tcPr>
          <w:p>
            <w:pPr>
              <w:spacing w:after="0"/>
              <w:rPr>
                <w:sz w:val="12"/>
                <w:szCs w:val="12"/>
                <w:color w:val="auto"/>
              </w:rPr>
            </w:pPr>
          </w:p>
        </w:tc>
        <w:tc>
          <w:tcPr>
            <w:tcW w:w="7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9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Term</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and Industrial:</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331,879</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146,475</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178,107</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218,078</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155,917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1,113,225</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25,614</w:t>
            </w:r>
          </w:p>
        </w:tc>
        <w:tc>
          <w:tcPr>
            <w:tcW w:w="0" w:type="dxa"/>
            <w:vAlign w:val="bottom"/>
          </w:tcPr>
          <w:p>
            <w:pPr>
              <w:spacing w:after="0"/>
              <w:rPr>
                <w:sz w:val="1"/>
                <w:szCs w:val="1"/>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5,531</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15,805</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13,403</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1,797</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36,651</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and industrial</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332,131</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82,769</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165,822</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203,668</w:t>
            </w:r>
          </w:p>
        </w:tc>
        <w:tc>
          <w:tcPr>
            <w:tcW w:w="2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231,481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159,619</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1,175,490</w:t>
            </w:r>
          </w:p>
        </w:tc>
        <w:tc>
          <w:tcPr>
            <w:tcW w:w="0" w:type="dxa"/>
            <w:vAlign w:val="bottom"/>
          </w:tcPr>
          <w:p>
            <w:pPr>
              <w:spacing w:after="0"/>
              <w:rPr>
                <w:sz w:val="1"/>
                <w:szCs w:val="1"/>
                <w:color w:val="auto"/>
              </w:rPr>
            </w:pP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0" w:type="dxa"/>
            <w:vAlign w:val="bottom"/>
          </w:tcPr>
          <w:p>
            <w:pPr>
              <w:spacing w:after="0"/>
              <w:rPr>
                <w:sz w:val="1"/>
                <w:szCs w:val="1"/>
                <w:color w:val="auto"/>
              </w:rPr>
            </w:pP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451,981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1,343,024</w:t>
            </w:r>
          </w:p>
        </w:tc>
        <w:tc>
          <w:tcPr>
            <w:tcW w:w="0" w:type="dxa"/>
            <w:vAlign w:val="bottom"/>
          </w:tcPr>
          <w:p>
            <w:pPr>
              <w:spacing w:after="0"/>
              <w:rPr>
                <w:sz w:val="1"/>
                <w:szCs w:val="1"/>
                <w:color w:val="auto"/>
              </w:rPr>
            </w:pPr>
          </w:p>
        </w:tc>
      </w:tr>
      <w:tr>
        <w:trPr>
          <w:trHeight w:val="188"/>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35" w:right="559" w:bottom="1440" w:gutter="0" w:footer="0" w:header="0"/>
        </w:sectPr>
      </w:pPr>
    </w:p>
    <w:bookmarkStart w:id="109" w:name="page110"/>
    <w:bookmarkEnd w:id="109"/>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7"/>
                <w:szCs w:val="17"/>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multifamily</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258,985</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226,552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362,091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43,413</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460,561</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1,351,604</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 real estate:</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170,931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407,325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commercial real estate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100,289</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41,791</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41,266</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46,847</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174,993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6,201</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411,387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Construction and land development:</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9,579</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11,104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construction and land development</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16,303</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20,683</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104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0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 $</w:t>
            </w:r>
          </w:p>
        </w:tc>
        <w:tc>
          <w:tcPr>
            <w:tcW w:w="128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color w:val="auto"/>
              </w:rPr>
              <w:t>— $</w:t>
            </w:r>
          </w:p>
        </w:tc>
        <w:tc>
          <w:tcPr>
            <w:tcW w:w="820" w:type="dxa"/>
            <w:vAlign w:val="bottom"/>
            <w:gridSpan w:val="2"/>
          </w:tcPr>
          <w:p>
            <w:pPr>
              <w:ind w:left="400"/>
              <w:spacing w:after="0"/>
              <w:rPr>
                <w:sz w:val="20"/>
                <w:szCs w:val="20"/>
                <w:color w:val="auto"/>
              </w:rPr>
            </w:pPr>
            <w:r>
              <w:rPr>
                <w:rFonts w:ascii="Times New Roman" w:cs="Times New Roman" w:eastAsia="Times New Roman" w:hAnsi="Times New Roman"/>
                <w:sz w:val="14"/>
                <w:szCs w:val="1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Residential real estate lending:</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382,888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444,507</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1,312,011</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residential real estate lending</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73,206</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128,537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384,379</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282,873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444,622</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1,313,617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solar:</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25,313</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94,240</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119,279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124,095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362,927</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2,589</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consumer solar</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25,412</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94,871</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120,190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125,043</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365,516</w:t>
            </w:r>
          </w:p>
        </w:tc>
      </w:tr>
      <w:tr>
        <w:trPr>
          <w:trHeight w:val="195"/>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2,001</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7,694</w:t>
            </w:r>
          </w:p>
        </w:tc>
      </w:tr>
      <w:tr>
        <w:trPr>
          <w:trHeight w:val="210"/>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Consumer and other:</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12,512</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10,181</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9,153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9"/>
        </w:trPr>
        <w:tc>
          <w:tcPr>
            <w:tcW w:w="2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consumer and other</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12,595</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10,468</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9,254</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34,627</w:t>
            </w:r>
          </w:p>
        </w:tc>
      </w:tr>
      <w:tr>
        <w:trPr>
          <w:trHeight w:val="210"/>
        </w:trPr>
        <w:tc>
          <w:tcPr>
            <w:tcW w:w="29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r>
      <w:tr>
        <w:trPr>
          <w:trHeight w:val="196"/>
        </w:trPr>
        <w:tc>
          <w:tcPr>
            <w:tcW w:w="2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w:t>
            </w: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9"/>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Pass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764,761</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506,869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1,039,472</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680,700</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1,423,125</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167,319</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4,582,246</w:t>
            </w:r>
          </w:p>
        </w:tc>
      </w:tr>
      <w:tr>
        <w:trPr>
          <w:trHeight w:val="195"/>
        </w:trPr>
        <w:tc>
          <w:tcPr>
            <w:tcW w:w="296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Special Mention</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2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13,816</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9,756</w:t>
            </w:r>
          </w:p>
        </w:tc>
        <w:tc>
          <w:tcPr>
            <w:tcW w:w="2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1,905</w:t>
            </w:r>
          </w:p>
        </w:tc>
        <w:tc>
          <w:tcPr>
            <w:tcW w:w="540" w:type="dxa"/>
            <w:vAlign w:val="bottom"/>
          </w:tcPr>
          <w:p>
            <w:pPr>
              <w:spacing w:after="0"/>
              <w:rPr>
                <w:sz w:val="16"/>
                <w:szCs w:val="16"/>
                <w:color w:val="auto"/>
              </w:rPr>
            </w:pP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25,614</w:t>
            </w:r>
          </w:p>
        </w:tc>
      </w:tr>
      <w:tr>
        <w:trPr>
          <w:trHeight w:val="210"/>
        </w:trPr>
        <w:tc>
          <w:tcPr>
            <w:tcW w:w="2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Substandard</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7,736</w:t>
            </w: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17,003</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27,209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12,901</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65,064</w:t>
            </w:r>
          </w:p>
        </w:tc>
      </w:tr>
      <w:tr>
        <w:trPr>
          <w:trHeight w:val="196"/>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Doubtful</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2"/>
        </w:trPr>
        <w:tc>
          <w:tcPr>
            <w:tcW w:w="2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loans</w:t>
            </w: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765,013</w:t>
            </w:r>
          </w:p>
        </w:tc>
        <w:tc>
          <w:tcPr>
            <w:tcW w:w="2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506,969</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1,061,024</w:t>
            </w:r>
          </w:p>
        </w:tc>
        <w:tc>
          <w:tcPr>
            <w:tcW w:w="3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707,459</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1,450,334</w:t>
            </w:r>
          </w:p>
        </w:tc>
        <w:tc>
          <w:tcPr>
            <w:tcW w:w="38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182,125</w:t>
            </w:r>
          </w:p>
        </w:tc>
        <w:tc>
          <w:tcPr>
            <w:tcW w:w="54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4,672,924</w:t>
            </w:r>
          </w:p>
        </w:tc>
      </w:tr>
      <w:tr>
        <w:trPr>
          <w:trHeight w:val="188"/>
        </w:trPr>
        <w:tc>
          <w:tcPr>
            <w:tcW w:w="296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Current period gross charge-offs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28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1,846</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2,938</w:t>
            </w:r>
          </w:p>
        </w:tc>
        <w:tc>
          <w:tcPr>
            <w:tcW w:w="3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9,523</w:t>
            </w:r>
          </w:p>
        </w:tc>
        <w:tc>
          <w:tcPr>
            <w:tcW w:w="38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17,850</w:t>
            </w:r>
          </w:p>
        </w:tc>
      </w:tr>
    </w:tbl>
    <w:p>
      <w:pPr>
        <w:spacing w:after="0" w:line="3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in connection with the transition to a new ACL software vendor, the Company refined certain methodologies, assumptions, and model inputs used in its ACL calculation as follows:</w:t>
      </w:r>
    </w:p>
    <w:p>
      <w:pPr>
        <w:ind w:left="660" w:right="20" w:hanging="328"/>
        <w:spacing w:after="0" w:line="26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use a discounted cash flow ("DCF") methodology for all segments except consumer solar loans, with expected losses estimated using probability of default and loss given default assumptions derived from peer historical data.</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0" w:name="page111"/>
    <w:bookmarkEnd w:id="110"/>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30"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an annual refresh of the loss drivers and key assumptions for the DCF methodology, including peer groups per segment, macroeconomic variables, and prepayment speeds, within the model.</w:t>
      </w: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new assumptions for the DCF methodology, related to curtailment rate and recovery lag period, that are required for the operation of the model within the new software.</w:t>
      </w: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the reasonable and supportable forecast period for the DCF methodology to four quarters.</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Introduced the WARM method for consumer solar loans which forecasts losses based on the Company's own historical loss data for the portfolio segment, applied over the weighted average remaining maturity of the portfolio segment.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enhancements did not have a material impact on the Company’s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year ended December 31, 2025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and Land</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17,636</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(23,452)</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57,586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year ended December 31, 2024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and Land</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780" w:type="dxa"/>
            <w:vAlign w:val="bottom"/>
            <w:vMerge w:val="continue"/>
          </w:tcPr>
          <w:p>
            <w:pPr>
              <w:spacing w:after="0"/>
              <w:rPr>
                <w:sz w:val="17"/>
                <w:szCs w:val="17"/>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credit losses: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ACL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10,353</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(17,850)</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 - ACL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activities in the allowance by portfolio for the year ended December 31, 2023 are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Construction</w:t>
            </w: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100" w:type="dxa"/>
            <w:vAlign w:val="bottom"/>
          </w:tcPr>
          <w:p>
            <w:pPr>
              <w:spacing w:after="0"/>
              <w:rPr>
                <w:sz w:val="13"/>
                <w:szCs w:val="13"/>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20" w:type="dxa"/>
            <w:vAlign w:val="bottom"/>
          </w:tcPr>
          <w:p>
            <w:pPr>
              <w:spacing w:after="0"/>
              <w:rPr>
                <w:sz w:val="13"/>
                <w:szCs w:val="13"/>
                <w:color w:val="auto"/>
              </w:rPr>
            </w:pPr>
          </w:p>
        </w:tc>
        <w:tc>
          <w:tcPr>
            <w:tcW w:w="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Consumer</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Multifamily</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and Land</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4"/>
        </w:trPr>
        <w:tc>
          <w:tcPr>
            <w:tcW w:w="2780" w:type="dxa"/>
            <w:vAlign w:val="bottom"/>
            <w:vMerge w:val="continue"/>
          </w:tcPr>
          <w:p>
            <w:pPr>
              <w:spacing w:after="0"/>
              <w:rPr>
                <w:sz w:val="16"/>
                <w:szCs w:val="16"/>
                <w:color w:val="auto"/>
              </w:rPr>
            </w:pP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Industrial</w:t>
            </w: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0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Development</w:t>
            </w: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Lending</w:t>
            </w:r>
          </w:p>
        </w:tc>
        <w:tc>
          <w:tcPr>
            <w:tcW w:w="10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Solar</w:t>
            </w:r>
          </w:p>
        </w:tc>
        <w:tc>
          <w:tcPr>
            <w:tcW w:w="120" w:type="dxa"/>
            <w:vAlign w:val="bottom"/>
          </w:tcPr>
          <w:p>
            <w:pPr>
              <w:spacing w:after="0"/>
              <w:rPr>
                <w:sz w:val="16"/>
                <w:szCs w:val="16"/>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Allowance for loan losses:</w:t>
            </w: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 ALLL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11,338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45,031</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Adoption of ASU No. 2016-13</w:t>
            </w: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16,166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21,229</w:t>
            </w:r>
          </w:p>
        </w:tc>
        <w:tc>
          <w:tcPr>
            <w:tcW w:w="0" w:type="dxa"/>
            <w:vAlign w:val="bottom"/>
          </w:tcPr>
          <w:p>
            <w:pPr>
              <w:spacing w:after="0"/>
              <w:rPr>
                <w:sz w:val="1"/>
                <w:szCs w:val="1"/>
                <w:color w:val="auto"/>
              </w:rPr>
            </w:pPr>
          </w:p>
        </w:tc>
      </w:tr>
      <w:tr>
        <w:trPr>
          <w:trHeight w:val="20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16,732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14,406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66,260</w:t>
            </w:r>
          </w:p>
        </w:tc>
        <w:tc>
          <w:tcPr>
            <w:tcW w:w="0" w:type="dxa"/>
            <w:vAlign w:val="bottom"/>
          </w:tcPr>
          <w:p>
            <w:pPr>
              <w:spacing w:after="0"/>
              <w:rPr>
                <w:sz w:val="1"/>
                <w:szCs w:val="1"/>
                <w:color w:val="auto"/>
              </w:rPr>
            </w:pPr>
          </w:p>
        </w:tc>
      </w:tr>
      <w:tr>
        <w:trPr>
          <w:trHeight w:val="195"/>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Provision for (recovery of) credit losses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13,463</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Charge-offs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(6,966)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(16,058)</w:t>
            </w:r>
          </w:p>
        </w:tc>
        <w:tc>
          <w:tcPr>
            <w:tcW w:w="0" w:type="dxa"/>
            <w:vAlign w:val="bottom"/>
          </w:tcPr>
          <w:p>
            <w:pPr>
              <w:spacing w:after="0"/>
              <w:rPr>
                <w:sz w:val="1"/>
                <w:szCs w:val="1"/>
                <w:color w:val="auto"/>
              </w:rPr>
            </w:pPr>
          </w:p>
        </w:tc>
      </w:tr>
      <w:tr>
        <w:trPr>
          <w:trHeight w:val="196"/>
        </w:trPr>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w:t>
            </w: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w:t>
            </w:r>
          </w:p>
        </w:tc>
        <w:tc>
          <w:tcPr>
            <w:tcW w:w="0" w:type="dxa"/>
            <w:vAlign w:val="bottom"/>
          </w:tcPr>
          <w:p>
            <w:pPr>
              <w:spacing w:after="0"/>
              <w:rPr>
                <w:sz w:val="1"/>
                <w:szCs w:val="1"/>
                <w:color w:val="auto"/>
              </w:rPr>
            </w:pPr>
          </w:p>
        </w:tc>
      </w:tr>
      <w:tr>
        <w:trPr>
          <w:trHeight w:val="22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Ending balance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65,691</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2025 are as follows: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17"/>
                <w:szCs w:val="17"/>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586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4,061</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95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amortized cost basis of loans on nonaccrual status and the specific allowance as of December 31, 2024 are as follows:</w:t>
            </w: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60" w:type="dxa"/>
            <w:vAlign w:val="bottom"/>
          </w:tcPr>
          <w:p>
            <w:pPr>
              <w:spacing w:after="0"/>
              <w:rPr>
                <w:sz w:val="24"/>
                <w:szCs w:val="24"/>
                <w:color w:val="auto"/>
              </w:rPr>
            </w:pPr>
          </w:p>
        </w:tc>
        <w:tc>
          <w:tcPr>
            <w:tcW w:w="18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Nonaccrual with No</w:t>
            </w:r>
          </w:p>
        </w:tc>
        <w:tc>
          <w:tcPr>
            <w:tcW w:w="18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Nonaccrual with</w:t>
            </w:r>
          </w:p>
        </w:tc>
        <w:tc>
          <w:tcPr>
            <w:tcW w:w="320" w:type="dxa"/>
            <w:vAlign w:val="bottom"/>
          </w:tcPr>
          <w:p>
            <w:pPr>
              <w:spacing w:after="0"/>
              <w:rPr>
                <w:sz w:val="24"/>
                <w:szCs w:val="24"/>
                <w:color w:val="auto"/>
              </w:rPr>
            </w:pPr>
          </w:p>
        </w:tc>
        <w:tc>
          <w:tcPr>
            <w:tcW w:w="1400" w:type="dxa"/>
            <w:vAlign w:val="bottom"/>
            <w:vMerge w:val="restart"/>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Reserve</w:t>
            </w:r>
          </w:p>
        </w:tc>
        <w:tc>
          <w:tcPr>
            <w:tcW w:w="0" w:type="dxa"/>
            <w:vAlign w:val="bottom"/>
          </w:tcPr>
          <w:p>
            <w:pPr>
              <w:spacing w:after="0"/>
              <w:rPr>
                <w:sz w:val="1"/>
                <w:szCs w:val="1"/>
                <w:color w:val="auto"/>
              </w:rPr>
            </w:pPr>
          </w:p>
        </w:tc>
      </w:tr>
      <w:tr>
        <w:trPr>
          <w:trHeight w:val="243"/>
        </w:trPr>
        <w:tc>
          <w:tcPr>
            <w:tcW w:w="5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00" w:type="dxa"/>
            <w:vAlign w:val="bottom"/>
          </w:tcPr>
          <w:p>
            <w:pPr>
              <w:spacing w:after="0"/>
              <w:rPr>
                <w:sz w:val="21"/>
                <w:szCs w:val="21"/>
                <w:color w:val="auto"/>
              </w:rPr>
            </w:pPr>
          </w:p>
        </w:tc>
        <w:tc>
          <w:tcPr>
            <w:tcW w:w="15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180" w:type="dxa"/>
            <w:vAlign w:val="bottom"/>
          </w:tcPr>
          <w:p>
            <w:pPr>
              <w:spacing w:after="0"/>
              <w:rPr>
                <w:sz w:val="21"/>
                <w:szCs w:val="21"/>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Allowance</w:t>
            </w:r>
          </w:p>
        </w:tc>
        <w:tc>
          <w:tcPr>
            <w:tcW w:w="32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5860" w:type="dxa"/>
            <w:vAlign w:val="bottom"/>
            <w:vMerge w:val="continue"/>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and industrial</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3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commercial portfolio</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Residential real estate lending</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Consumer solar</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Consumer and other</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retail portfolio</w:t>
            </w:r>
          </w:p>
        </w:tc>
        <w:tc>
          <w:tcPr>
            <w:tcW w:w="30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c>
          <w:tcPr>
            <w:tcW w:w="0" w:type="dxa"/>
            <w:vAlign w:val="bottom"/>
          </w:tcPr>
          <w:p>
            <w:pPr>
              <w:spacing w:after="0"/>
              <w:rPr>
                <w:sz w:val="1"/>
                <w:szCs w:val="1"/>
                <w:color w:val="auto"/>
              </w:rPr>
            </w:pPr>
          </w:p>
        </w:tc>
      </w:tr>
      <w:tr>
        <w:trPr>
          <w:trHeight w:val="238"/>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0" w:type="dxa"/>
            <w:vAlign w:val="bottom"/>
          </w:tcPr>
          <w:p>
            <w:pPr>
              <w:spacing w:after="0"/>
              <w:rPr>
                <w:sz w:val="1"/>
                <w:szCs w:val="1"/>
                <w:color w:val="auto"/>
              </w:rPr>
            </w:pPr>
          </w:p>
        </w:tc>
      </w:tr>
      <w:tr>
        <w:trPr>
          <w:trHeight w:val="190"/>
        </w:trPr>
        <w:tc>
          <w:tcPr>
            <w:tcW w:w="4040" w:type="dxa"/>
            <w:vAlign w:val="bottom"/>
            <w:vMerge w:val="continue"/>
          </w:tcPr>
          <w:p>
            <w:pPr>
              <w:spacing w:after="0"/>
              <w:rPr>
                <w:sz w:val="16"/>
                <w:szCs w:val="16"/>
                <w:color w:val="auto"/>
              </w:rPr>
            </w:pPr>
          </w:p>
        </w:tc>
        <w:tc>
          <w:tcPr>
            <w:tcW w:w="2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Multifamily</w:t>
            </w:r>
          </w:p>
        </w:tc>
        <w:tc>
          <w:tcPr>
            <w:tcW w:w="3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10,316</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1,871</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28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60" w:type="dxa"/>
            <w:vAlign w:val="bottom"/>
            <w:vMerge w:val="restart"/>
          </w:tcPr>
          <w:p>
            <w:pPr>
              <w:jc w:val="right"/>
              <w:ind w:right="1050"/>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2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below table summarizes collateral dependent loans which were individually evaluated to determine expected credit losses as of December 31, 2024:</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Real Estate Collateral</w:t>
            </w:r>
          </w:p>
        </w:tc>
        <w:tc>
          <w:tcPr>
            <w:tcW w:w="21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Associated Allowance for</w:t>
            </w:r>
          </w:p>
        </w:tc>
      </w:tr>
      <w:tr>
        <w:trPr>
          <w:trHeight w:val="238"/>
        </w:trPr>
        <w:tc>
          <w:tcPr>
            <w:tcW w:w="6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Dependent</w:t>
            </w:r>
          </w:p>
        </w:tc>
        <w:tc>
          <w:tcPr>
            <w:tcW w:w="320" w:type="dxa"/>
            <w:vAlign w:val="bottom"/>
          </w:tcPr>
          <w:p>
            <w:pPr>
              <w:spacing w:after="0"/>
              <w:rPr>
                <w:sz w:val="20"/>
                <w:szCs w:val="20"/>
                <w:color w:val="auto"/>
              </w:rPr>
            </w:pPr>
          </w:p>
        </w:tc>
        <w:tc>
          <w:tcPr>
            <w:tcW w:w="18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Credit Losses</w:t>
            </w:r>
          </w:p>
        </w:tc>
      </w:tr>
      <w:tr>
        <w:trPr>
          <w:trHeight w:val="179"/>
        </w:trPr>
        <w:tc>
          <w:tcPr>
            <w:tcW w:w="69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5"/>
                <w:szCs w:val="15"/>
                <w:color w:val="auto"/>
              </w:rPr>
            </w:pPr>
          </w:p>
        </w:tc>
        <w:tc>
          <w:tcPr>
            <w:tcW w:w="1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800" w:type="dxa"/>
            <w:vAlign w:val="bottom"/>
            <w:tcBorders>
              <w:top w:val="single" w:sz="8" w:color="auto"/>
            </w:tcBorders>
          </w:tcPr>
          <w:p>
            <w:pPr>
              <w:spacing w:after="0"/>
              <w:rPr>
                <w:sz w:val="15"/>
                <w:szCs w:val="15"/>
                <w:color w:val="auto"/>
              </w:rPr>
            </w:pPr>
          </w:p>
        </w:tc>
      </w:tr>
      <w:tr>
        <w:trPr>
          <w:trHeight w:val="23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real estate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and land development</w:t>
            </w: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48"/>
        </w:trPr>
        <w:tc>
          <w:tcPr>
            <w:tcW w:w="6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mortgage loans with an unpaid principal balance of $2.33 billion and $2.45 billion, respectively, were pledged to the FHLBNY to secure outstanding advances, letters of credit, and to provide additional borrowing potential.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had $1.5 million and $1.9 million of loans to related parties and affiliates as of December 31, 2025 and December 31, 2024, respectively.</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Loans Held for Sale ("LHFS") on the Consolidated Statements of Financial Condition was $2.8 million and $37.6 million, respectively. Included in LHFS were certain non-performing loans of $0.9 million and $4.9 million as of December 31, 2025 and December 31, 2024, respectively. Included in LHFS balance at December 31, 2024 was a pool of $36.6 million residential loans that were sold in the quarter ended March 31, 2025. Remaining loans in both periods were related to residential loans originated for sale.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PREMISES AND EQUIPMENT</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and equipment are summarized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502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0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premises and improvements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26,549</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Projects in process</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34,954</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(28,084)</w:t>
            </w:r>
          </w:p>
        </w:tc>
        <w:tc>
          <w:tcPr>
            <w:tcW w:w="12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(28,568)</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2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charged to operations amounted to $3.0 million, $3.2 million, and $3.5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4" w:name="page115"/>
    <w:bookmarkEnd w:id="114"/>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color w:val="auto"/>
        </w:rPr>
        <w:t>7.</w:t>
      </w:r>
      <w:r>
        <w:rPr>
          <w:sz w:val="20"/>
          <w:szCs w:val="20"/>
          <w:color w:val="auto"/>
        </w:rPr>
        <w:tab/>
      </w:r>
      <w:r>
        <w:rPr>
          <w:rFonts w:ascii="Times New Roman" w:cs="Times New Roman" w:eastAsia="Times New Roman" w:hAnsi="Times New Roman"/>
          <w:sz w:val="19"/>
          <w:szCs w:val="19"/>
          <w:b w:val="1"/>
          <w:bCs w:val="1"/>
          <w:color w:val="auto"/>
        </w:rPr>
        <w:t>DEPOSITS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Deposits are summarized as follows:</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0" w:type="dxa"/>
            <w:vAlign w:val="bottom"/>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24"/>
                <w:szCs w:val="24"/>
                <w:color w:val="auto"/>
              </w:rPr>
            </w:pPr>
          </w:p>
        </w:tc>
        <w:tc>
          <w:tcPr>
            <w:tcW w:w="288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74"/>
        </w:trPr>
        <w:tc>
          <w:tcPr>
            <w:tcW w:w="48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0" w:type="dxa"/>
            <w:vAlign w:val="bottom"/>
            <w:tcBorders>
              <w:top w:val="single" w:sz="8" w:color="auto"/>
            </w:tcBorders>
          </w:tcPr>
          <w:p>
            <w:pPr>
              <w:jc w:val="right"/>
              <w:ind w:right="10"/>
              <w:spacing w:after="0" w:line="174"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0" w:type="dxa"/>
            <w:vAlign w:val="bottom"/>
          </w:tcPr>
          <w:p>
            <w:pPr>
              <w:spacing w:after="0"/>
              <w:rPr>
                <w:sz w:val="1"/>
                <w:szCs w:val="1"/>
                <w:color w:val="auto"/>
              </w:rPr>
            </w:pPr>
          </w:p>
        </w:tc>
      </w:tr>
      <w:tr>
        <w:trPr>
          <w:trHeight w:val="238"/>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20"/>
                <w:szCs w:val="20"/>
                <w:color w:val="auto"/>
              </w:rPr>
            </w:pPr>
          </w:p>
        </w:tc>
        <w:tc>
          <w:tcPr>
            <w:tcW w:w="1300" w:type="dxa"/>
            <w:vAlign w:val="bottom"/>
            <w:gridSpan w:val="2"/>
            <w:vMerge w:val="continue"/>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Rate</w:t>
            </w:r>
          </w:p>
        </w:tc>
        <w:tc>
          <w:tcPr>
            <w:tcW w:w="260" w:type="dxa"/>
            <w:vAlign w:val="bottom"/>
          </w:tcPr>
          <w:p>
            <w:pPr>
              <w:spacing w:after="0"/>
              <w:rPr>
                <w:sz w:val="20"/>
                <w:szCs w:val="20"/>
                <w:color w:val="auto"/>
              </w:rPr>
            </w:pPr>
          </w:p>
        </w:tc>
        <w:tc>
          <w:tcPr>
            <w:tcW w:w="1280" w:type="dxa"/>
            <w:vAlign w:val="bottom"/>
            <w:gridSpan w:val="2"/>
            <w:vMerge w:val="continue"/>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0" w:type="dxa"/>
            <w:vAlign w:val="bottom"/>
          </w:tcPr>
          <w:p>
            <w:pPr>
              <w:spacing w:after="0"/>
              <w:rPr>
                <w:sz w:val="1"/>
                <w:szCs w:val="1"/>
                <w:color w:val="auto"/>
              </w:rPr>
            </w:pPr>
          </w:p>
        </w:tc>
      </w:tr>
      <w:tr>
        <w:trPr>
          <w:trHeight w:val="159"/>
        </w:trPr>
        <w:tc>
          <w:tcPr>
            <w:tcW w:w="4840" w:type="dxa"/>
            <w:vAlign w:val="bottom"/>
            <w:vMerge w:val="continue"/>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Non-interest-bearing demand deposit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3,234,418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2,868,506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184,635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179,765</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deposit accounts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4,000,096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3,564,423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2.67 %</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Savings accounts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326,895</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328,696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1.32 %</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Time deposits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203,197</w:t>
            </w:r>
          </w:p>
        </w:tc>
        <w:tc>
          <w:tcPr>
            <w:tcW w:w="1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3.14 %</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239,215</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3.54 %</w:t>
            </w:r>
          </w:p>
        </w:tc>
        <w:tc>
          <w:tcPr>
            <w:tcW w:w="0" w:type="dxa"/>
            <w:vAlign w:val="bottom"/>
          </w:tcPr>
          <w:p>
            <w:pPr>
              <w:spacing w:after="0"/>
              <w:rPr>
                <w:sz w:val="1"/>
                <w:szCs w:val="1"/>
                <w:color w:val="auto"/>
              </w:rPr>
            </w:pPr>
          </w:p>
        </w:tc>
      </w:tr>
      <w:tr>
        <w:trPr>
          <w:trHeight w:val="223"/>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deposits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7,949,241</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7,180,605</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1.52 %</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maturities of time deposits as of December 31, 2025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23"/>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192,248</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6,664</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2,485</w:t>
            </w:r>
          </w:p>
        </w:tc>
      </w:tr>
      <w:tr>
        <w:trPr>
          <w:trHeight w:val="229"/>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r>
      <w:tr>
        <w:trPr>
          <w:trHeight w:val="230"/>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203,197</w:t>
            </w: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deposits greater than $250,000 totaled $51.7 million as of December 31, 2025 and $48.5 million as of December 31, 2024.</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will issue time deposits through the Certificate of Deposit Account Registry Service (“CDARS”) for the purpose of providing FDIC insurance to bank customers with balances in excess of FDIC insurance limits. CDARS deposits totaled approximately $61.2 million and $104.9 million as of December 31, 2025 and December 31, 2024, respectively, and are included in Time deposits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total deposits included deposits from Workers United and its related entities, a related party, in the amounts of $98.0 million as of December 31, 2025 and $71.2 million as of December 31,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Included in total deposits are state and municipal deposits totaling $104.2 million and $62.6 million as of December 31, 2025 and December 31, 2024, respectively. Such deposits are secured by letters of credit issued by the FHLBNY or by securities pledged with the FHLBNY.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5" w:name="page116"/>
    <w:bookmarkEnd w:id="115"/>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Subordinated Debt</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8, 2021, the Company completed a public offering of $85.0 million of aggregated principal amount of 3.25% Fixed-to-Floating Rate subordinated notes due 2031 (the "Notes"). The fixed rate period is defined from and including November 8, 2021 to, but excluding, November 15, 2026, or the date of earlier redemption. The floating rate period is defined from and including November 15, 2026 to, but excluding, November 15, 2031, or the date of earlier redemption. The floating rate per annum is equal to three-month term SOFR (the "benchmark rate") plus a spread of 230 basis points for each quarterly interest period during the floating rate period, provided however, that if the benchmark rate is less than zero, the benchmark rate shall be deemed to be zero. The subordinated notes will mature on November 15, 2031.</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at its option, beginning with the interest payment date of November 15, 2026, and on any interest payment date thereafter, redeem the Notes, in whole or in part, from time to time, subject to obtaining prior approval of the Board of Governors of the Federal Reserve System (the "Federal Reserve Board") to the extent such approval is then required under the capital adequacy rules of the Federal Reserve Board, at a redemption price equal to 100% of the principal amount of the Notes being redeemed, plus accrued and unpaid interest to, but excluding, the date of redemption.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subordinated debt was $63.8 million and $63.7 million, respectively. Interest expense on subordinated debt for the years ended December 31, 2025, 2024, and 2023 was $2.2 million, $2.4 million, and $2.7 million,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did not repurchase any subordinated notes. During the year ended December 31, 2024 and 2023, the Company repurchased subordinated notes with a par value of $7.0 million and $7.5 million, for cash paid of $5.9 million and $6.0 million, respectively.</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Gains on repurchases of subordinated debt for the year ended December 31, 2025, December 31, 2024, and 2023, were zero, $1.1 million and $1.4 million, respectively, and are recorded in Non-interest income - other on the consolidated statements of income.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FHLBNY borrowed funds and Other Borrowings</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FHLBNY advances are collateralized by the FHLBNY stock owned by the Bank plus a pledge of other eligible assets comprised of securities and mortgage loans. Assets are pledged as collateral for borrowing capacity. As of December 31, 2025, the value of the other eligible assets had an estimated market value net of haircut totaling $1.98 billion (comprised of securities of $318.4 million and mortgage loans of $1.66 billion). As of December 31, 2024, the value of the other eligible assets had an estimated market value net of haircut totaling $2.04 billion (comprised of securities of $379.6 million and mortgage loans of $1.66 billion). The fair value of assets pledged to the FHLBNY is required to be not less than 110% of the outstanding advances. There were $5.8 million in outstanding FHLBNY advances as of December 31, 2025 and $250.7 million in outstanding FHLBNY advances as of December 31, 2024. As of December 31, 2025 and December 31, 2024, we had $5.8 million and $10.7 million, respectively, of FHLBNY advances through the 0% Development Advance Program that provides members with subsidized funding in the form of interest rate credits to assist in originating loans or purchasing loans or investments that meet one of the eligibility criteria. The Company pledged PACE assessments which qualified under the Climate Development Advance and therefore will receive interest rate credits and will not incur any interest expense related to the current outstanding advances. For the years ended December 31, 2025, 2024, and 2023, interest expense on FHLBNY advances was $0.7 million and $0.3 million, and $5.4 million, respectively.</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FHLBNY advances, the Company uses other borrowings for short-term borrowing needs. Federal funds lines of credit are extended to the Company by non-affiliated banks with which a correspondent banking relationship exists. At December 31, 2025, and December 31, 2024 there was no outstanding balance related to federal funds purchased. In addition, following the bank failures in 2023, the Federal Reserve created a new Bank Term Funding Program ("BTFP") as an additional source of liquidity against high-quality securities, offering loans of up to one year to eligible institutions pledging qualifying assets as collateral. During the year ended December 31, 2024, BTFP ceased extending new borrowings, and as such, there was no further outstanding borrowings. For the years ended December 31, 2024, and 2023, interest expense on BTFP balances was $2.7 million, and $7.6 million, 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6" w:name="page117"/>
    <w:bookmarkEnd w:id="116"/>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9. REGULATORY CAPITAL</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the Bank are subject to various regulatory capital requirements administered by the federal banking agencies. Failure to meet minimum capital requirements can result in certain mandatory and possibly additional discretionary actions by regulators that, if undertaken, could have a direct material effect on the Company’s consolidated financial statements. Under capital adequacy guidelines and, additionally for the Bank, the regulatory framework for prompt corrective action, the Company and the Bank must meet specific capital requirements that involve quantitative measures of the Company and the Bank’s assets, liabilities, and certain off-balance sheet items calculated under regulatory accounting practices. The Company and the Bank’s capital amounts and classifications also are subject to qualitative judgments by the regulators about components, risk weightings, and other factors.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Quantitative measures established by regulation to ensure capital adequacy require the Company and the Bank to maintain minimum amounts and ratios (set forth in the following table) of total, tier 1, and common equity tier 1 capital (as defined in the regulations) to risk weighted assets, and of tier 1 capital (as defined in the regulations) to average assets. Management believes as of December 31, 2025 and 2024, the Company and the Bank met all capital adequacy requirements.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most recent notification from the Federal Deposit Insurance Corporation categorized the Bank as “well capitalized” under the regulatory framework for prompt corrective action. To be categorized as “well capitalized,” the Bank must maintain minimum total risk-based, tier 1 risk-based, common equity tier 1 risk-based, tier 1 leverage ratios as set forth in the table below. Since that notification, there are no conditions or events that management believes have changed the institution’s category.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actual capital amounts and ratios are presented in the following table:</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 Be Considered</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3"/>
            <w:vMerge w:val="continue"/>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20" w:type="dxa"/>
            <w:vAlign w:val="bottom"/>
            <w:gridSpan w:val="4"/>
          </w:tcPr>
          <w:p>
            <w:pPr>
              <w:jc w:val="center"/>
              <w:ind w:right="260"/>
              <w:spacing w:after="0" w:line="240" w:lineRule="exact"/>
              <w:rPr>
                <w:sz w:val="20"/>
                <w:szCs w:val="20"/>
                <w:color w:val="auto"/>
              </w:rPr>
            </w:pPr>
            <w:r>
              <w:rPr>
                <w:rFonts w:ascii="Times New Roman" w:cs="Times New Roman" w:eastAsia="Times New Roman" w:hAnsi="Times New Roman"/>
                <w:sz w:val="18"/>
                <w:szCs w:val="18"/>
                <w:b w:val="1"/>
                <w:bCs w:val="1"/>
                <w:color w:val="auto"/>
                <w:w w:val="97"/>
              </w:rPr>
              <w:t xml:space="preserve">Adequacy Purposes </w:t>
            </w:r>
            <w:r>
              <w:rPr>
                <w:rFonts w:ascii="Times New Roman" w:cs="Times New Roman" w:eastAsia="Times New Roman" w:hAnsi="Times New Roman"/>
                <w:sz w:val="23"/>
                <w:szCs w:val="23"/>
                <w:b w:val="1"/>
                <w:bCs w:val="1"/>
                <w:color w:val="auto"/>
                <w:w w:val="97"/>
                <w:vertAlign w:val="superscript"/>
              </w:rPr>
              <w:t>(1)</w:t>
            </w:r>
          </w:p>
        </w:tc>
        <w:tc>
          <w:tcPr>
            <w:tcW w:w="2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60" w:type="dxa"/>
            <w:vAlign w:val="bottom"/>
            <w:tcBorders>
              <w:top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20" w:type="dxa"/>
            <w:vAlign w:val="bottom"/>
          </w:tcPr>
          <w:p>
            <w:pPr>
              <w:spacing w:after="0"/>
              <w:rPr>
                <w:sz w:val="19"/>
                <w:szCs w:val="19"/>
                <w:color w:val="auto"/>
              </w:rPr>
            </w:pPr>
          </w:p>
        </w:tc>
        <w:tc>
          <w:tcPr>
            <w:tcW w:w="11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Ratio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456,875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342,656</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347,198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256,992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5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432,496</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324,372</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20" w:type="dxa"/>
            <w:vAlign w:val="bottom"/>
          </w:tcPr>
          <w:p>
            <w:pPr>
              <w:spacing w:after="0"/>
              <w:rPr>
                <w:sz w:val="19"/>
                <w:szCs w:val="19"/>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751,394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243,279</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20" w:type="dxa"/>
            <w:vAlign w:val="bottom"/>
          </w:tcPr>
          <w:p>
            <w:pPr>
              <w:spacing w:after="0"/>
              <w:rPr>
                <w:sz w:val="20"/>
                <w:szCs w:val="20"/>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N/A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80" w:hanging="324"/>
        <w:spacing w:after="0"/>
        <w:tabs>
          <w:tab w:leader="none" w:pos="9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shown exclusive of the applicable capital conservation buffer of 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Bank’s actual capital amounts and ratios are presented in the following table: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For Capital</w:t>
            </w:r>
          </w:p>
        </w:tc>
        <w:tc>
          <w:tcPr>
            <w:tcW w:w="160" w:type="dxa"/>
            <w:vAlign w:val="bottom"/>
          </w:tcPr>
          <w:p>
            <w:pPr>
              <w:spacing w:after="0"/>
              <w:rPr>
                <w:sz w:val="17"/>
                <w:szCs w:val="17"/>
                <w:color w:val="auto"/>
              </w:rPr>
            </w:pPr>
          </w:p>
        </w:tc>
        <w:tc>
          <w:tcPr>
            <w:tcW w:w="216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 Be Considered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vMerge w:val="continue"/>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gridSpan w:val="4"/>
          </w:tcPr>
          <w:p>
            <w:pPr>
              <w:jc w:val="center"/>
              <w:ind w:right="340"/>
              <w:spacing w:after="0" w:line="243" w:lineRule="exact"/>
              <w:rPr>
                <w:sz w:val="20"/>
                <w:szCs w:val="20"/>
                <w:color w:val="auto"/>
              </w:rPr>
            </w:pPr>
            <w:r>
              <w:rPr>
                <w:rFonts w:ascii="Times New Roman" w:cs="Times New Roman" w:eastAsia="Times New Roman" w:hAnsi="Times New Roman"/>
                <w:sz w:val="18"/>
                <w:szCs w:val="18"/>
                <w:b w:val="1"/>
                <w:bCs w:val="1"/>
                <w:color w:val="auto"/>
                <w:w w:val="97"/>
              </w:rPr>
              <w:t xml:space="preserve">Adequacy Purposes </w:t>
            </w:r>
            <w:r>
              <w:rPr>
                <w:rFonts w:ascii="Times New Roman" w:cs="Times New Roman" w:eastAsia="Times New Roman" w:hAnsi="Times New Roman"/>
                <w:sz w:val="23"/>
                <w:szCs w:val="23"/>
                <w:b w:val="1"/>
                <w:bCs w:val="1"/>
                <w:color w:val="auto"/>
                <w:w w:val="97"/>
                <w:vertAlign w:val="superscript"/>
              </w:rPr>
              <w:t>(1)</w:t>
            </w:r>
          </w:p>
        </w:tc>
        <w:tc>
          <w:tcPr>
            <w:tcW w:w="160" w:type="dxa"/>
            <w:vAlign w:val="bottom"/>
          </w:tcPr>
          <w:p>
            <w:pPr>
              <w:spacing w:after="0"/>
              <w:rPr>
                <w:sz w:val="21"/>
                <w:szCs w:val="21"/>
                <w:color w:val="auto"/>
              </w:rPr>
            </w:pPr>
          </w:p>
        </w:tc>
        <w:tc>
          <w:tcPr>
            <w:tcW w:w="216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Well Capitalized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Ratio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890,991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455,612</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569,515</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341,709</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455,612</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345,109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431,387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830,625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256,282</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370,185</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capital to risk weighted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829,871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432,493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540,616</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Tier 1 capital to risk weighted assets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324,370</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432,493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Tier 1 capital to average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334,109</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417,637</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Common equity tier 1 to risk weighted assets</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765,652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243,277</w:t>
            </w: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351,400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6.50 %</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80" w:hanging="324"/>
        <w:spacing w:after="0"/>
        <w:tabs>
          <w:tab w:leader="none" w:pos="9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shown exclusive of the applicable capital conservation buffer of 2.50%.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5" w:right="359" w:bottom="1440" w:gutter="0" w:footer="0" w:header="0"/>
        </w:sectPr>
      </w:pPr>
    </w:p>
    <w:bookmarkStart w:id="118" w:name="page119"/>
    <w:bookmarkEnd w:id="118"/>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INCOME TAXES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Pretax income is entirely related to domestic activities, the Company did not have any foreign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for the years ended December 31, 2025, 2024, and 2023 are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2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21,756</w:t>
            </w:r>
          </w:p>
        </w:tc>
      </w:tr>
      <w:tr>
        <w:trPr>
          <w:trHeight w:val="24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10,752</w:t>
            </w:r>
          </w:p>
        </w:tc>
      </w:tr>
      <w:tr>
        <w:trPr>
          <w:trHeight w:val="27"/>
        </w:trPr>
        <w:tc>
          <w:tcPr>
            <w:tcW w:w="2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3"/>
        </w:trPr>
        <w:tc>
          <w:tcPr>
            <w:tcW w:w="2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34,031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32,508</w:t>
            </w:r>
          </w:p>
        </w:tc>
      </w:tr>
      <w:tr>
        <w:trPr>
          <w:trHeight w:val="22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7"/>
        </w:trPr>
        <w:tc>
          <w:tcPr>
            <w:tcW w:w="2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4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State and local</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3,965</w:t>
            </w:r>
          </w:p>
        </w:tc>
      </w:tr>
      <w:tr>
        <w:trPr>
          <w:trHeight w:val="27"/>
        </w:trPr>
        <w:tc>
          <w:tcPr>
            <w:tcW w:w="2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2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w:t>
            </w:r>
          </w:p>
        </w:tc>
      </w:tr>
      <w:tr>
        <w:trPr>
          <w:trHeight w:val="263"/>
        </w:trPr>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35,708</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39,155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36,752</w:t>
            </w:r>
          </w:p>
        </w:tc>
      </w:tr>
      <w:tr>
        <w:trPr>
          <w:trHeight w:val="20"/>
        </w:trPr>
        <w:tc>
          <w:tcPr>
            <w:tcW w:w="2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A reconciliation of the expected income tax expense at the statutory federal income tax rate of 21% to the Company’s actual income tax benefit and effective tax rate for the years ended December 31, 2025, 2024, and 2023 and is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80" w:type="dxa"/>
            <w:vAlign w:val="bottom"/>
            <w:tcBorders>
              <w:bottom w:val="single" w:sz="8" w:color="auto"/>
            </w:tcBorders>
          </w:tcPr>
          <w:p>
            <w:pPr>
              <w:spacing w:after="0"/>
              <w:rPr>
                <w:sz w:val="19"/>
                <w:szCs w:val="19"/>
                <w:color w:val="auto"/>
              </w:rPr>
            </w:pPr>
          </w:p>
        </w:tc>
      </w:tr>
      <w:tr>
        <w:trPr>
          <w:trHeight w:val="263"/>
        </w:trPr>
        <w:tc>
          <w:tcPr>
            <w:tcW w:w="43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0"/>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r>
      <w:tr>
        <w:trPr>
          <w:trHeight w:val="270"/>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29,432</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30,574</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c>
          <w:tcPr>
            <w:tcW w:w="2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26,193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7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State and local income taxes, net of federal effect </w:t>
            </w:r>
            <w:r>
              <w:rPr>
                <w:rFonts w:ascii="Times New Roman" w:cs="Times New Roman" w:eastAsia="Times New Roman" w:hAnsi="Times New Roman"/>
                <w:sz w:val="23"/>
                <w:szCs w:val="23"/>
                <w:color w:val="auto"/>
                <w:vertAlign w:val="superscript"/>
              </w:rPr>
              <w:t>(1)</w:t>
            </w: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7,926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8,158</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2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8,922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7.15 %</w:t>
            </w: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4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(148)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(880)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(15)</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0"/>
        </w:trPr>
        <w:tc>
          <w:tcPr>
            <w:tcW w:w="4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Tax credits</w:t>
            </w:r>
            <w:r>
              <w:rPr>
                <w:rFonts w:ascii="Times New Roman" w:cs="Times New Roman" w:eastAsia="Times New Roman" w:hAnsi="Times New Roman"/>
                <w:sz w:val="23"/>
                <w:szCs w:val="23"/>
                <w:color w:val="auto"/>
                <w:vertAlign w:val="superscript"/>
              </w:rPr>
              <w:t>(2)</w:t>
            </w:r>
          </w:p>
        </w:tc>
        <w:tc>
          <w:tcPr>
            <w:tcW w:w="140" w:type="dxa"/>
            <w:vAlign w:val="bottom"/>
          </w:tcPr>
          <w:p>
            <w:pPr>
              <w:spacing w:after="0"/>
              <w:rPr>
                <w:sz w:val="23"/>
                <w:szCs w:val="23"/>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(1,556)</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50"/>
        </w:trPr>
        <w:tc>
          <w:tcPr>
            <w:tcW w:w="4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tax laws or rates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(298)</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0.00 %</w:t>
            </w:r>
          </w:p>
        </w:tc>
      </w:tr>
      <w:tr>
        <w:trPr>
          <w:trHeight w:val="270"/>
        </w:trPr>
        <w:tc>
          <w:tcPr>
            <w:tcW w:w="43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(3)</w:t>
            </w:r>
          </w:p>
        </w:tc>
        <w:tc>
          <w:tcPr>
            <w:tcW w:w="140" w:type="dxa"/>
            <w:vAlign w:val="bottom"/>
          </w:tcPr>
          <w:p>
            <w:pPr>
              <w:spacing w:after="0"/>
              <w:rPr>
                <w:sz w:val="23"/>
                <w:szCs w:val="23"/>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(213)</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0.10 %</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(1,055)</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(0.85)%</w:t>
            </w:r>
          </w:p>
        </w:tc>
      </w:tr>
      <w:tr>
        <w:trPr>
          <w:trHeight w:val="270"/>
        </w:trPr>
        <w:tc>
          <w:tcPr>
            <w:tcW w:w="434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565</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0.40 %</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1,162</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0.79 %</w:t>
            </w:r>
          </w:p>
        </w:tc>
        <w:tc>
          <w:tcPr>
            <w:tcW w:w="2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2,707</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2.18 %</w:t>
            </w:r>
          </w:p>
        </w:tc>
      </w:tr>
      <w:tr>
        <w:trPr>
          <w:trHeight w:val="264"/>
        </w:trPr>
        <w:tc>
          <w:tcPr>
            <w:tcW w:w="43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35,708</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25.48 %</w:t>
            </w:r>
          </w:p>
        </w:tc>
        <w:tc>
          <w:tcPr>
            <w:tcW w:w="2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39,155</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26.89 %</w:t>
            </w:r>
          </w:p>
        </w:tc>
        <w:tc>
          <w:tcPr>
            <w:tcW w:w="2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36,752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29.47 %</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4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bl>
    <w:p>
      <w:pPr>
        <w:ind w:left="200" w:hanging="174"/>
        <w:spacing w:after="0" w:line="217" w:lineRule="auto"/>
        <w:tabs>
          <w:tab w:leader="none" w:pos="20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State and local taxes in New York State and New York City made up the majority (greater than 50 percent) of the tax effect in this category.</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Solar tax credits are presented net of the related proportional amortization and tax benefits.</w:t>
      </w:r>
    </w:p>
    <w:p>
      <w:pPr>
        <w:spacing w:after="0" w:line="15" w:lineRule="exact"/>
        <w:rPr>
          <w:rFonts w:ascii="Times New Roman" w:cs="Times New Roman" w:eastAsia="Times New Roman" w:hAnsi="Times New Roman"/>
          <w:sz w:val="22"/>
          <w:szCs w:val="22"/>
          <w:color w:val="auto"/>
          <w:vertAlign w:val="superscript"/>
        </w:rPr>
      </w:pPr>
    </w:p>
    <w:p>
      <w:pPr>
        <w:ind w:left="200" w:hanging="174"/>
        <w:spacing w:after="0" w:line="203" w:lineRule="auto"/>
        <w:tabs>
          <w:tab w:leader="none" w:pos="200" w:val="left"/>
        </w:tabs>
        <w:numPr>
          <w:ilvl w:val="0"/>
          <w:numId w:val="3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individual items included do not individually or in the aggregate exceed the 5% quantitative threshold for separate disaggregation.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32320" cy="1460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19" w:name="page120"/>
    <w:bookmarkEnd w:id="119"/>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discloses income taxes paid (net of refunds) for each annual period presented, disaggregated by domestic federal and state for the years ended December 31, 2025, 2024, and 2023.</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860" w:type="dxa"/>
            <w:vAlign w:val="bottom"/>
            <w:tcBorders>
              <w:bottom w:val="single" w:sz="8" w:color="auto"/>
            </w:tcBorders>
          </w:tcPr>
          <w:p>
            <w:pPr>
              <w:spacing w:after="0"/>
              <w:rPr>
                <w:sz w:val="20"/>
                <w:szCs w:val="20"/>
                <w:color w:val="auto"/>
              </w:rPr>
            </w:pPr>
          </w:p>
        </w:tc>
      </w:tr>
      <w:tr>
        <w:trPr>
          <w:trHeight w:val="223"/>
        </w:trPr>
        <w:tc>
          <w:tcPr>
            <w:tcW w:w="40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3"/>
        </w:trPr>
        <w:tc>
          <w:tcPr>
            <w:tcW w:w="4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22"/>
                <w:szCs w:val="22"/>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2"/>
                <w:szCs w:val="22"/>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190"/>
        </w:trPr>
        <w:tc>
          <w:tcPr>
            <w:tcW w:w="40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r>
      <w:tr>
        <w:trPr>
          <w:trHeight w:val="27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federal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8,640</w:t>
            </w:r>
          </w:p>
        </w:tc>
        <w:tc>
          <w:tcPr>
            <w:tcW w:w="26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w:t>
            </w:r>
          </w:p>
        </w:tc>
        <w:tc>
          <w:tcPr>
            <w:tcW w:w="26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w:t>
            </w:r>
          </w:p>
        </w:tc>
      </w:tr>
      <w:tr>
        <w:trPr>
          <w:trHeight w:val="22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state and local</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43"/>
        </w:trPr>
        <w:tc>
          <w:tcPr>
            <w:tcW w:w="4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 York State</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New York City</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4,273</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2,702</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43"/>
        </w:trPr>
        <w:tc>
          <w:tcPr>
            <w:tcW w:w="40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California</w:t>
            </w: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All other states</w:t>
            </w:r>
          </w:p>
        </w:tc>
        <w:tc>
          <w:tcPr>
            <w:tcW w:w="1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w:t>
            </w:r>
          </w:p>
        </w:tc>
      </w:tr>
      <w:tr>
        <w:trPr>
          <w:trHeight w:val="263"/>
        </w:trPr>
        <w:tc>
          <w:tcPr>
            <w:tcW w:w="4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19,991</w:t>
            </w:r>
          </w:p>
        </w:tc>
        <w:tc>
          <w:tcPr>
            <w:tcW w:w="26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33,997</w:t>
            </w:r>
          </w:p>
        </w:tc>
        <w:tc>
          <w:tcPr>
            <w:tcW w:w="2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22,625</w:t>
            </w:r>
          </w:p>
        </w:tc>
      </w:tr>
      <w:tr>
        <w:trPr>
          <w:trHeight w:val="21"/>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remaining state net operating loss carryforwards of approximately $4.2 million which are available to offset future state income and which expires in 2035.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result from temporary differences between the carrying value of assets and liabilities for financial reporting purposes and for income tax return purposes. These assets and liabilities are measured using the enacted tax rates and laws that are currently in effect and are reported net in the accompanying Consolidated Statement of Financial Condition.</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20" w:name="page121"/>
    <w:bookmarkEnd w:id="120"/>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significant components of the net deferred tax assets and liabilities as of December 31, 2025 and 2024, are as follows:</w:t>
      </w:r>
    </w:p>
    <w:p>
      <w:pPr>
        <w:spacing w:after="0" w:line="275" w:lineRule="exact"/>
        <w:rPr>
          <w:sz w:val="20"/>
          <w:szCs w:val="20"/>
          <w:color w:val="auto"/>
        </w:rPr>
      </w:pPr>
    </w:p>
    <w:p>
      <w:pPr>
        <w:ind w:left="85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Excess tax basis over carrying value of assets: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16,328</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17,436</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Postretirement and other employee benefits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5,069</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 for sale securities carried at fair value for financial statement purposes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18,043</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5,300</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Federal, state and local net operating loss carryforward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7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of available for sale securities to held-to-maturity</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r>
      <w:tr>
        <w:trPr>
          <w:trHeight w:val="27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asset</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36,586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51,388</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30"/>
        </w:trPr>
        <w:tc>
          <w:tcPr>
            <w:tcW w:w="7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w:t>
            </w:r>
          </w:p>
        </w:tc>
      </w:tr>
      <w:tr>
        <w:trPr>
          <w:trHeight w:val="250"/>
        </w:trPr>
        <w:tc>
          <w:tcPr>
            <w:tcW w:w="7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accounting adjustments,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(8,951)</w:t>
            </w:r>
          </w:p>
        </w:tc>
      </w:tr>
      <w:tr>
        <w:trPr>
          <w:trHeight w:val="27"/>
        </w:trPr>
        <w:tc>
          <w:tcPr>
            <w:tcW w:w="7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7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spacing w:after="0"/>
              <w:rPr>
                <w:sz w:val="23"/>
                <w:szCs w:val="23"/>
                <w:color w:val="auto"/>
              </w:rPr>
            </w:pPr>
          </w:p>
        </w:tc>
      </w:tr>
      <w:tr>
        <w:trPr>
          <w:trHeight w:val="26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 net</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30,750</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42,437</w:t>
            </w:r>
          </w:p>
        </w:tc>
      </w:tr>
      <w:tr>
        <w:trPr>
          <w:trHeight w:val="20"/>
        </w:trPr>
        <w:tc>
          <w:tcPr>
            <w:tcW w:w="7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Company’s deferred tax assets were valued without an allowance as management concluded that it is more likely than not that the entire amount may be realized. ASC 740, Income Taxes, provides for the recognition of deferred tax assets if realization of such assets is more likely than not. Management reassesses the need for a valuation allowance on an annual basis, or more frequently if warranted. If it is later determined that a valuation allowance is required, it generally will be an expense to the income tax provision in the period such determination is made.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and its subsidiaries are subject to income tax in the U.S. and multiple states and local jurisdictions. A tax position is recognized as a benefit only if it is “more likely than not” that the tax position would be sustained in a tax examination; with a tax examination presumably to occur. The amount recognized is the largest amount of tax benefit that is greater than 50% likely of being realized on examination. For tax positions not meeting the “more likely than not” test, no tax benefit is recorded. The Company had an uncertain tax liability related to on-going tax examinations regarding inventory of prior net operating losses of $0.9 million at December 31, 2024. During 2025, the Company settled its uncertain tax liability with respect to the prior net operating losses with the relevant tax authorities. The Company no longer maintains any uncertain tax liability by the end of 2025.</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21" w:name="page122"/>
    <w:bookmarkEnd w:id="121"/>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a reconciliation of the beginning and ending amount of unrecognized tax benefit.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0"/>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January 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30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8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Additions for tax positions of prior years</w:t>
            </w: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2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7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Reductions due to lapse of statute of limitations</w:t>
            </w: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spacing w:after="0"/>
              <w:rPr>
                <w:sz w:val="23"/>
                <w:szCs w:val="23"/>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3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28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r>
      <w:tr>
        <w:trPr>
          <w:trHeight w:val="26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28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3,036</w:t>
            </w:r>
          </w:p>
        </w:tc>
      </w:tr>
      <w:tr>
        <w:trPr>
          <w:trHeight w:val="20"/>
        </w:trPr>
        <w:tc>
          <w:tcPr>
            <w:tcW w:w="60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the amounts presented in the table, zero, $0.7 million, and $2.4 million represents the amount of unrecognized tax position that, if recognized, would favorably affect the effective income tax rate in future periods as of December 31, 2025, 2024, and 2023, respectively.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is generally subject to possible examination by federal, state, and local taxing authorities for 2022 and subsequent tax years. Income tax receivable, which is included in other assets, totaled $9.1 million and $17.9 million as of December 31, 2025 and 2024, respectively.</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22" w:name="page123"/>
    <w:bookmarkEnd w:id="122"/>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b w:val="1"/>
          <w:bCs w:val="1"/>
          <w:color w:val="auto"/>
        </w:rPr>
        <w:t>11.</w:t>
      </w:r>
      <w:r>
        <w:rPr>
          <w:sz w:val="20"/>
          <w:szCs w:val="20"/>
          <w:color w:val="auto"/>
        </w:rPr>
        <w:tab/>
      </w:r>
      <w:r>
        <w:rPr>
          <w:rFonts w:ascii="Times New Roman" w:cs="Times New Roman" w:eastAsia="Times New Roman" w:hAnsi="Times New Roman"/>
          <w:sz w:val="19"/>
          <w:szCs w:val="19"/>
          <w:b w:val="1"/>
          <w:bCs w:val="1"/>
          <w:color w:val="auto"/>
        </w:rPr>
        <w:t>EARNINGS PER SHARE</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two-class method, earnings available to common stockholders for the period are allocated between common stockholders and participating securities according to participation rights in undistributed earnings. Our time-based and performance-based restricted stock units are not considered participating securities as they do not receive dividend distributions until satisfaction of the related vesting requirements. As of December 31, 2025 and December 31, 2024, the Company had 5,379 and 342 anti-dilutive shares,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is a table setting forth the factors used in the earnings per share computation follow:</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200"/>
        <w:spacing w:after="0"/>
        <w:rPr>
          <w:sz w:val="20"/>
          <w:szCs w:val="20"/>
          <w:color w:val="auto"/>
        </w:rPr>
      </w:pPr>
      <w:r>
        <w:rPr>
          <w:rFonts w:ascii="Times New Roman" w:cs="Times New Roman" w:eastAsia="Times New Roman" w:hAnsi="Times New Roman"/>
          <w:sz w:val="18"/>
          <w:szCs w:val="18"/>
          <w:b w:val="1"/>
          <w:bCs w:val="1"/>
          <w:color w:val="auto"/>
        </w:rPr>
        <w:t>Year Ended</w:t>
      </w:r>
    </w:p>
    <w:p>
      <w:pPr>
        <w:jc w:val="center"/>
        <w:ind w:left="42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7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87,978</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30,555</w:t>
            </w: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attributable to common stock</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87,978</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30,328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30,588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Incremental shares from assumed conversion of options and RSUs</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diluted</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30,785</w:t>
            </w: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2.86</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35" w:right="359"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12.</w:t>
      </w:r>
      <w:r>
        <w:rPr>
          <w:sz w:val="20"/>
          <w:szCs w:val="20"/>
          <w:color w:val="auto"/>
        </w:rPr>
        <w:tab/>
      </w:r>
      <w:r>
        <w:rPr>
          <w:rFonts w:ascii="Times New Roman" w:cs="Times New Roman" w:eastAsia="Times New Roman" w:hAnsi="Times New Roman"/>
          <w:sz w:val="19"/>
          <w:szCs w:val="19"/>
          <w:b w:val="1"/>
          <w:bCs w:val="1"/>
          <w:color w:val="auto"/>
        </w:rPr>
        <w:t>EMPLOYEE BENEFIT PLANS</w:t>
      </w:r>
    </w:p>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offers various pension and retirement benefit plans, as well as a long-term incentive plan to eligible employees and directors. Significant benefit plans are described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Plan</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participates in a multi-employer non-contributory pension plan which covers substantially all full-time employees, both unionized and non-unionized. Employees generally qualify for participation in the plan on the first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or July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after attaining age 21 and completing 1,000 Hours of Service in a 12 consecutive month period. A Memorandum of Agreement covering the unionized employees was entered into on December 20, 2023 which extended the term of the collective bargaining agreement to June 30, 2026. Under the terms of this plan, participants vest 100% upon completion of five years of service, as defined in the plan document. Plan assets are invested in the Consolidated Retirement Fund ("CRF"). The Employer Identification Number of the CRF is 13-3177000 and the Plan Number is 001.</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multi-employer plan, the Administrator of the CRF does not make separate actuarial valuations with respect to each employer, nor are plan assets so segregated. The benefits provided by the CRF are being funded by the Company and other participating employers through contributions to the Administrator, which are necessary to maintain the CRF on a sound actuarial basis. Contributions are calculated based on a percentage of participants’ qualifying base salary, which percentage is determined from time to time by the CRF Board of Trustees.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Pension Protection Act of 2006 ("PPA") ranks the funded status of multi-employer plans depending upon a plan’s current and projected funding. A plan is in the Red Zone (Critical Status) if it has a current funded percentage (as defined) of less than 65%. A plan is in the Yellow Zone (Endangered Status) if it has a current funded percentage of less than 80%, or projects a credit balance deficit within seven years. A plan is in the Green Zone if it has a current funded percentage greater than 80% and does not have a projected credit balance deficit within seven years. For the 2025 and 2024 plan years, pursuant to the PPA, the CRF was certified to be in the Green Zone (i.e. neither Critical Status nor Endangered Status).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certain information regarding contributions made by the Company to the CRF:</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Company contributions greater than 5% of</w:t>
            </w:r>
          </w:p>
        </w:tc>
        <w:tc>
          <w:tcPr>
            <w:tcW w:w="0" w:type="dxa"/>
            <w:vAlign w:val="bottom"/>
          </w:tcPr>
          <w:p>
            <w:pPr>
              <w:spacing w:after="0"/>
              <w:rPr>
                <w:sz w:val="1"/>
                <w:szCs w:val="1"/>
                <w:color w:val="auto"/>
              </w:rPr>
            </w:pPr>
          </w:p>
        </w:tc>
      </w:tr>
      <w:tr>
        <w:trPr>
          <w:trHeight w:val="238"/>
        </w:trPr>
        <w:tc>
          <w:tcPr>
            <w:tcW w:w="32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20"/>
                <w:szCs w:val="20"/>
                <w:color w:val="auto"/>
              </w:rPr>
            </w:pPr>
          </w:p>
        </w:tc>
        <w:tc>
          <w:tcPr>
            <w:tcW w:w="2080" w:type="dxa"/>
            <w:vAlign w:val="bottom"/>
            <w:gridSpan w:val="2"/>
            <w:vMerge w:val="continue"/>
          </w:tcPr>
          <w:p>
            <w:pPr>
              <w:spacing w:after="0"/>
              <w:rPr>
                <w:sz w:val="20"/>
                <w:szCs w:val="20"/>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contributions received by the CRF?</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3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120" w:type="dxa"/>
            <w:vAlign w:val="bottom"/>
          </w:tcPr>
          <w:p>
            <w:pPr>
              <w:spacing w:after="0"/>
              <w:rPr>
                <w:sz w:val="19"/>
                <w:szCs w:val="19"/>
                <w:color w:val="auto"/>
              </w:rPr>
            </w:pP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3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7,222</w:t>
            </w: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2"/>
              </w:rPr>
              <w:t>Yes</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amounts of contributions presented in the preceding table represent expense recorded by the Company during the respective periods and are included in Compensation and Employee Benefits expense on the Consolidated Statements of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Deferral and Stock Purchase Plan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2024, the Company's Board of Directors approved a non-qualified Bonus Deferral And Stock Purchase Plan ("BDSPP") to provide for a bonus deferral opportunity with matching benefits to certain executives. The plan allows for participating executives to defer up to 100% of their annual incentive plan bonus in the form of “deferred stock units” ("DSUs") which will convert to shares issuable upon the earliest to occur of the executive’s separation from service (including death), a change of control or a qualifying financial emergency. The Company will match 100% up to 35% of any deferred bonus, in the form of additional DSUs credited to participants' plan accounts. Executives are required to elect their deferral amount prior to the start of the performance year. Notwithstanding the foregoing, for the first plan year ended December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24" w:name="page125"/>
    <w:bookmarkEnd w:id="124"/>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31, 2024, the deferral limit was 50% (not 100%) of the annual incentive plan bonus (and any matching amounts will be awarded when the annual bonus is determined for such year). Executive bonus expense is accrued as part of the annual incentive accruals.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 Plans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offers a post-retirement health plan, a life insurance plan, and provides for two other non-qualifying supplemental retirement plan benefits; one for certain former directors, and one for certain former employees. The Company’s policy is to fund the cost of health and life benefits in amounts determined in accordance with the plan provisions. The other retirement benefit plans generally contain vesting provisions and service requirements. These plans are unfunded and represent a general obligation of the Company.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plans’ benefit obligation, the changes in the plans’ benefit obligation, changes in plan assets and the plan’s funded status:</w:t>
      </w:r>
    </w:p>
    <w:p>
      <w:pPr>
        <w:spacing w:after="0" w:line="7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benefit obligation:</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at beginning of year</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70"/>
        </w:trPr>
        <w:tc>
          <w:tcPr>
            <w:tcW w:w="4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Pr>
          <w:p>
            <w:pPr>
              <w:spacing w:after="0"/>
              <w:rPr>
                <w:sz w:val="23"/>
                <w:szCs w:val="23"/>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70"/>
        </w:trPr>
        <w:tc>
          <w:tcPr>
            <w:tcW w:w="4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Actuarial loss</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0"/>
        </w:trPr>
        <w:tc>
          <w:tcPr>
            <w:tcW w:w="4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50"/>
        </w:trPr>
        <w:tc>
          <w:tcPr>
            <w:tcW w:w="4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Benefit obligation at end of year</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30"/>
        </w:trPr>
        <w:tc>
          <w:tcPr>
            <w:tcW w:w="4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70"/>
        </w:trPr>
        <w:tc>
          <w:tcPr>
            <w:tcW w:w="45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Employer contributions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70"/>
        </w:trPr>
        <w:tc>
          <w:tcPr>
            <w:tcW w:w="45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Benefits paid</w:t>
            </w: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r>
      <w:tr>
        <w:trPr>
          <w:trHeight w:val="250"/>
        </w:trPr>
        <w:tc>
          <w:tcPr>
            <w:tcW w:w="45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Plan assets at end of year</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 obligation, included in other liabilities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before tax effected amounts recognized in accumulated other comprehensive income (loss) at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actuarial loss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w:t>
            </w:r>
          </w:p>
        </w:tc>
      </w:tr>
      <w:tr>
        <w:trPr>
          <w:trHeight w:val="229"/>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48"/>
        </w:trPr>
        <w:tc>
          <w:tcPr>
            <w:tcW w:w="3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 recognized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25" w:name="page126"/>
    <w:bookmarkEnd w:id="125"/>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components of net periodic benefit cost and other amounts recognized in other comprehensive income during the year:</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net periodic benefit cost:</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29"/>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Prior service credit amortization</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periodic benefit</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50"/>
        </w:trPr>
        <w:tc>
          <w:tcPr>
            <w:tcW w:w="4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29"/>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Components of other amounts: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regular actuarial (gain)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Recognized actuarial loss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Prior service credit amortization</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3"/>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recognized in other comprehensive income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recognized in comprehensive income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4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certain weighted average assumptions used to measure the plans’ obligation at the end of the year as well as net periodic benefit expense during the year:</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benefit obligations:</w:t>
            </w: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14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66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assumptions used to determine net periodic benefit cost:</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Discount rate</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5.19 %</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net actuarial loss and prior service credit that is expected to be amortized from accumulated other comprehensive loss and into net periodic expense during the year ended December 31, 2026 is $0.2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future estimated benefit payments for the next five years and thereafter as of December 31, 2025:</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500" w:type="dxa"/>
            <w:vAlign w:val="bottom"/>
            <w:tcBorders>
              <w:bottom w:val="single" w:sz="8" w:color="auto"/>
            </w:tcBorders>
          </w:tcPr>
          <w:p>
            <w:pPr>
              <w:spacing w:after="0"/>
              <w:rPr>
                <w:sz w:val="20"/>
                <w:szCs w:val="20"/>
                <w:color w:val="auto"/>
              </w:rPr>
            </w:pP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future payments</w:t>
            </w:r>
          </w:p>
        </w:tc>
        <w:tc>
          <w:tcPr>
            <w:tcW w:w="19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1,921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also offers two retirement savings plans which are qualified under Section 401(k) of the Internal Revenue Code ("401(k) Plan"). Substantially all employees are eligible to participate, and participants can contribute up to 15% of their salary subject to certain limitations. The Company does not make contributions to the 401(k) Plan and as such does not incur any direct compensation expense related to the 401(k)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26" w:name="page127"/>
    <w:bookmarkEnd w:id="126"/>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granted stock options in previous years to employees and directors. As of December 31, 2020, all options had vested and were exercisable at the option of the vested holders until the termination of each tranche after 10 years from the grant date or earlier if the employee or director has changed their employment status. As of December 31, 2025, there are no outstanding options. The Company does not currently have an active stock option plan that is available for issuing new options.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options as of December 31, 2025 is as follows: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2000" w:type="dxa"/>
            <w:vAlign w:val="bottom"/>
            <w:gridSpan w:val="2"/>
          </w:tcPr>
          <w:p>
            <w:pPr>
              <w:jc w:val="center"/>
              <w:ind w:right="6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000" w:type="dxa"/>
            <w:vAlign w:val="bottom"/>
            <w:gridSpan w:val="2"/>
          </w:tcPr>
          <w:p>
            <w:pPr>
              <w:jc w:val="center"/>
              <w:ind w:right="6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18"/>
                <w:szCs w:val="18"/>
                <w:color w:val="auto"/>
              </w:rPr>
            </w:pP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0" w:type="dxa"/>
            <w:vAlign w:val="bottom"/>
            <w:gridSpan w:val="2"/>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Intrinsic Value</w:t>
            </w:r>
          </w:p>
        </w:tc>
        <w:tc>
          <w:tcPr>
            <w:tcW w:w="0" w:type="dxa"/>
            <w:vAlign w:val="bottom"/>
          </w:tcPr>
          <w:p>
            <w:pPr>
              <w:spacing w:after="0"/>
              <w:rPr>
                <w:sz w:val="1"/>
                <w:szCs w:val="1"/>
                <w:color w:val="auto"/>
              </w:rPr>
            </w:pPr>
          </w:p>
        </w:tc>
      </w:tr>
      <w:tr>
        <w:trPr>
          <w:trHeight w:val="203"/>
        </w:trPr>
        <w:tc>
          <w:tcPr>
            <w:tcW w:w="408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b w:val="1"/>
                <w:bCs w:val="1"/>
                <w:color w:val="auto"/>
              </w:rPr>
              <w:t>Exercise Price</w:t>
            </w:r>
          </w:p>
        </w:tc>
        <w:tc>
          <w:tcPr>
            <w:tcW w:w="2000" w:type="dxa"/>
            <w:vAlign w:val="bottom"/>
            <w:gridSpan w:val="2"/>
          </w:tcPr>
          <w:p>
            <w:pPr>
              <w:jc w:val="center"/>
              <w:ind w:right="630"/>
              <w:spacing w:after="0" w:line="202"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60" w:type="dxa"/>
            <w:vAlign w:val="bottom"/>
          </w:tcPr>
          <w:p>
            <w:pPr>
              <w:spacing w:after="0"/>
              <w:rPr>
                <w:sz w:val="17"/>
                <w:szCs w:val="17"/>
                <w:color w:val="auto"/>
              </w:rPr>
            </w:pPr>
          </w:p>
        </w:tc>
        <w:tc>
          <w:tcPr>
            <w:tcW w:w="1120" w:type="dxa"/>
            <w:vAlign w:val="bottom"/>
          </w:tcPr>
          <w:p>
            <w:pPr>
              <w:jc w:val="right"/>
              <w:ind w:right="136"/>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 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9"/>
                <w:szCs w:val="19"/>
                <w:color w:val="auto"/>
              </w:rPr>
            </w:pPr>
          </w:p>
        </w:tc>
        <w:tc>
          <w:tcPr>
            <w:tcW w:w="200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December 31, 2025</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 and Exercisable, December 31,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above, there was no compensation cost attributable to the options for the year ended December 31, 2025 and December 31, 2024 as all options had been fully expensed as of December 31, 2020. The fair value of all awards outstanding as of December 31, 2025 and December 31, 2024 was zero and $2.1 million, respectively. No cash was received for options exercised in the years ended December 31, 2025 and December 31, 2024.</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repurchased 47,384 shares and 128,530 shares for options exercised in the years ended December 31, 2025 and December 31, 2024,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Time-Based Restricted Stock Units: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Amalgamated Financial Corp. 2023 Equity Incentive Plan (the “Equity Plan”) provides for the grant of stock-based incentive awards to employees and directors of the Company. The number of shares of common stock of the Company available for stock-based awards in the Equity Plan is 1,300,000 of which 564,288 shares were available for issuance as of December 31, 2025.</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("RSUs") represent an obligation to deliver shares to an employee or director at a future date if certain vesting conditions are met. These awards are subject to a time-based vesting schedule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time-based vesting RSUs as of December 31, 2025 is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8"/>
                <w:szCs w:val="18"/>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297,817</w:t>
            </w:r>
          </w:p>
        </w:tc>
        <w:tc>
          <w:tcPr>
            <w:tcW w:w="1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182,481</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32.90</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(163,299)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December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314,431</w:t>
            </w:r>
          </w:p>
        </w:tc>
        <w:tc>
          <w:tcPr>
            <w:tcW w:w="1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was $10.1 million of total unrecognized compensation cost related to the non-vested RSUs. The</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27" w:name="page128"/>
    <w:bookmarkEnd w:id="127"/>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weighted average period to recognize unrecognized compensation is 1.2 years. The Company repurchased 49,807 shares and 18,335 shares for RSUs vested during the year ended December 31, 2025 and 2024,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Performance-Based Restricted Stock Units:</w:t>
      </w:r>
    </w:p>
    <w:p>
      <w:pPr>
        <w:spacing w:after="0" w:line="21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Performance-based restricted stock units ("PRSUs") represent an obligation to deliver shares to an employee at a future date if certain vesting conditions are met. These awards are subject to the satisfaction of performance conditions or the satisfaction of market conditions, and are settled in shares of the Company’s common stock. These awards do not provide dividend equivalent rights from the date of grant and do not provide voting rights. Unvested awards accrue dividends based on dividends paid on common shares, but those dividends are paid in cash upon satisfaction of the specified vesting requirements on the underlying award. PRSUs are granted at target shares. The minimum and maximum awards that are achievable are 0% and 150%, respectively, of the target shares granted.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PRSUs as of December 31, 2025 is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242,240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Addition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25,418</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59,415</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(76,245)</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December 31,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250,828</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1"/>
        </w:trPr>
        <w:tc>
          <w:tcPr>
            <w:tcW w:w="4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reserved an additional 125,414 shares for issuance upon vesting of PRSUs assuming the Company achieves the maximum share payout.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there was $8.0 million of total unrecognized compensation cost related to the non-vested PRSUs. The weighted average period to recognize unrecognized compensation is 1.3 years. The Company repurchased 27,942 shares and 45,301 shares for PRSUs vested during the year ended December 31, 2025 and 2024, respectively.</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awarded 25,418 additional shares related to the performance achievement of corporate goals above target at a weighted average fair value of $8.84 per share. Included in these awards was 12,851 shares with a grant date fair market value of $17.48, and 12,567 shares that were based on market-conditions in which the achievement of the goal did not result in additional expense to the Company. Compensation expense attributable to the vesting of the performance shares was $0.2 million.</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granted 59,415 PRSUs at target achievement of the Company's corporate goals at a weighted average fair value of $36.78 per share which vest subject to the achievement of the Company’s corporate goals. The corporate goals are based on the achievement of a target increase in Tangible Book Value, adjusted for certain factors, and the Company's relative total shareholder return compared to a group of peer banks.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Restricted Stock Units: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BDSPP, the deferred bonus DSUs represent the employee's earned bonus which is 100% vested. The employer match DSUs are subject to certain vesting conditions, including years of employment and retirement age. These awards accrue dividends which are reinvested into additional shares of the Company stock and payable at separation. The DSUs do not provide voting rights.</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28" w:name="page129"/>
    <w:bookmarkEnd w:id="128"/>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the Company’s DSUs as of December 31, 2025 is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60" w:type="dxa"/>
            <w:vAlign w:val="bottom"/>
          </w:tcPr>
          <w:p>
            <w:pPr>
              <w:spacing w:after="0"/>
              <w:rPr>
                <w:sz w:val="17"/>
                <w:szCs w:val="17"/>
                <w:color w:val="auto"/>
              </w:rPr>
            </w:pPr>
          </w:p>
        </w:tc>
        <w:tc>
          <w:tcPr>
            <w:tcW w:w="144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43"/>
        </w:trPr>
        <w:tc>
          <w:tcPr>
            <w:tcW w:w="466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January 1, 2025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bonus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match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Forfeited/Expired</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and Expected to Vest, December 31, 2025</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16,304</w:t>
            </w:r>
          </w:p>
        </w:tc>
        <w:tc>
          <w:tcPr>
            <w:tcW w:w="16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$0.5 million of total unrecognized compensation cost related to the non-vested DSUs. The weighted average period to recognize unrecognized compensation is 0.9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Compensation expense attributable to the employee RSUs, PRSUs, and DSUs was $6.0 million, $5.0 million, and $4.2 million for the years ended December 31, 2025, 2024, and 2023, respectively. Compensation expense attributable to director RSUs was $0.9 million, $0.5 million, and $0.5 million for the years ended December 31, 2025, 2024, and 2023, respectively, and is included in "Other expense" on the Consolidated Statements of Income.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28, 2021, the Company's stockholders approved the Amalgamated Financial Corp. Employee Stock Purchase Plan (the "ESPP") which was implemented on March 2, 2022. The aggregate number of shares of common stock that may be purchased and issued under the ESPP will not exceed 500,000 of previously authorized shares. Under the terms of the ESPP, employees may authorize the withholding of up to 15% of their eligible compensation to purchase the Company's shares of common stock, not to exceed $25,000 of the fair market value of such common stock for any calendar year. The purchase price per shares acquired under the ESPP will never be less than 85% of the fair market value of the Company's common stock on the last day of the offering period. The Company's Board of Directors in its discretion may terminate the ESPP at any time with respect to any shares for which options have not been granted.</w:t>
      </w:r>
    </w:p>
    <w:p>
      <w:pPr>
        <w:spacing w:after="0" w:line="21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Compensation and Human Resources Committee of the Board of Directors (the "Committee") has the right to amend the ESPP without the approval of our stockholders; provided, that no such change may impair the rights of a participant with respect to any outstanding offering period without the consent of such participant, other than a change determined by the Committee to be necessary to comply with applicable law. A participant may not dispose of shares acquired under the ESPP until six months following the grant date of such shares, or any earlier date as of which the Committee has determined that the participant would qualify for a hardship distribution from the Company’s 401(k) Plan. Accordingly, the fair value award associated with their discounted purchase price is expensed at the time of purchase. The Company started with 500,000 shares available for purchase at plan inception in 2022. As of December 31, 2025, the Company has 372,382 shares of remaining shares available for the purchase under ESPP. The expense related to the discount on purchased shares for the year ended December 31, 2025, December 31, 2024 and December 31, 2023 was $101.7 thousand, $93.4 thousand and $120.5 thousand, respectively, and is recorded within compensation and employee benefits expense on the Consolidated Statements of Income.</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hanging="492"/>
        <w:spacing w:after="0"/>
        <w:tabs>
          <w:tab w:leader="none" w:pos="50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FAIR VALUE OF FINANCIAL INSTRUMENTS</w:t>
      </w:r>
    </w:p>
    <w:p>
      <w:pPr>
        <w:spacing w:after="0" w:line="1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Assumptions are developed based on prioritizing information within a fair value hierarchy that gives the highest priority to quoted prices in active markets and the lowest priority to unobservable data. A description of the disclosure hierarchy and the types of financial instruments recorded at fair value that management believes would generally qualify for each category are as follows:</w:t>
      </w:r>
    </w:p>
    <w:p>
      <w:pPr>
        <w:spacing w:after="0" w:line="18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1 - Valuations are based on quoted prices in active markets for identical assets or liabilities. Accordingly, valuation of these assets and liabilities does not entail a significant degree of judgment. Examples include most U.S. Government securities and exchange-traded equity securities.</w:t>
      </w:r>
    </w:p>
    <w:p>
      <w:pPr>
        <w:spacing w:after="0" w:line="176"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are based on either quoted prices in markets that are not considered to be active or significant inputs to the methodology that are observable, either directly or indirectly. Financial instruments in this level would generally include mortgage-related securities and other debt issued by GSEs, non-GSE mortgage-related securities, corporate debt, certain redeemable fund investments and certain trust preferred securities.</w:t>
      </w:r>
    </w:p>
    <w:p>
      <w:pPr>
        <w:spacing w:after="0" w:line="176"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Level 3 - Valuations are based on inputs to the methodology that are unobservable and significant to the fair value measurement. These inputs reflect management’s own judgments about the assumptions that market participants would use in pricing the assets and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Recurring Basis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 for sale securities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available for sale securities are reported at fair value. Investments in fixed income securities are generally valued based on evaluations provided by an independent pricing 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such as PACE assessments, management will typically value those instruments using observable market inputs in a discounted cash flow analysis.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Derivatives represent interest rate option contracts and interest rate swaps and estimated fair values are based on valuation models using observable market data as of the measurement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30" w:name="page131"/>
    <w:bookmarkEnd w:id="130"/>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summarizes those financial instruments measured at fair value on a recurring basis in the Consolidated Statements of Financial Condition as of the dates indicated, categorized by the relevant class of investment and level of the fair value hierarchy:</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567,070</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273,232</w:t>
            </w: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629,168</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95,504</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15,075</w:t>
            </w: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203,502</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r>
      <w:tr>
        <w:trPr>
          <w:trHeight w:val="270"/>
        </w:trPr>
        <w:tc>
          <w:tcPr>
            <w:tcW w:w="53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1,785,305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85"/>
        </w:trPr>
        <w:tc>
          <w:tcPr>
            <w:tcW w:w="5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19"/>
                <w:szCs w:val="19"/>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Financial Assets:</w:t>
            </w: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 for sale securities: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Traditional securities: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GSE certificates &amp; CMOs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508,158</w:t>
            </w:r>
          </w:p>
        </w:tc>
      </w:tr>
      <w:tr>
        <w:trPr>
          <w:trHeight w:val="229"/>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Non-GSE certificates &amp; CMOs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214,175</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ABS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652,334</w:t>
            </w:r>
          </w:p>
        </w:tc>
      </w:tr>
      <w:tr>
        <w:trPr>
          <w:trHeight w:val="230"/>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98,315</w:t>
            </w: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4,065</w:t>
            </w: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PACE assessments: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Residential PACE assessments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152,011</w:t>
            </w: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 - Cash flow hedges</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r>
      <w:tr>
        <w:trPr>
          <w:trHeight w:val="256"/>
        </w:trPr>
        <w:tc>
          <w:tcPr>
            <w:tcW w:w="53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 carried at fair value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1,631,226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900"/>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there were no transfers of financial instruments between Level 1 and Level 2.</w:t>
      </w:r>
    </w:p>
    <w:p>
      <w:pPr>
        <w:sectPr>
          <w:pgSz w:w="11900" w:h="16838" w:orient="portrait"/>
          <w:cols w:equalWidth="0" w:num="1">
            <w:col w:w="11240"/>
          </w:cols>
          <w:pgMar w:left="320" w:top="63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type w:val="continuous"/>
        </w:sectPr>
      </w:pPr>
    </w:p>
    <w:bookmarkStart w:id="131" w:name="page132"/>
    <w:bookmarkEnd w:id="131"/>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 reconciliation of all assets measured at fair value on a recurring basis using significant unobservable inputs (Level 3) for the years ended December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Residential PACE Assessments</w:t>
            </w: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5320" w:type="dxa"/>
            <w:vAlign w:val="bottom"/>
            <w:vMerge w:val="continue"/>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3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January 1</w:t>
            </w:r>
          </w:p>
        </w:tc>
        <w:tc>
          <w:tcPr>
            <w:tcW w:w="1460" w:type="dxa"/>
            <w:vAlign w:val="bottom"/>
            <w:shd w:val="clear" w:color="auto" w:fill="CCEEFF"/>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53,303</w:t>
            </w: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included in interest income in net income</w:t>
            </w: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176"/>
        </w:trPr>
        <w:tc>
          <w:tcPr>
            <w:tcW w:w="53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unrealized holding gains/losses included in other</w:t>
            </w:r>
          </w:p>
        </w:tc>
        <w:tc>
          <w:tcPr>
            <w:tcW w:w="1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comprehensive income</w:t>
            </w:r>
          </w:p>
        </w:tc>
        <w:tc>
          <w:tcPr>
            <w:tcW w:w="1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0" w:type="dxa"/>
            <w:vAlign w:val="bottom"/>
          </w:tcPr>
          <w:p>
            <w:pPr>
              <w:spacing w:after="0"/>
              <w:rPr>
                <w:sz w:val="1"/>
                <w:szCs w:val="1"/>
                <w:color w:val="auto"/>
              </w:rPr>
            </w:pPr>
          </w:p>
        </w:tc>
      </w:tr>
      <w:tr>
        <w:trPr>
          <w:trHeight w:val="229"/>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w:t>
            </w: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69,180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111,670</w:t>
            </w:r>
          </w:p>
        </w:tc>
        <w:tc>
          <w:tcPr>
            <w:tcW w:w="0" w:type="dxa"/>
            <w:vAlign w:val="bottom"/>
          </w:tcPr>
          <w:p>
            <w:pPr>
              <w:spacing w:after="0"/>
              <w:rPr>
                <w:sz w:val="1"/>
                <w:szCs w:val="1"/>
                <w:color w:val="auto"/>
              </w:rPr>
            </w:pPr>
          </w:p>
        </w:tc>
      </w:tr>
      <w:tr>
        <w:trPr>
          <w:trHeight w:val="229"/>
        </w:trPr>
        <w:tc>
          <w:tcPr>
            <w:tcW w:w="53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w:t>
            </w:r>
          </w:p>
        </w:tc>
        <w:tc>
          <w:tcPr>
            <w:tcW w:w="14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30"/>
        </w:trPr>
        <w:tc>
          <w:tcPr>
            <w:tcW w:w="5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Principal paydowns</w:t>
            </w: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0" w:type="dxa"/>
            <w:vAlign w:val="bottom"/>
          </w:tcPr>
          <w:p>
            <w:pPr>
              <w:spacing w:after="0"/>
              <w:rPr>
                <w:sz w:val="1"/>
                <w:szCs w:val="1"/>
                <w:color w:val="auto"/>
              </w:rPr>
            </w:pPr>
          </w:p>
        </w:tc>
      </w:tr>
      <w:tr>
        <w:trPr>
          <w:trHeight w:val="270"/>
        </w:trPr>
        <w:tc>
          <w:tcPr>
            <w:tcW w:w="532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recurring Level 3 assets at December 31</w:t>
            </w:r>
          </w:p>
        </w:tc>
        <w:tc>
          <w:tcPr>
            <w:tcW w:w="1460" w:type="dxa"/>
            <w:vAlign w:val="bottom"/>
            <w:tcBorders>
              <w:bottom w:val="single" w:sz="8" w:color="auto"/>
            </w:tcBorders>
          </w:tcPr>
          <w:p>
            <w:pPr>
              <w:jc w:val="right"/>
              <w:ind w:right="12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00" w:type="dxa"/>
            <w:vAlign w:val="bottom"/>
          </w:tcPr>
          <w:p>
            <w:pPr>
              <w:spacing w:after="0"/>
              <w:rPr>
                <w:sz w:val="19"/>
                <w:szCs w:val="19"/>
                <w:color w:val="auto"/>
              </w:rPr>
            </w:pPr>
          </w:p>
        </w:tc>
        <w:tc>
          <w:tcPr>
            <w:tcW w:w="146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0" w:type="dxa"/>
            <w:vAlign w:val="bottom"/>
          </w:tcPr>
          <w:p>
            <w:pPr>
              <w:spacing w:after="0"/>
              <w:rPr>
                <w:sz w:val="1"/>
                <w:szCs w:val="1"/>
                <w:color w:val="auto"/>
              </w:rPr>
            </w:pPr>
          </w:p>
        </w:tc>
      </w:tr>
      <w:tr>
        <w:trPr>
          <w:trHeight w:val="21"/>
        </w:trPr>
        <w:tc>
          <w:tcPr>
            <w:tcW w:w="5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 of the Company's PACE assessments are determined internally by calculating discounted cash flows using expected conditional prepayment rates, market spreads, and the Treasury yield curve. Qualitative assessments from recent commentary from dealers or investors or issuers, information revealed from secondary market trades of clean energy senior asset-backed securities, and volatility in the marketplace are reviewed and incorporated into the calculations.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quantitative information about recurring Level 3 fair value measurements at December 31,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203,502</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7.0% - 26.0% (20.2%)</w:t>
            </w:r>
          </w:p>
        </w:tc>
        <w:tc>
          <w:tcPr>
            <w:tcW w:w="0" w:type="dxa"/>
            <w:vAlign w:val="bottom"/>
          </w:tcPr>
          <w:p>
            <w:pPr>
              <w:spacing w:after="0"/>
              <w:rPr>
                <w:sz w:val="1"/>
                <w:szCs w:val="1"/>
                <w:color w:val="auto"/>
              </w:rPr>
            </w:pPr>
          </w:p>
        </w:tc>
      </w:tr>
    </w:tbl>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1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Valuation Technique</w:t>
            </w: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Unobservable Input</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Range (Weighted Average)</w:t>
            </w:r>
          </w:p>
        </w:tc>
        <w:tc>
          <w:tcPr>
            <w:tcW w:w="0" w:type="dxa"/>
            <w:vAlign w:val="bottom"/>
          </w:tcPr>
          <w:p>
            <w:pPr>
              <w:spacing w:after="0"/>
              <w:rPr>
                <w:sz w:val="1"/>
                <w:szCs w:val="1"/>
                <w:color w:val="auto"/>
              </w:rPr>
            </w:pPr>
          </w:p>
        </w:tc>
      </w:tr>
      <w:tr>
        <w:trPr>
          <w:trHeight w:val="159"/>
        </w:trPr>
        <w:tc>
          <w:tcPr>
            <w:tcW w:w="2240" w:type="dxa"/>
            <w:vAlign w:val="bottom"/>
            <w:vMerge w:val="continue"/>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Residential PACE</w:t>
            </w: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assessments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152,011</w:t>
            </w:r>
          </w:p>
        </w:tc>
        <w:tc>
          <w:tcPr>
            <w:tcW w:w="100" w:type="dxa"/>
            <w:vAlign w:val="bottom"/>
            <w:shd w:val="clear" w:color="auto" w:fill="CCEEFF"/>
          </w:tcPr>
          <w:p>
            <w:pPr>
              <w:spacing w:after="0"/>
              <w:rPr>
                <w:sz w:val="21"/>
                <w:szCs w:val="21"/>
                <w:color w:val="auto"/>
              </w:rPr>
            </w:pPr>
          </w:p>
        </w:tc>
        <w:tc>
          <w:tcPr>
            <w:tcW w:w="21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Discounted cash flow</w:t>
            </w:r>
          </w:p>
        </w:tc>
        <w:tc>
          <w:tcPr>
            <w:tcW w:w="2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Conditional prepayment rate</w:t>
            </w:r>
          </w:p>
        </w:tc>
        <w:tc>
          <w:tcPr>
            <w:tcW w:w="2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7.0% - 25.0% (18.9%)</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significant unobservable input used in the fair value measurement of the Company's residential PACE assessments is conditional prepayment rate. Significant increases/(decreases) in this input in isolation would have results in a modestly higher/(lower) fair value measurement. Unobservable inputs were weighted by the relative fair value of the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32" w:name="page133"/>
    <w:bookmarkEnd w:id="132"/>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Measured at Fair Value on a Non-recurring Basis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financial assets are measured at fair value on a non-recurring basis. That is, they are subject to fair value adjustments in certain circumstances.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Collateral-dependent loans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values for individually analyzed collateral-dependent loans are based on the fair value of the collateral based on an appraised values, net book value per the borrower’s financial statements, aging reports, or by reference to market activity, adjusted or discounted based on management’s historical knowledge, changes in market conditions from the time of the valuation and management’s expertise and knowledge of the borrower and its business.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4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gridSpan w:val="4"/>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shd w:val="clear" w:color="auto" w:fill="CCEEFF"/>
          </w:tcPr>
          <w:p>
            <w:pPr>
              <w:spacing w:after="0"/>
              <w:rPr>
                <w:sz w:val="14"/>
                <w:szCs w:val="14"/>
                <w:color w:val="auto"/>
              </w:rPr>
            </w:pPr>
          </w:p>
        </w:tc>
        <w:tc>
          <w:tcPr>
            <w:tcW w:w="1340" w:type="dxa"/>
            <w:vAlign w:val="bottom"/>
            <w:gridSpan w:val="4"/>
            <w:shd w:val="clear" w:color="auto" w:fill="CCEEFF"/>
          </w:tcPr>
          <w:p>
            <w:pPr>
              <w:jc w:val="right"/>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Technique</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Appraisals of</w:t>
            </w:r>
          </w:p>
        </w:tc>
        <w:tc>
          <w:tcPr>
            <w:tcW w:w="0" w:type="dxa"/>
            <w:vAlign w:val="bottom"/>
          </w:tcPr>
          <w:p>
            <w:pPr>
              <w:spacing w:after="0"/>
              <w:rPr>
                <w:sz w:val="1"/>
                <w:szCs w:val="1"/>
                <w:color w:val="auto"/>
              </w:rPr>
            </w:pPr>
          </w:p>
        </w:tc>
      </w:tr>
      <w:tr>
        <w:trPr>
          <w:trHeight w:val="312"/>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3"/>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 xml:space="preserve">Collateral </w:t>
            </w:r>
            <w:r>
              <w:rPr>
                <w:rFonts w:ascii="Times New Roman" w:cs="Times New Roman" w:eastAsia="Times New Roman" w:hAnsi="Times New Roman"/>
                <w:sz w:val="23"/>
                <w:szCs w:val="23"/>
                <w:color w:val="auto"/>
                <w:w w:val="94"/>
                <w:vertAlign w:val="superscript"/>
              </w:rPr>
              <w:t>(1)</w:t>
            </w:r>
          </w:p>
        </w:tc>
        <w:tc>
          <w:tcPr>
            <w:tcW w:w="0" w:type="dxa"/>
            <w:vAlign w:val="bottom"/>
          </w:tcPr>
          <w:p>
            <w:pPr>
              <w:spacing w:after="0"/>
              <w:rPr>
                <w:sz w:val="1"/>
                <w:szCs w:val="1"/>
                <w:color w:val="auto"/>
              </w:rPr>
            </w:pPr>
          </w:p>
        </w:tc>
      </w:tr>
      <w:tr>
        <w:trPr>
          <w:trHeight w:val="768"/>
        </w:trPr>
        <w:tc>
          <w:tcPr>
            <w:tcW w:w="28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gridSpan w:val="4"/>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20" w:type="dxa"/>
            <w:vAlign w:val="bottom"/>
            <w:gridSpan w:val="3"/>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40" w:type="dxa"/>
            <w:vAlign w:val="bottom"/>
            <w:gridSpan w:val="3"/>
            <w:vMerge w:val="restart"/>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40" w:type="dxa"/>
            <w:vAlign w:val="bottom"/>
            <w:shd w:val="clear" w:color="auto" w:fill="CCEEFF"/>
          </w:tcPr>
          <w:p>
            <w:pPr>
              <w:spacing w:after="0"/>
              <w:rPr>
                <w:sz w:val="14"/>
                <w:szCs w:val="14"/>
                <w:color w:val="auto"/>
              </w:rPr>
            </w:pPr>
          </w:p>
        </w:tc>
        <w:tc>
          <w:tcPr>
            <w:tcW w:w="1340" w:type="dxa"/>
            <w:vAlign w:val="bottom"/>
            <w:gridSpan w:val="4"/>
            <w:shd w:val="clear" w:color="auto" w:fill="CCEEFF"/>
          </w:tcPr>
          <w:p>
            <w:pPr>
              <w:jc w:val="right"/>
              <w:ind w:right="120"/>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60" w:type="dxa"/>
            <w:vAlign w:val="bottom"/>
            <w:shd w:val="clear" w:color="auto" w:fill="CCEEFF"/>
          </w:tcPr>
          <w:p>
            <w:pPr>
              <w:spacing w:after="0"/>
              <w:rPr>
                <w:sz w:val="14"/>
                <w:szCs w:val="14"/>
                <w:color w:val="auto"/>
              </w:rPr>
            </w:pPr>
          </w:p>
        </w:tc>
        <w:tc>
          <w:tcPr>
            <w:tcW w:w="1420" w:type="dxa"/>
            <w:vAlign w:val="bottom"/>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Valuation</w:t>
            </w:r>
          </w:p>
        </w:tc>
        <w:tc>
          <w:tcPr>
            <w:tcW w:w="0" w:type="dxa"/>
            <w:vAlign w:val="bottom"/>
          </w:tcPr>
          <w:p>
            <w:pPr>
              <w:spacing w:after="0"/>
              <w:rPr>
                <w:sz w:val="1"/>
                <w:szCs w:val="1"/>
                <w:color w:val="auto"/>
              </w:rPr>
            </w:pPr>
          </w:p>
        </w:tc>
      </w:tr>
      <w:tr>
        <w:trPr>
          <w:trHeight w:val="243"/>
        </w:trPr>
        <w:tc>
          <w:tcPr>
            <w:tcW w:w="2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0" w:type="dxa"/>
            <w:vAlign w:val="bottom"/>
            <w:shd w:val="clear" w:color="auto" w:fill="CCEEFF"/>
          </w:tcPr>
          <w:p>
            <w:pPr>
              <w:spacing w:after="0"/>
              <w:rPr>
                <w:sz w:val="21"/>
                <w:szCs w:val="21"/>
                <w:color w:val="auto"/>
              </w:rPr>
            </w:pPr>
          </w:p>
        </w:tc>
        <w:tc>
          <w:tcPr>
            <w:tcW w:w="1360" w:type="dxa"/>
            <w:vAlign w:val="bottom"/>
            <w:gridSpan w:val="4"/>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3"/>
            <w:vMerge w:val="continue"/>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60" w:type="dxa"/>
            <w:vAlign w:val="bottom"/>
            <w:shd w:val="clear" w:color="auto" w:fill="CCEEFF"/>
          </w:tcPr>
          <w:p>
            <w:pPr>
              <w:spacing w:after="0"/>
              <w:rPr>
                <w:sz w:val="21"/>
                <w:szCs w:val="21"/>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Technique</w:t>
            </w:r>
          </w:p>
        </w:tc>
        <w:tc>
          <w:tcPr>
            <w:tcW w:w="0" w:type="dxa"/>
            <w:vAlign w:val="bottom"/>
          </w:tcPr>
          <w:p>
            <w:pPr>
              <w:spacing w:after="0"/>
              <w:rPr>
                <w:sz w:val="1"/>
                <w:szCs w:val="1"/>
                <w:color w:val="auto"/>
              </w:rPr>
            </w:pPr>
          </w:p>
        </w:tc>
      </w:tr>
      <w:tr>
        <w:trPr>
          <w:trHeight w:val="169"/>
        </w:trPr>
        <w:tc>
          <w:tcPr>
            <w:tcW w:w="2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Appraisals of</w:t>
            </w:r>
          </w:p>
        </w:tc>
        <w:tc>
          <w:tcPr>
            <w:tcW w:w="0" w:type="dxa"/>
            <w:vAlign w:val="bottom"/>
          </w:tcPr>
          <w:p>
            <w:pPr>
              <w:spacing w:after="0"/>
              <w:rPr>
                <w:sz w:val="1"/>
                <w:szCs w:val="1"/>
                <w:color w:val="auto"/>
              </w:rPr>
            </w:pPr>
          </w:p>
        </w:tc>
      </w:tr>
      <w:tr>
        <w:trPr>
          <w:trHeight w:val="306"/>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Individually analyzed loans</w:t>
            </w: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 xml:space="preserve">Collateral </w:t>
            </w:r>
            <w:r>
              <w:rPr>
                <w:rFonts w:ascii="Times New Roman" w:cs="Times New Roman" w:eastAsia="Times New Roman" w:hAnsi="Times New Roman"/>
                <w:sz w:val="23"/>
                <w:szCs w:val="23"/>
                <w:color w:val="auto"/>
                <w:w w:val="96"/>
                <w:vertAlign w:val="superscript"/>
              </w:rPr>
              <w:t>(1)</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firstLine="8"/>
        <w:spacing w:after="0" w:line="272" w:lineRule="auto"/>
        <w:tabs>
          <w:tab w:leader="none" w:pos="179" w:val="left"/>
        </w:tabs>
        <w:numPr>
          <w:ilvl w:val="0"/>
          <w:numId w:val="3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Appraisals of collateral are obtained from independent appraisers which includes unobservable inputs such as adjustments such as capitalization rates, vacancy rates, and other assumptions. Appraisals are adjusted for estimated costs to sell of 10%.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the methods, factors and significant assumptions utilized in estimating the fair values for significant categories of financial instruments not measured at fair value follows:</w:t>
      </w:r>
    </w:p>
    <w:p>
      <w:pPr>
        <w:spacing w:after="0" w:line="5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Held-to-maturity securities </w:t>
      </w:r>
      <w:r>
        <w:rPr>
          <w:rFonts w:ascii="Times New Roman" w:cs="Times New Roman" w:eastAsia="Times New Roman" w:hAnsi="Times New Roman"/>
          <w:sz w:val="18"/>
          <w:szCs w:val="18"/>
          <w:color w:val="auto"/>
        </w:rPr>
        <w:t>– Investments in fixed income securities are generally valued based on evaluations provided by an independent pricing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These evaluations represent an exit price or their opinion as to what a buyer would pay for a security, typically in an institutional round lot position, in a current sale. The pricing service utilizes evaluated pricing techniques that vary by asset class and incorporate available market information and, because many fixed income securities do not trade on a daily basis, applies available information through processes such as benchmark curves, benchmarking of available securities, sector groupings and matrix pricing. Model processes, such as option adjusted spread models, are used to value securities that have prepayment features. In those limited cases where pricing service evaluations are not available for a fixed income security, such as PACE assessments, management will typically value those instruments using observable market inputs in a discounted cash flow analysis. Held-to-maturity securities, with the exception of PACE securities which are categorized as Level 3, are generally categorized as Level 2.</w:t>
      </w:r>
    </w:p>
    <w:p>
      <w:pPr>
        <w:spacing w:after="0" w:line="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Loans held for sale </w:t>
      </w:r>
      <w:r>
        <w:rPr>
          <w:rFonts w:ascii="Times New Roman" w:cs="Times New Roman" w:eastAsia="Times New Roman" w:hAnsi="Times New Roman"/>
          <w:sz w:val="18"/>
          <w:szCs w:val="18"/>
          <w:color w:val="auto"/>
        </w:rPr>
        <w:t>– Loans held for sale are carried at the lower of cost or fair value. The fair value of loans held for sale is determined using the price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to receive for the loans based on commitments received from third party investors. Loans held on our balance sheet greater than 90 days are evaluated to determine if a valuation allowance is required to adjust for a decline in fair value below the carrying amount, and then subject to quarterly evaluation going forward. Loans held for sale are generally categorized as Level 3.</w:t>
      </w:r>
    </w:p>
    <w:p>
      <w:pPr>
        <w:spacing w:after="0" w:line="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Loans receivable </w:t>
      </w:r>
      <w:r>
        <w:rPr>
          <w:rFonts w:ascii="Times New Roman" w:cs="Times New Roman" w:eastAsia="Times New Roman" w:hAnsi="Times New Roman"/>
          <w:sz w:val="18"/>
          <w:szCs w:val="18"/>
          <w:color w:val="auto"/>
        </w:rPr>
        <w:t>– Loans are valued using a present value technique that incorporates management’s assumptions as to what a market participant would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assume given the attributes of the loans. The observable U.S. Treasury yield curve is a significant input to the valuation. Assumptions, including prepayment speeds and credit spreads, are based on observable market data where possible or alternatively are based on terms currently offered on loans to borrowers of similar credit quality. The methods used to estimate the fair value of loans are extremely sensitive to the assumptions and estimates used. While management has attempted to use assumptions and estimates that best reflect the Company’s loan portfolio and current market conditions, a greater degree of</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5" w:right="339" w:bottom="1440" w:gutter="0" w:footer="0" w:header="0"/>
        </w:sectPr>
      </w:pPr>
    </w:p>
    <w:bookmarkStart w:id="133" w:name="page134"/>
    <w:bookmarkEnd w:id="133"/>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subjectivity is inherent in these values than in those determined in active markets. Loans would generally be categorized as Level 3.</w:t>
      </w:r>
    </w:p>
    <w:p>
      <w:pPr>
        <w:spacing w:after="0" w:line="11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Resell agreements </w:t>
      </w:r>
      <w:r>
        <w:rPr>
          <w:rFonts w:ascii="Times New Roman" w:cs="Times New Roman" w:eastAsia="Times New Roman" w:hAnsi="Times New Roman"/>
          <w:sz w:val="18"/>
          <w:szCs w:val="18"/>
          <w:color w:val="auto"/>
        </w:rPr>
        <w:t>– Resell agreements are carried at fair value, as these are short term agreements. All existing trades are done at the current rate for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trades, so there is no market value adjustment. The agreements are generally categorized as Level 3, as we have limited market information.</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Deposits </w:t>
      </w:r>
      <w:r>
        <w:rPr>
          <w:rFonts w:ascii="Times New Roman" w:cs="Times New Roman" w:eastAsia="Times New Roman" w:hAnsi="Times New Roman"/>
          <w:sz w:val="18"/>
          <w:szCs w:val="18"/>
          <w:color w:val="auto"/>
        </w:rPr>
        <w:t>– Deposits without a defined maturity date are valued at the amount payable on demand, and are categorized as Level 2. Certificates of deposit,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are categorized as Level 2, are valued using a present value technique that incorporates current rates offered by the Company for certificates of comparable remaining maturity.</w:t>
      </w:r>
    </w:p>
    <w:p>
      <w:pPr>
        <w:spacing w:after="0" w:line="6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FHLBNY Advances </w:t>
      </w:r>
      <w:r>
        <w:rPr>
          <w:rFonts w:ascii="Times New Roman" w:cs="Times New Roman" w:eastAsia="Times New Roman" w:hAnsi="Times New Roman"/>
          <w:sz w:val="18"/>
          <w:szCs w:val="18"/>
          <w:color w:val="auto"/>
        </w:rPr>
        <w:t>– FHLBNY advances are valued using a present value technique that incorporates current rates offered by the FHLBNY for advances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comparable remaining maturity. FHLBNY advances are categorized as Level 2.</w:t>
      </w:r>
    </w:p>
    <w:p>
      <w:pPr>
        <w:spacing w:after="0" w:line="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Subordinated debt </w:t>
      </w:r>
      <w:r>
        <w:rPr>
          <w:rFonts w:ascii="Times New Roman" w:cs="Times New Roman" w:eastAsia="Times New Roman" w:hAnsi="Times New Roman"/>
          <w:sz w:val="18"/>
          <w:szCs w:val="18"/>
          <w:color w:val="auto"/>
        </w:rPr>
        <w:t>– Bank issued subordinated debt is valued based on recent trades for similar issues and or values provided by firms that transact in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bonds. Subordinated debt is categorized as Level 2.</w:t>
      </w:r>
    </w:p>
    <w:p>
      <w:pPr>
        <w:spacing w:after="0" w:line="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 The Company holds or issues other financial instruments for which management considers the carrying value to approximate fair value.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items include cash and cash equivalents, accrued interest receivable and payable. Many of these items are short term in nature with minimal risk characteristics.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those financial instruments that are not recorded at fair value in the consolidated statements of financial condition, but are measured at fair value for disclosure purposes, management follows the same fair value measurement principles and guidance as for instruments recorded at fair value.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are significant limitations in estimating the fair value of financial instruments for which an active market does not exist. Due to the degree of management judgment that is often required, such estimates tend to be subjective, sensitive to changes in assumptions and imprecise. Such estimates are made as of a point in time and are impacted by then-current observable market conditions; also such estimates do not give consideration to transaction costs or tax effects if estimated unrealized gains or losses were to become realized in the future. Because of inherent uncertainties of valuation, the estimated fair value may differ significantly from the value that would have been used had a ready market for the investment existed and the difference could be material. Lastly, consideration is not given to nonfinancial instruments, including various intangible assets, which could represent substantial value. Fair value estimates are not necessarily representative of the Company’s total enterprise value.</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34" w:name="page135"/>
    <w:bookmarkEnd w:id="134"/>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financial statement basis and estimated fair values for significant categories of financial instruments: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2025</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40" w:type="dxa"/>
            <w:vAlign w:val="bottom"/>
          </w:tcPr>
          <w:p>
            <w:pPr>
              <w:spacing w:after="0"/>
              <w:rPr>
                <w:sz w:val="14"/>
                <w:szCs w:val="14"/>
                <w:color w:val="auto"/>
              </w:rPr>
            </w:pPr>
          </w:p>
        </w:tc>
        <w:tc>
          <w:tcPr>
            <w:tcW w:w="10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40" w:type="dxa"/>
            <w:vAlign w:val="bottom"/>
          </w:tcPr>
          <w:p>
            <w:pPr>
              <w:spacing w:after="0"/>
              <w:rPr>
                <w:sz w:val="14"/>
                <w:szCs w:val="14"/>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3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38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159"/>
        </w:trPr>
        <w:tc>
          <w:tcPr>
            <w:tcW w:w="4360" w:type="dxa"/>
            <w:vAlign w:val="bottom"/>
            <w:vMerge w:val="continue"/>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291,217</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291,217</w:t>
            </w:r>
          </w:p>
        </w:tc>
        <w:tc>
          <w:tcPr>
            <w:tcW w:w="0" w:type="dxa"/>
            <w:vAlign w:val="bottom"/>
          </w:tcPr>
          <w:p>
            <w:pPr>
              <w:spacing w:after="0"/>
              <w:rPr>
                <w:sz w:val="1"/>
                <w:szCs w:val="1"/>
                <w:color w:val="auto"/>
              </w:rPr>
            </w:pPr>
          </w:p>
        </w:tc>
      </w:tr>
      <w:tr>
        <w:trPr>
          <w:trHeight w:val="229"/>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Held-to-maturity securities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1,439,972</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Loans held for sale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0" w:type="dxa"/>
            <w:vAlign w:val="bottom"/>
          </w:tcPr>
          <w:p>
            <w:pPr>
              <w:spacing w:after="0"/>
              <w:rPr>
                <w:sz w:val="1"/>
                <w:szCs w:val="1"/>
                <w:color w:val="auto"/>
              </w:rPr>
            </w:pPr>
          </w:p>
        </w:tc>
      </w:tr>
      <w:tr>
        <w:trPr>
          <w:trHeight w:val="229"/>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Loans receivable,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4,742,463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4,742,463</w:t>
            </w: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Resell agreements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48,662</w:t>
            </w:r>
          </w:p>
        </w:tc>
        <w:tc>
          <w:tcPr>
            <w:tcW w:w="0" w:type="dxa"/>
            <w:vAlign w:val="bottom"/>
          </w:tcPr>
          <w:p>
            <w:pPr>
              <w:spacing w:after="0"/>
              <w:rPr>
                <w:sz w:val="1"/>
                <w:szCs w:val="1"/>
                <w:color w:val="auto"/>
              </w:rPr>
            </w:pPr>
          </w:p>
        </w:tc>
      </w:tr>
      <w:tr>
        <w:trPr>
          <w:trHeight w:val="229"/>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Accrued interest receivable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65,128</w:t>
            </w:r>
          </w:p>
        </w:tc>
        <w:tc>
          <w:tcPr>
            <w:tcW w:w="0" w:type="dxa"/>
            <w:vAlign w:val="bottom"/>
          </w:tcPr>
          <w:p>
            <w:pPr>
              <w:spacing w:after="0"/>
              <w:rPr>
                <w:sz w:val="1"/>
                <w:szCs w:val="1"/>
                <w:color w:val="auto"/>
              </w:rPr>
            </w:pPr>
          </w:p>
        </w:tc>
      </w:tr>
      <w:tr>
        <w:trPr>
          <w:trHeight w:val="257"/>
        </w:trPr>
        <w:tc>
          <w:tcPr>
            <w:tcW w:w="43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Deposits payable on demand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7,746,044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7,746,044</w:t>
            </w:r>
          </w:p>
        </w:tc>
        <w:tc>
          <w:tcPr>
            <w:tcW w:w="0" w:type="dxa"/>
            <w:vAlign w:val="bottom"/>
          </w:tcPr>
          <w:p>
            <w:pPr>
              <w:spacing w:after="0"/>
              <w:rPr>
                <w:sz w:val="1"/>
                <w:szCs w:val="1"/>
                <w:color w:val="auto"/>
              </w:rPr>
            </w:pPr>
          </w:p>
        </w:tc>
      </w:tr>
      <w:tr>
        <w:trPr>
          <w:trHeight w:val="229"/>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Time deposits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203,170</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FHLBNY advances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0" w:type="dxa"/>
            <w:vAlign w:val="bottom"/>
          </w:tcPr>
          <w:p>
            <w:pPr>
              <w:spacing w:after="0"/>
              <w:rPr>
                <w:sz w:val="1"/>
                <w:szCs w:val="1"/>
                <w:color w:val="auto"/>
              </w:rPr>
            </w:pPr>
          </w:p>
        </w:tc>
      </w:tr>
      <w:tr>
        <w:trPr>
          <w:trHeight w:val="230"/>
        </w:trPr>
        <w:tc>
          <w:tcPr>
            <w:tcW w:w="43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Subordinated debt, net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61,013</w:t>
            </w:r>
          </w:p>
        </w:tc>
        <w:tc>
          <w:tcPr>
            <w:tcW w:w="0" w:type="dxa"/>
            <w:vAlign w:val="bottom"/>
          </w:tcPr>
          <w:p>
            <w:pPr>
              <w:spacing w:after="0"/>
              <w:rPr>
                <w:sz w:val="1"/>
                <w:szCs w:val="1"/>
                <w:color w:val="auto"/>
              </w:rPr>
            </w:pPr>
          </w:p>
        </w:tc>
      </w:tr>
      <w:tr>
        <w:trPr>
          <w:trHeight w:val="229"/>
        </w:trPr>
        <w:tc>
          <w:tcPr>
            <w:tcW w:w="4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interest payable</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10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4"/>
                <w:szCs w:val="14"/>
                <w:color w:val="auto"/>
              </w:rPr>
            </w:pP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vMerge w:val="restart"/>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3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120" w:type="dxa"/>
            <w:vAlign w:val="bottom"/>
          </w:tcPr>
          <w:p>
            <w:pPr>
              <w:ind w:left="80"/>
              <w:spacing w:after="0" w:line="169" w:lineRule="exact"/>
              <w:rPr>
                <w:sz w:val="20"/>
                <w:szCs w:val="20"/>
                <w:color w:val="auto"/>
              </w:rPr>
            </w:pPr>
            <w:r>
              <w:rPr>
                <w:rFonts w:ascii="Times New Roman" w:cs="Times New Roman" w:eastAsia="Times New Roman" w:hAnsi="Times New Roman"/>
                <w:sz w:val="18"/>
                <w:szCs w:val="18"/>
                <w:b w:val="1"/>
                <w:bCs w:val="1"/>
                <w:color w:val="auto"/>
              </w:rPr>
              <w:t>Estimated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gridSpan w:val="3"/>
            <w:vMerge w:val="continue"/>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Held-to-maturity securities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1,586,205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499,564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Loans held for sale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Loans receivable,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4,612,838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4,352,266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4,352,266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Resell agreements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interest receivable</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Deposits payable on demand</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6,941,390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6,941,390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6,941,390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Time deposits and CDs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238,788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FHLBNY advances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250,709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Subordinated debt, net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interest payable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5"/>
        </w:trPr>
        <w:tc>
          <w:tcPr>
            <w:tcW w:w="4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132</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35" w:name="page136"/>
    <w:bookmarkEnd w:id="135"/>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DERIVATIVES AND HEDGING ACTIVITIES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the use of derivative financial instruments. Specifically, the Company enters into derivative financial instruments to manage exposures that arise from business activities that result in the receipt of future known and uncertain cash amounts, the value of which are determined by interest rates. The Company’s derivative financial instruments are used to manage differences in the amount, timing, and duration of the Company’s known or expected cash receipts.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objectives in using interest rate derivatives are to manage its exposure to interest rate movements and to add stability to net interest income. To accomplish this objective, the Company has entered into interest rate cash flow hedges as part of its interest rate risk management strategy. As of December 31, 2025, the Company had five interest rate option contracts with a floor with notional value of $465.0 million, hedging floating-rate available for sale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Derivatives on the Consolidated Statements of Financial Condition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flow hedges are recorded gross on the Consolidated Statements of Financial Condition.</w:t>
      </w:r>
    </w:p>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tables below present the outstanding notional balances and the fair value of the Company’s derivative assets as of December 31, 2025 and December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74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440" w:type="dxa"/>
            <w:vAlign w:val="bottom"/>
          </w:tcPr>
          <w:p>
            <w:pPr>
              <w:spacing w:after="0"/>
              <w:rPr>
                <w:sz w:val="20"/>
                <w:szCs w:val="20"/>
                <w:color w:val="auto"/>
              </w:rPr>
            </w:pPr>
          </w:p>
        </w:tc>
        <w:tc>
          <w:tcPr>
            <w:tcW w:w="258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60" w:type="dxa"/>
            <w:vAlign w:val="bottom"/>
            <w:tcBorders>
              <w:top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 (Other</w:t>
            </w:r>
          </w:p>
        </w:tc>
        <w:tc>
          <w:tcPr>
            <w:tcW w:w="180" w:type="dxa"/>
            <w:vAlign w:val="bottom"/>
          </w:tcPr>
          <w:p>
            <w:pPr>
              <w:spacing w:after="0"/>
              <w:rPr>
                <w:sz w:val="14"/>
                <w:szCs w:val="14"/>
                <w:color w:val="auto"/>
              </w:rPr>
            </w:pPr>
          </w:p>
        </w:tc>
        <w:tc>
          <w:tcPr>
            <w:tcW w:w="1560" w:type="dxa"/>
            <w:vAlign w:val="bottom"/>
            <w:tcBorders>
              <w:top w:val="single" w:sz="8" w:color="auto"/>
            </w:tcBorders>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Notional Amount</w:t>
            </w:r>
          </w:p>
        </w:tc>
        <w:tc>
          <w:tcPr>
            <w:tcW w:w="14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Fair Value (Other</w:t>
            </w:r>
          </w:p>
        </w:tc>
        <w:tc>
          <w:tcPr>
            <w:tcW w:w="0" w:type="dxa"/>
            <w:vAlign w:val="bottom"/>
          </w:tcPr>
          <w:p>
            <w:pPr>
              <w:spacing w:after="0"/>
              <w:rPr>
                <w:sz w:val="1"/>
                <w:szCs w:val="1"/>
                <w:color w:val="auto"/>
              </w:rPr>
            </w:pPr>
          </w:p>
        </w:tc>
      </w:tr>
      <w:tr>
        <w:trPr>
          <w:trHeight w:val="243"/>
        </w:trPr>
        <w:tc>
          <w:tcPr>
            <w:tcW w:w="5020" w:type="dxa"/>
            <w:vAlign w:val="bottom"/>
            <w:vMerge w:val="continue"/>
          </w:tcPr>
          <w:p>
            <w:pPr>
              <w:spacing w:after="0"/>
              <w:rPr>
                <w:sz w:val="21"/>
                <w:szCs w:val="21"/>
                <w:color w:val="auto"/>
              </w:rPr>
            </w:pPr>
          </w:p>
        </w:tc>
        <w:tc>
          <w:tcPr>
            <w:tcW w:w="156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56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4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hedges - interest rate products</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465,000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8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265,000</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bl>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Cash Flow Hedge Accounting on the Consolidated Statements of Operations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the effect of the Company’s derivative financial instruments on the consolidated statements of operations as of December 31, 2025, December 31, 2024 and December 31, 2023: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4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120" w:type="dxa"/>
            <w:vAlign w:val="bottom"/>
            <w:gridSpan w:val="6"/>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9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74"/>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gridSpan w:val="2"/>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ind w:left="4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840" w:type="dxa"/>
            <w:vAlign w:val="bottom"/>
            <w:tcBorders>
              <w:top w:val="single" w:sz="8" w:color="auto"/>
            </w:tcBorders>
          </w:tcPr>
          <w:p>
            <w:pPr>
              <w:ind w:left="60"/>
              <w:spacing w:after="0" w:line="174"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49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0"/>
                <w:szCs w:val="20"/>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8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0" w:type="dxa"/>
            <w:vAlign w:val="bottom"/>
          </w:tcPr>
          <w:p>
            <w:pPr>
              <w:spacing w:after="0"/>
              <w:rPr>
                <w:sz w:val="1"/>
                <w:szCs w:val="1"/>
                <w:color w:val="auto"/>
              </w:rPr>
            </w:pPr>
          </w:p>
        </w:tc>
      </w:tr>
      <w:tr>
        <w:trPr>
          <w:trHeight w:val="209"/>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or (loss) on cash flow hedging relationships:</w:t>
            </w: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Gain (loss) reclassified from accumulated OCI into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Hedges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flow hedges involve the receipt of fixed amounts from a counterparty in exchange for the Company making variable-rate payments over the life of the agreements without exchange of the underlying notional amount. The Company uses these types of derivatives to hedge the variable cash flows associated with existing or forecasted variable-rate securities.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derivatives designated and that qualify as cash flow hedges of interest rate risk, the gain or loss on the derivative is recorded in accumulated other comprehensive income (loss) and subsequently reclassified into interest income in the same periods during which the hedged transaction affects earnings. Amounts reported in accumulated other comprehensive income related to derivatives will be reclassified to interest income as interest payments are received on the Company’s variable-rate securities. During the next twelve months, the Company estimates that an additional $130.7 thousand will be reclassified as a reduction in interest income.</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36" w:name="page137"/>
    <w:bookmarkEnd w:id="136"/>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did not terminate any derivatives during the year ended December 31, 2025 and 2024, respectively. There were no derivatives during the year ended December 31, 2023.</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effect of the cash flow hedge accounting on accumulated other comprehensive income (loss) for the periods indicated: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40" w:type="dxa"/>
            <w:vAlign w:val="bottom"/>
            <w:tcBorders>
              <w:bottom w:val="single" w:sz="8" w:color="auto"/>
            </w:tcBorders>
            <w:gridSpan w:val="6"/>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recognized in other comprehensive income (loss)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reclassified from other comprehensive income into interest income</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37" w:name="page138"/>
    <w:bookmarkEnd w:id="137"/>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hanging="492"/>
        <w:spacing w:after="0"/>
        <w:tabs>
          <w:tab w:leader="none" w:pos="50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CONTINGENCIES AND OFF BALANCE SHEET RISK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Commitments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party to various credit related financial instruments with off balance sheet risk. The Company, in the normal course of business, issues such financial instruments in order to meet the financing needs of its customers. These financial instruments include commitments to extend credit and standby letters of credit. Such commitments involve, to varying degrees, elements of credit and interest rate risk in excess of the amounts recognized in the consolidated statements of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instruments were outstanding whose contract amounts represent credit risk as of the related periods: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40" w:type="dxa"/>
            <w:vAlign w:val="bottom"/>
          </w:tcPr>
          <w:p>
            <w:pPr>
              <w:spacing w:after="0"/>
              <w:rPr>
                <w:sz w:val="20"/>
                <w:szCs w:val="20"/>
                <w:color w:val="auto"/>
              </w:rPr>
            </w:pPr>
          </w:p>
        </w:tc>
        <w:tc>
          <w:tcPr>
            <w:tcW w:w="19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720" w:type="dxa"/>
            <w:vAlign w:val="bottom"/>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454,287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442,761</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Standby letters of credit</w:t>
            </w: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29,715</w:t>
            </w:r>
          </w:p>
        </w:tc>
        <w:tc>
          <w:tcPr>
            <w:tcW w:w="0" w:type="dxa"/>
            <w:vAlign w:val="bottom"/>
          </w:tcPr>
          <w:p>
            <w:pPr>
              <w:spacing w:after="0"/>
              <w:rPr>
                <w:sz w:val="1"/>
                <w:szCs w:val="1"/>
                <w:color w:val="auto"/>
              </w:rPr>
            </w:pPr>
          </w:p>
        </w:tc>
      </w:tr>
      <w:tr>
        <w:trPr>
          <w:trHeight w:val="248"/>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483,872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472,476</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Included in the above table are extensions of credit to related parties and affiliates. As of December 31, 2025, the Company had $70.0 million of lines of credit and $0.3 million of standby letters of credit. As of December 31, 2024, the Company had $70.0 million of lines of credit and $0.3 million of standby letters of credit.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Commitments to extend credit are contracts to lend to a customer as long as there is no violation of any condition established in the contract. These commitments have fixed expiration dates and other termination clauses and generally require the payment of nonrefundable fees. Since a portion of the commitments are expected to expire without being drawn upon, the contractual principal amounts do not necessarily represent future cash requirements. The Company’s maximum exposure to credit risk is represented by the contractual amount of these instruments. These instruments represent ultimate exposure to credit risk only to the extent they are subsequently drawn upon by customers.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Standby letters of credit are conditional lending commitments issued by the Company to guarantee the financial performance of a customer to a third party. The credit risk involved in issuing standby letters of credit is essentially the same as that involved in extending loan facilities to customers. The balance sheet carrying value of standby letters of credit approximates any nonrefundable fees received but not yet recorded as income. The Company considers this carrying value, which is not material, to approximate the estimated fair value of these financial instruments.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reserves for the credit risk inherent in off balance sheet credit commitments. Upon adoption of ASU 2016-13 on January 1, 2023, the Day 1 adjustment to allowance for credit losses on off-balance sheet credit exposures was $2.7 million. This allowance, which is included in other liabilities, amounted to approximately $2.8 million as of December 31, 2025, compared to a reserve of $4.1 million as of December 31, 2024. The provision for credit losses related to off balance sheet credit commitments was a recovery of $1.4 million, $50.0 thousand and $61.1 thousand for the year ended December 31, 2025, December 31, 2024 and 2023,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Obligations</w:t>
      </w:r>
    </w:p>
    <w:p>
      <w:pPr>
        <w:spacing w:after="0" w:line="18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party to agreements with Pace Funding Group LLC and Allectrify PBC for the purchase of PACE assessment securities, with commitments extending through December 2026 and June 2028, respectively. As of December 31, 2025, the estimated remaining commitments to Pace Funding Group LLC and Allectrify PBC under these agreements were $139.5 million and $100.0 million, respectively. The PACE assessments have equal-lien priority with property taxes and generally rank senior to first lien mortgages. These investments are currently held in the Company's available for sale and held-to-maturity investment portfolios. The Company evaluates these obligations for credit risk and the recorded reserve is recorded in other liabilities.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fourth quarter of 2025, the Company funded $2.4 million to Greenskies Clean Energy LLC as a solar tax equity investment. As part of this investment agreement, the Company committed to additional fundings of $5.6 million which is recognized as a liability on the balance sheet given this future event is unconditional and legally binding.</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38" w:name="page139"/>
    <w:bookmarkEnd w:id="138"/>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there are various legal proceedings pending against the Company. Based on the opinion of counsel, management believes that the aggregate liabilities, if any, arising from such actions would not have a material adverse effect on the consolidated financial position or results of operations of the Company.</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39" w:name="page140"/>
    <w:bookmarkEnd w:id="139"/>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16.</w:t>
      </w:r>
      <w:r>
        <w:rPr>
          <w:sz w:val="20"/>
          <w:szCs w:val="20"/>
          <w:color w:val="auto"/>
        </w:rPr>
        <w:tab/>
      </w:r>
      <w:r>
        <w:rPr>
          <w:rFonts w:ascii="Times New Roman" w:cs="Times New Roman" w:eastAsia="Times New Roman" w:hAnsi="Times New Roman"/>
          <w:sz w:val="19"/>
          <w:szCs w:val="19"/>
          <w:b w:val="1"/>
          <w:bCs w:val="1"/>
          <w:color w:val="auto"/>
        </w:rPr>
        <w:t>LEASES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 a lessee has operating leases primarily consisting of real estate arrangements where the Company operates its headquarters, branches and business production offices. All leases identified as in scope are accounted for as operating leases as of December 31, 2025 and December 31, 2024. These leases are typically long-term leases and generally are not complicated arrangements or structures. Several of the leases contain renewal options at a rate comparable to the fair market value based on comparable analysis to similar properties in the Company’s geographies.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Real estate operating leases are presented as a right-of-use asset and a related operating lease liability on the Consolidated Statements of Financial Condition. The ROU asset represents the Company’s right to use the underlying asset for the lease term and the operating lease liabilities represent the obligation to make lease payments arising from the lease. The Company applied its incremental borrowing rate as the discount rate to the remaining lease payments to derive a present value calculation for initial measurement of the operating lease liability. The IBR reflects the interest rate the Company would have to pay to borrow on a collateralized basis over a similar term for an amount equal to the lease payments. Lease expense is recognized on a straight-line basis over the lease term.</w:t>
      </w:r>
    </w:p>
    <w:p>
      <w:pPr>
        <w:spacing w:after="0" w:line="17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year ended December 31, 2025, the Company entered into a fifteen-year lease agreement, following a sixteen-month base rent abatement period, for the Company's headquarters. The base rent amount for the premises commences at $6.2 million per annum and is escalated by approximately 9% on the fifth anniversary of rent commencement and by an additional approximately 8% on the tenth anniversary of rent commencement. The lease is not set to commence until the Company moves to the new premises in 2026.</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ROU lease asset is $9.6 million and operating lease liability is $12.3 million. As of December 31, 2024, the ROU lease asset was $14.2 million and operating lease liability was $19.7 million.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our lease cost and other operating lease information:</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7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70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w:t>
            </w:r>
          </w:p>
        </w:tc>
        <w:tc>
          <w:tcPr>
            <w:tcW w:w="0" w:type="dxa"/>
            <w:vAlign w:val="bottom"/>
          </w:tcPr>
          <w:p>
            <w:pPr>
              <w:spacing w:after="0"/>
              <w:rPr>
                <w:sz w:val="1"/>
                <w:szCs w:val="1"/>
                <w:color w:val="auto"/>
              </w:rPr>
            </w:pPr>
          </w:p>
        </w:tc>
      </w:tr>
      <w:tr>
        <w:trPr>
          <w:trHeight w:val="22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leases liability</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0" w:type="dxa"/>
            <w:vAlign w:val="bottom"/>
          </w:tcPr>
          <w:p>
            <w:pPr>
              <w:spacing w:after="0"/>
              <w:rPr>
                <w:sz w:val="1"/>
                <w:szCs w:val="1"/>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lease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lease expiration dates ranged from 0.2 to 5.3 years for December 31, 2025 and from 0 to 3 years for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on operating leases at December 31, 2025 and December 31, 2024 was 2.0 years and 2.2 years,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weighted average discount rate used for the operating lease liability was 3.45% and 3.15% at December 31, 2025 and December 31, 2024, respectively.</w:t>
      </w: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40" w:name="page141"/>
    <w:bookmarkEnd w:id="140"/>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33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remaining commitments for operating lease payments for the next five years and thereafter, as well as a reconciliation to the discounted operating leases liability recorded in the Consolidated Statements of Financial Condition as of December 31, 2025:</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23"/>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operating lease payments</w:t>
            </w: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12,744</w:t>
            </w: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9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leases liability</w:t>
            </w:r>
          </w:p>
        </w:tc>
        <w:tc>
          <w:tcPr>
            <w:tcW w:w="9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12,255</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1" w:name="page142"/>
    <w:bookmarkEnd w:id="141"/>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hanging="492"/>
        <w:spacing w:after="0"/>
        <w:tabs>
          <w:tab w:leader="none" w:pos="50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GAAP, the Company performs an annual test as of June 30 to identify potential impairment of goodwill, or more frequently if events or</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circumstances indicate a potential impairment may exist. If the carrying amount of the Company, as a sole reporting unit, including goodwill, exceeds its fair value, an impairment loss is recognized in an amount equal to that excess up to the amount of the recorded goodwill.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performed its annual test based upon market data as of June 30, 2025 and estimates and assumptions that the Company believes most appropriate for the analysis. Based on the qualitative analysis performed in accordance with ASC 350, the Company determined it more likely than not that goodwill was not impaired as of June 30, 2025. Changes in certain assumptions used in the Company's assessment could result in significant differences in the results of the impairment test. Should market conditions or management’s assumptions change significantly in the future, an impairment to goodwill is possible.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2025 and December 31, 2024, the carrying amount of goodwill was $12.9 million.</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gross carrying amount of the core deposit intangible was $9.1 million, and the accumulated amortization of the core deposit intangible was $8.2 million and $7.6 million as of December 31, 2025 and December 31, 2024, respectively. At December 31, 2025 and December 31, 2024, the carrying amount of the core deposit intangible was $0.9 million and $1.5 million, respectively.</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recognized on the core deposit intangible was $574.0 thousand, $730.2 thousand and $887.7 thousand for the year ended December 31, 2025, December 31, 2024 and December 31, 2023,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amortization expense, comprised entirely by the Company’s core deposit intangible asset, for the next five years and thereafter: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r>
      <w:tr>
        <w:trPr>
          <w:trHeight w:val="229"/>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2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2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48"/>
        </w:trPr>
        <w:tc>
          <w:tcPr>
            <w:tcW w:w="2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42" w:name="page143"/>
    <w:bookmarkEnd w:id="142"/>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hanging="492"/>
        <w:spacing w:after="0"/>
        <w:tabs>
          <w:tab w:leader="none" w:pos="5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VARIABLE INTEREST ENTITIES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Credit Investments</w:t>
      </w:r>
    </w:p>
    <w:p>
      <w:pPr>
        <w:spacing w:after="0" w:line="25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makes investments in unconsolidated entities that construct, own and operate solar generation facilities. An unrelated third party is the managing member and has control over the significant activities of the variable interest entities ("VIE"). The Company generates a return through the receipt of tax credits allocated to the projects, as well as operational distributions. The primary risk of loss is generally mitigated by policies requiring that the project qualify for the expected tax credits prior to the Company making its investment. Any loans to the VIE are secured. As of December 31, 2025, the Company's maximum exposure to loss is $49.5 million.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6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20"/>
                <w:szCs w:val="20"/>
                <w:color w:val="auto"/>
              </w:rPr>
            </w:pPr>
          </w:p>
        </w:tc>
        <w:tc>
          <w:tcPr>
            <w:tcW w:w="2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60" w:type="dxa"/>
            <w:vAlign w:val="bottom"/>
          </w:tcPr>
          <w:p>
            <w:pPr>
              <w:spacing w:after="0"/>
              <w:rPr>
                <w:sz w:val="20"/>
                <w:szCs w:val="20"/>
                <w:color w:val="auto"/>
              </w:rPr>
            </w:pPr>
          </w:p>
        </w:tc>
        <w:tc>
          <w:tcPr>
            <w:tcW w:w="1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600" w:type="dxa"/>
            <w:vAlign w:val="bottom"/>
            <w:gridSpan w:val="2"/>
            <w:vMerge w:val="continue"/>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Unconsolidated Variable Interest Entities</w:t>
            </w:r>
          </w:p>
        </w:tc>
        <w:tc>
          <w:tcPr>
            <w:tcW w:w="2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credit investments included in equity investments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Loan commitments</w:t>
            </w:r>
          </w:p>
        </w:tc>
        <w:tc>
          <w:tcPr>
            <w:tcW w:w="2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Funded portion of loan commitments</w:t>
            </w:r>
          </w:p>
        </w:tc>
        <w:tc>
          <w:tcPr>
            <w:tcW w:w="2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49,744</w:t>
            </w: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disclosures related to commitments for investment obligations related to tax credit investments, see Note 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tax benefits conveyed by the Company’s solar generation VIE investments: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538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5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credits and other tax benefits recognized in equity method</w:t>
            </w: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38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investments income </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0" w:type="dxa"/>
            <w:vAlign w:val="bottom"/>
          </w:tcPr>
          <w:p>
            <w:pPr>
              <w:spacing w:after="0"/>
              <w:rPr>
                <w:sz w:val="1"/>
                <w:szCs w:val="1"/>
                <w:color w:val="auto"/>
              </w:rPr>
            </w:pPr>
          </w:p>
        </w:tc>
      </w:tr>
      <w:tr>
        <w:trPr>
          <w:trHeight w:val="229"/>
        </w:trPr>
        <w:tc>
          <w:tcPr>
            <w:tcW w:w="53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Tax credits and other tax benefits recognized in income tax expense </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Investment amortization recognized in income tax expense</w:t>
            </w:r>
            <w:r>
              <w:rPr>
                <w:rFonts w:ascii="Times New Roman" w:cs="Times New Roman" w:eastAsia="Times New Roman" w:hAnsi="Times New Roman"/>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Related to equity investments that do not qualify for PAM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6515100"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1510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xml:space="preserve"> Related to equity investments that do qualify for PAM</w:t>
      </w:r>
    </w:p>
    <w:p>
      <w:pPr>
        <w:spacing w:after="0" w:line="2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shows the cash flows related to the total income tax benefits presented in the line items in the Consolidated Statements of Cash Flows for investments accounted for using the PAM:</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8"/>
        </w:trPr>
        <w:tc>
          <w:tcPr>
            <w:tcW w:w="7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0" w:type="dxa"/>
            <w:vAlign w:val="bottom"/>
          </w:tcPr>
          <w:p>
            <w:pPr>
              <w:spacing w:after="0"/>
              <w:rPr>
                <w:sz w:val="1"/>
                <w:szCs w:val="1"/>
                <w:color w:val="auto"/>
              </w:rPr>
            </w:pPr>
          </w:p>
        </w:tc>
      </w:tr>
      <w:tr>
        <w:trPr>
          <w:trHeight w:val="159"/>
        </w:trPr>
        <w:tc>
          <w:tcPr>
            <w:tcW w:w="7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center"/>
              <w:ind w:left="810"/>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ind w:left="790"/>
              <w:spacing w:after="0"/>
              <w:rPr>
                <w:sz w:val="20"/>
                <w:szCs w:val="20"/>
                <w:color w:val="auto"/>
              </w:rPr>
            </w:pPr>
            <w:r>
              <w:rPr>
                <w:rFonts w:ascii="Times New Roman" w:cs="Times New Roman" w:eastAsia="Times New Roman" w:hAnsi="Times New Roman"/>
                <w:sz w:val="18"/>
                <w:szCs w:val="18"/>
                <w:color w:val="auto"/>
                <w:w w:val="98"/>
              </w:rPr>
              <w:t>(5,242)</w:t>
            </w:r>
          </w:p>
        </w:tc>
        <w:tc>
          <w:tcPr>
            <w:tcW w:w="0" w:type="dxa"/>
            <w:vAlign w:val="bottom"/>
          </w:tcPr>
          <w:p>
            <w:pPr>
              <w:spacing w:after="0"/>
              <w:rPr>
                <w:sz w:val="1"/>
                <w:szCs w:val="1"/>
                <w:color w:val="auto"/>
              </w:rPr>
            </w:pPr>
          </w:p>
        </w:tc>
      </w:tr>
      <w:tr>
        <w:trPr>
          <w:trHeight w:val="234"/>
        </w:trPr>
        <w:tc>
          <w:tcPr>
            <w:tcW w:w="7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Increase in other assets</w:t>
            </w:r>
          </w:p>
        </w:tc>
        <w:tc>
          <w:tcPr>
            <w:tcW w:w="220" w:type="dxa"/>
            <w:vAlign w:val="bottom"/>
          </w:tcPr>
          <w:p>
            <w:pPr>
              <w:spacing w:after="0"/>
              <w:rPr>
                <w:sz w:val="20"/>
                <w:szCs w:val="20"/>
                <w:color w:val="auto"/>
              </w:rPr>
            </w:pPr>
          </w:p>
        </w:tc>
        <w:tc>
          <w:tcPr>
            <w:tcW w:w="14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6,693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3" w:name="page144"/>
    <w:bookmarkEnd w:id="143"/>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hanging="492"/>
        <w:spacing w:after="0"/>
        <w:tabs>
          <w:tab w:leader="none" w:pos="50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PARENT COMPANY ONLY CONDENSED FINANCIAL INFORMATION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financial information of Amalgamated Financial Corp.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35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CONDENSED BALANCE SHEET</w:t>
            </w:r>
          </w:p>
        </w:tc>
        <w:tc>
          <w:tcPr>
            <w:tcW w:w="18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80" w:type="dxa"/>
            <w:vAlign w:val="bottom"/>
          </w:tcPr>
          <w:p>
            <w:pPr>
              <w:spacing w:after="0"/>
              <w:rPr>
                <w:sz w:val="20"/>
                <w:szCs w:val="20"/>
                <w:color w:val="auto"/>
              </w:rPr>
            </w:pPr>
          </w:p>
        </w:tc>
        <w:tc>
          <w:tcPr>
            <w:tcW w:w="176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9"/>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3860" w:type="dxa"/>
            <w:vAlign w:val="bottom"/>
            <w:vMerge w:val="continue"/>
          </w:tcPr>
          <w:p>
            <w:pPr>
              <w:spacing w:after="0"/>
              <w:rPr>
                <w:sz w:val="13"/>
                <w:szCs w:val="13"/>
                <w:color w:val="auto"/>
              </w:rPr>
            </w:pPr>
          </w:p>
        </w:tc>
        <w:tc>
          <w:tcPr>
            <w:tcW w:w="33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Investment securities</w:t>
            </w:r>
          </w:p>
        </w:tc>
        <w:tc>
          <w:tcPr>
            <w:tcW w:w="33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 banking subsidiary</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721,911</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0" w:type="dxa"/>
            <w:vAlign w:val="bottom"/>
          </w:tcPr>
          <w:p>
            <w:pPr>
              <w:spacing w:after="0"/>
              <w:rPr>
                <w:sz w:val="1"/>
                <w:szCs w:val="1"/>
                <w:color w:val="auto"/>
              </w:rPr>
            </w:pPr>
          </w:p>
        </w:tc>
      </w:tr>
      <w:tr>
        <w:trPr>
          <w:trHeight w:val="223"/>
        </w:trPr>
        <w:tc>
          <w:tcPr>
            <w:tcW w:w="3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assets</w:t>
            </w:r>
          </w:p>
        </w:tc>
        <w:tc>
          <w:tcPr>
            <w:tcW w:w="3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772,048</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60" w:type="dxa"/>
            <w:vAlign w:val="bottom"/>
            <w:shd w:val="clear" w:color="auto" w:fill="CCEEFF"/>
          </w:tcPr>
          <w:p>
            <w:pPr>
              <w:spacing w:after="0"/>
              <w:rPr>
                <w:sz w:val="20"/>
                <w:szCs w:val="20"/>
                <w:color w:val="auto"/>
              </w:rPr>
            </w:pPr>
          </w:p>
        </w:tc>
        <w:tc>
          <w:tcPr>
            <w:tcW w:w="33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Subordinated debt</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63,703</w:t>
            </w:r>
          </w:p>
        </w:tc>
        <w:tc>
          <w:tcPr>
            <w:tcW w:w="0" w:type="dxa"/>
            <w:vAlign w:val="bottom"/>
          </w:tcPr>
          <w:p>
            <w:pPr>
              <w:spacing w:after="0"/>
              <w:rPr>
                <w:sz w:val="1"/>
                <w:szCs w:val="1"/>
                <w:color w:val="auto"/>
              </w:rPr>
            </w:pPr>
          </w:p>
        </w:tc>
      </w:tr>
      <w:tr>
        <w:trPr>
          <w:trHeight w:val="229"/>
        </w:trPr>
        <w:tc>
          <w:tcPr>
            <w:tcW w:w="3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 and other liabilities</w:t>
            </w:r>
          </w:p>
        </w:tc>
        <w:tc>
          <w:tcPr>
            <w:tcW w:w="3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Stockholders' equity</w:t>
            </w:r>
          </w:p>
        </w:tc>
        <w:tc>
          <w:tcPr>
            <w:tcW w:w="33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794,464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0" w:type="dxa"/>
            <w:vAlign w:val="bottom"/>
          </w:tcPr>
          <w:p>
            <w:pPr>
              <w:spacing w:after="0"/>
              <w:rPr>
                <w:sz w:val="1"/>
                <w:szCs w:val="1"/>
                <w:color w:val="auto"/>
              </w:rPr>
            </w:pPr>
          </w:p>
        </w:tc>
      </w:tr>
      <w:tr>
        <w:trPr>
          <w:trHeight w:val="223"/>
        </w:trPr>
        <w:tc>
          <w:tcPr>
            <w:tcW w:w="38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3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859,303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772,048</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19"/>
                <w:szCs w:val="19"/>
                <w:color w:val="auto"/>
              </w:rPr>
            </w:pPr>
          </w:p>
        </w:tc>
        <w:tc>
          <w:tcPr>
            <w:tcW w:w="694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CONDENSED STATEMENTS OF INCOME AND COMPREHENSIVE INCOME</w:t>
            </w: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4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8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2360" w:type="dxa"/>
            <w:vAlign w:val="bottom"/>
            <w:vMerge w:val="continue"/>
          </w:tcPr>
          <w:p>
            <w:pPr>
              <w:spacing w:after="0"/>
              <w:rPr>
                <w:sz w:val="13"/>
                <w:szCs w:val="13"/>
                <w:color w:val="auto"/>
              </w:rPr>
            </w:pPr>
          </w:p>
        </w:tc>
        <w:tc>
          <w:tcPr>
            <w:tcW w:w="2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236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080" w:type="dxa"/>
            <w:vAlign w:val="bottom"/>
            <w:gridSpan w:val="2"/>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from subsidiaries</w:t>
            </w:r>
          </w:p>
        </w:tc>
        <w:tc>
          <w:tcPr>
            <w:tcW w:w="28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30"/>
        </w:trPr>
        <w:tc>
          <w:tcPr>
            <w:tcW w:w="6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Equity in undistributed subsidiary income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57,332</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68,628</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30,170</w:t>
            </w:r>
          </w:p>
        </w:tc>
        <w:tc>
          <w:tcPr>
            <w:tcW w:w="0" w:type="dxa"/>
            <w:vAlign w:val="bottom"/>
          </w:tcPr>
          <w:p>
            <w:pPr>
              <w:spacing w:after="0"/>
              <w:rPr>
                <w:sz w:val="1"/>
                <w:szCs w:val="1"/>
                <w:color w:val="auto"/>
              </w:rPr>
            </w:pPr>
          </w:p>
        </w:tc>
      </w:tr>
      <w:tr>
        <w:trPr>
          <w:trHeight w:val="229"/>
        </w:trPr>
        <w:tc>
          <w:tcPr>
            <w:tcW w:w="2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2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tax expense</w:t>
            </w:r>
          </w:p>
        </w:tc>
        <w:tc>
          <w:tcPr>
            <w:tcW w:w="28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103,404</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105,632</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87,199</w:t>
            </w:r>
          </w:p>
        </w:tc>
        <w:tc>
          <w:tcPr>
            <w:tcW w:w="0" w:type="dxa"/>
            <w:vAlign w:val="bottom"/>
          </w:tcPr>
          <w:p>
            <w:pPr>
              <w:spacing w:after="0"/>
              <w:rPr>
                <w:sz w:val="1"/>
                <w:szCs w:val="1"/>
                <w:color w:val="auto"/>
              </w:rPr>
            </w:pPr>
          </w:p>
        </w:tc>
      </w:tr>
      <w:tr>
        <w:trPr>
          <w:trHeight w:val="230"/>
        </w:trPr>
        <w:tc>
          <w:tcPr>
            <w:tcW w:w="2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88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0" w:type="dxa"/>
            <w:vAlign w:val="bottom"/>
          </w:tcPr>
          <w:p>
            <w:pPr>
              <w:spacing w:after="0"/>
              <w:rPr>
                <w:sz w:val="1"/>
                <w:szCs w:val="1"/>
                <w:color w:val="auto"/>
              </w:rPr>
            </w:pPr>
          </w:p>
        </w:tc>
      </w:tr>
      <w:tr>
        <w:trPr>
          <w:trHeight w:val="248"/>
        </w:trPr>
        <w:tc>
          <w:tcPr>
            <w:tcW w:w="2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28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87,978</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4080" w:type="dxa"/>
            <w:vAlign w:val="bottom"/>
            <w:tcBorders>
              <w:top w:val="single" w:sz="8" w:color="CCEEFF"/>
            </w:tcBorders>
            <w:gridSpan w:val="2"/>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360" w:type="dxa"/>
            <w:vAlign w:val="bottom"/>
          </w:tcPr>
          <w:p>
            <w:pPr>
              <w:ind w:left="360"/>
              <w:spacing w:after="0" w:line="203" w:lineRule="exact"/>
              <w:rPr>
                <w:sz w:val="20"/>
                <w:szCs w:val="20"/>
                <w:color w:val="auto"/>
              </w:rPr>
            </w:pPr>
            <w:r>
              <w:rPr>
                <w:rFonts w:ascii="Times New Roman" w:cs="Times New Roman" w:eastAsia="Times New Roman" w:hAnsi="Times New Roman"/>
                <w:sz w:val="18"/>
                <w:szCs w:val="18"/>
                <w:color w:val="auto"/>
              </w:rPr>
              <w:t>Comprehensive income</w:t>
            </w:r>
          </w:p>
        </w:tc>
        <w:tc>
          <w:tcPr>
            <w:tcW w:w="2880" w:type="dxa"/>
            <w:vAlign w:val="bottom"/>
          </w:tcPr>
          <w:p>
            <w:pPr>
              <w:spacing w:after="0"/>
              <w:rPr>
                <w:sz w:val="17"/>
                <w:szCs w:val="17"/>
                <w:color w:val="auto"/>
              </w:rPr>
            </w:pPr>
          </w:p>
        </w:tc>
        <w:tc>
          <w:tcPr>
            <w:tcW w:w="1200" w:type="dxa"/>
            <w:vAlign w:val="bottom"/>
            <w:tcBorders>
              <w:top w:val="single" w:sz="8" w:color="auto"/>
              <w:bottom w:val="single" w:sz="8" w:color="auto"/>
            </w:tcBorders>
          </w:tcPr>
          <w:p>
            <w:pPr>
              <w:jc w:val="right"/>
              <w:ind w:right="9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130,996</w:t>
            </w:r>
          </w:p>
        </w:tc>
        <w:tc>
          <w:tcPr>
            <w:tcW w:w="14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133,801</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110,681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3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type w:val="continuous"/>
        </w:sectPr>
      </w:pPr>
    </w:p>
    <w:bookmarkStart w:id="144" w:name="page145"/>
    <w:bookmarkEnd w:id="144"/>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gridSpan w:val="2"/>
          </w:tcPr>
          <w:p>
            <w:pPr>
              <w:ind w:left="3720"/>
              <w:spacing w:after="0"/>
              <w:rPr>
                <w:sz w:val="20"/>
                <w:szCs w:val="20"/>
                <w:color w:val="auto"/>
              </w:rPr>
            </w:pPr>
            <w:r>
              <w:rPr>
                <w:rFonts w:ascii="Times New Roman" w:cs="Times New Roman" w:eastAsia="Times New Roman" w:hAnsi="Times New Roman"/>
                <w:sz w:val="18"/>
                <w:szCs w:val="18"/>
                <w:b w:val="1"/>
                <w:bCs w:val="1"/>
                <w:color w:val="auto"/>
                <w:w w:val="99"/>
              </w:rPr>
              <w:t>CONDENSED STATEMENT OF CASH FLOWS</w:t>
            </w:r>
          </w:p>
        </w:tc>
        <w:tc>
          <w:tcPr>
            <w:tcW w:w="2720" w:type="dxa"/>
            <w:vAlign w:val="bottom"/>
            <w:gridSpan w:val="6"/>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vMerge w:val="continue"/>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59"/>
        </w:trPr>
        <w:tc>
          <w:tcPr>
            <w:tcW w:w="716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7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104,447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106,434</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87,978</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Equity in undistributed subsidiary income</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(68,628)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(30,170)</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gain on repurchase of subordinated debt</w:t>
            </w:r>
          </w:p>
        </w:tc>
        <w:tc>
          <w:tcPr>
            <w:tcW w:w="4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0" w:type="dxa"/>
            <w:vAlign w:val="bottom"/>
          </w:tcPr>
          <w:p>
            <w:pPr>
              <w:spacing w:after="0"/>
              <w:rPr>
                <w:sz w:val="1"/>
                <w:szCs w:val="1"/>
                <w:color w:val="auto"/>
              </w:rPr>
            </w:pPr>
          </w:p>
        </w:tc>
      </w:tr>
      <w:tr>
        <w:trPr>
          <w:trHeight w:val="229"/>
        </w:trPr>
        <w:tc>
          <w:tcPr>
            <w:tcW w:w="71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amortization on subordinated debt issuance cost</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other assets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other liabilities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51,652</w:t>
            </w:r>
          </w:p>
        </w:tc>
        <w:tc>
          <w:tcPr>
            <w:tcW w:w="0" w:type="dxa"/>
            <w:vAlign w:val="bottom"/>
          </w:tcPr>
          <w:p>
            <w:pPr>
              <w:spacing w:after="0"/>
              <w:rPr>
                <w:sz w:val="1"/>
                <w:szCs w:val="1"/>
                <w:color w:val="auto"/>
              </w:rPr>
            </w:pPr>
          </w:p>
        </w:tc>
      </w:tr>
      <w:tr>
        <w:trPr>
          <w:trHeight w:val="250"/>
        </w:trPr>
        <w:tc>
          <w:tcPr>
            <w:tcW w:w="7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securities held-to-maturity</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160" w:type="dxa"/>
            <w:vAlign w:val="bottom"/>
            <w:tcBorders>
              <w:top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(12,333)</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w:t>
            </w:r>
          </w:p>
        </w:tc>
        <w:tc>
          <w:tcPr>
            <w:tcW w:w="0" w:type="dxa"/>
            <w:vAlign w:val="bottom"/>
          </w:tcPr>
          <w:p>
            <w:pPr>
              <w:spacing w:after="0"/>
              <w:rPr>
                <w:sz w:val="1"/>
                <w:szCs w:val="1"/>
                <w:color w:val="auto"/>
              </w:rPr>
            </w:pPr>
          </w:p>
        </w:tc>
      </w:tr>
      <w:tr>
        <w:trPr>
          <w:trHeight w:val="229"/>
        </w:trPr>
        <w:tc>
          <w:tcPr>
            <w:tcW w:w="7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 of subordinated debt</w:t>
            </w:r>
          </w:p>
        </w:tc>
        <w:tc>
          <w:tcPr>
            <w:tcW w:w="42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w:t>
            </w:r>
          </w:p>
        </w:tc>
        <w:tc>
          <w:tcPr>
            <w:tcW w:w="0" w:type="dxa"/>
            <w:vAlign w:val="bottom"/>
          </w:tcPr>
          <w:p>
            <w:pPr>
              <w:spacing w:after="0"/>
              <w:rPr>
                <w:sz w:val="1"/>
                <w:szCs w:val="1"/>
                <w:color w:val="auto"/>
              </w:rPr>
            </w:pPr>
          </w:p>
        </w:tc>
      </w:tr>
      <w:tr>
        <w:trPr>
          <w:trHeight w:val="230"/>
        </w:trPr>
        <w:tc>
          <w:tcPr>
            <w:tcW w:w="7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Common stock issued under Equity Programs</w:t>
            </w:r>
          </w:p>
        </w:tc>
        <w:tc>
          <w:tcPr>
            <w:tcW w:w="4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0" w:type="dxa"/>
            <w:vAlign w:val="bottom"/>
          </w:tcPr>
          <w:p>
            <w:pPr>
              <w:spacing w:after="0"/>
              <w:rPr>
                <w:sz w:val="1"/>
                <w:szCs w:val="1"/>
                <w:color w:val="auto"/>
              </w:rPr>
            </w:pPr>
          </w:p>
        </w:tc>
      </w:tr>
      <w:tr>
        <w:trPr>
          <w:trHeight w:val="223"/>
        </w:trPr>
        <w:tc>
          <w:tcPr>
            <w:tcW w:w="716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Net cash used by financing activities</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(50,891)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(27,119)</w:t>
            </w:r>
          </w:p>
        </w:tc>
        <w:tc>
          <w:tcPr>
            <w:tcW w:w="0" w:type="dxa"/>
            <w:vAlign w:val="bottom"/>
          </w:tcPr>
          <w:p>
            <w:pPr>
              <w:spacing w:after="0"/>
              <w:rPr>
                <w:sz w:val="1"/>
                <w:szCs w:val="1"/>
                <w:color w:val="auto"/>
              </w:rPr>
            </w:pPr>
          </w:p>
        </w:tc>
      </w:tr>
      <w:tr>
        <w:trPr>
          <w:trHeight w:val="223"/>
        </w:trPr>
        <w:tc>
          <w:tcPr>
            <w:tcW w:w="71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4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24,533</w:t>
            </w:r>
          </w:p>
        </w:tc>
        <w:tc>
          <w:tcPr>
            <w:tcW w:w="0" w:type="dxa"/>
            <w:vAlign w:val="bottom"/>
          </w:tcPr>
          <w:p>
            <w:pPr>
              <w:spacing w:after="0"/>
              <w:rPr>
                <w:sz w:val="1"/>
                <w:szCs w:val="1"/>
                <w:color w:val="auto"/>
              </w:rPr>
            </w:pPr>
          </w:p>
        </w:tc>
      </w:tr>
      <w:tr>
        <w:trPr>
          <w:trHeight w:val="230"/>
        </w:trPr>
        <w:tc>
          <w:tcPr>
            <w:tcW w:w="7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4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10,884</w:t>
            </w:r>
          </w:p>
        </w:tc>
        <w:tc>
          <w:tcPr>
            <w:tcW w:w="0" w:type="dxa"/>
            <w:vAlign w:val="bottom"/>
          </w:tcPr>
          <w:p>
            <w:pPr>
              <w:spacing w:after="0"/>
              <w:rPr>
                <w:sz w:val="1"/>
                <w:szCs w:val="1"/>
                <w:color w:val="auto"/>
              </w:rPr>
            </w:pPr>
          </w:p>
        </w:tc>
      </w:tr>
      <w:tr>
        <w:trPr>
          <w:trHeight w:val="248"/>
        </w:trPr>
        <w:tc>
          <w:tcPr>
            <w:tcW w:w="7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35,417</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5" w:name="page146"/>
    <w:bookmarkEnd w:id="145"/>
    <w:p>
      <w:pPr>
        <w:ind w:left="20"/>
        <w:spacing w:after="0"/>
        <w:rPr>
          <w:sz w:val="20"/>
          <w:szCs w:val="20"/>
          <w:color w:val="auto"/>
        </w:rPr>
      </w:pPr>
      <w:r>
        <w:rPr>
          <w:rFonts w:ascii="Times New Roman" w:cs="Times New Roman" w:eastAsia="Times New Roman" w:hAnsi="Times New Roman"/>
          <w:sz w:val="22"/>
          <w:szCs w:val="22"/>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00" w:hanging="492"/>
        <w:spacing w:after="0"/>
        <w:tabs>
          <w:tab w:leader="none" w:pos="500" w:val="left"/>
        </w:tabs>
        <w:numPr>
          <w:ilvl w:val="0"/>
          <w:numId w:val="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 INFORMATION</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reportable segment is determined by the Chief Executive Officer, who is the designated chief operating decision maker, based upon information provided about the Company's products and services offered, primarily banking operations. Substantially all of our operations occur through the Bank and involve the delivery of loan and deposit products to customers. Management makes operating decisions and assesses performance based on an ongoing review of its banking operation, which constitutes our only operating segment for financial reporting purposes. We do not consider our trust and investment management business as a separate segment. The accounting policies of the Company's segment are the same as those described in the Note 1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Stockholders and the Board of Directors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Amalgamated Financial Corp.</w:t>
      </w:r>
    </w:p>
    <w:p>
      <w:pPr>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statements of financial condition of Amalgamated Financial Corp. (the "Company") as of December 31, 2025 and 2024, the related consolidated statements of income, comprehensive income (loss), changes in stockholders’ equity, and cash flows for each of the years in the three-year period ended December 31, 2025, and the related notes (collectively referred to as the "financial statements"). We also have audited the Company’s internal control over financial reporting as of December 31, 2025, based on criteria established in Internal Control – Integrated Framework: (2013) issued by the Committee of Sponsoring Organizations of the Treadway Commission (“COSO”).</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Internal Control – Integrated Framework: (2013) issued by COSO.</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3"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for Loans – Conceptual Design and Qualitative Factors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in Notes 1 and 5 to the financial statements, the Company estimates expected credit losses for its financial assets carried at amortized cost utilizing the current expected credit loss (“CECL”) methodology. During the year ended December 31, 2025, the Company enhanced its allowance for credit losses calculation for loans ("ACL"), which included a change in the ACL software vendor, the development of certain new ACL assumptions, and updates to existing ACL assumptions.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estimates the allowance for credit losses on each loan pool using relevant available information, from internal and external sources, relating to past events, current conditions, and reasonable and supportable forecasts.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ACL model, for portfolios other than the consumer solar loan portfolio segment, calculates the quantitative component of the ACL using a discounted cash flow methodology that utilizes a peer group by segment to develop periodic default rates, and statistical regression is utilized to relate historical macro-economic variables to historical credit loss experience of that peer group of banks. Forecasted economic conditions are then utilized to determine future expected credit losses based on expected future behavior of the same macro-economic variables. Expected credit losses are estimated over the contractual term of the loans, adjusted for forecasted prepayments when appropriate. The ACL model for the consumer solar loan portfolio calculates the quantitative component of the ACL using a weighted average remaining maturity model that utilizes the Company’s historical loss rates and forecasts those losses over the weighted average remaining maturity of the portfolio.</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Adjustments to the quantitative results are made using qualitative factors. These factors include: (1) borrower's financial condition; (2) borrower's ability to pay; (3) nature and volume of financial assets; (4) value of the underlying collateral; (5) lending policies and procedures;</w:t>
      </w:r>
    </w:p>
    <w:p>
      <w:pPr>
        <w:spacing w:after="0" w:line="2" w:lineRule="exact"/>
        <w:rPr>
          <w:sz w:val="20"/>
          <w:szCs w:val="20"/>
          <w:color w:val="auto"/>
        </w:rPr>
      </w:pPr>
    </w:p>
    <w:p>
      <w:pPr>
        <w:jc w:val="both"/>
        <w:ind w:firstLine="8"/>
        <w:spacing w:after="0" w:line="258" w:lineRule="auto"/>
        <w:tabs>
          <w:tab w:leader="none" w:pos="294" w:val="left"/>
        </w:tabs>
        <w:numPr>
          <w:ilvl w:val="0"/>
          <w:numId w:val="42"/>
        </w:numPr>
        <w:rPr>
          <w:rFonts w:ascii="Arial" w:cs="Arial" w:eastAsia="Arial" w:hAnsi="Arial"/>
          <w:sz w:val="18"/>
          <w:szCs w:val="18"/>
          <w:color w:val="auto"/>
        </w:rPr>
      </w:pPr>
      <w:r>
        <w:rPr>
          <w:rFonts w:ascii="Arial" w:cs="Arial" w:eastAsia="Arial" w:hAnsi="Arial"/>
          <w:sz w:val="18"/>
          <w:szCs w:val="18"/>
          <w:color w:val="auto"/>
        </w:rPr>
        <w:t>quality of the loan review system; (7) the experience, ability, and depth of staff; (8) regulatory and legal environment; (9) changes in market conditions; and (10) changes in economic conditions. A significant amount of management judgment is required to assess the reasonableness of the qualitative factors.</w:t>
      </w:r>
    </w:p>
    <w:p>
      <w:pPr>
        <w:spacing w:after="0" w:line="20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We identified the auditing of the conceptual soundness in the design of the new discounted cash flow ACL model, including the evaluation of key management judgments, and the qualitative factor determinations related to the allowance</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8" w:name="page149"/>
    <w:bookmarkEnd w:id="148"/>
    <w:p>
      <w:pPr>
        <w:jc w:val="both"/>
        <w:spacing w:after="0" w:line="262" w:lineRule="auto"/>
        <w:rPr>
          <w:sz w:val="20"/>
          <w:szCs w:val="20"/>
          <w:color w:val="auto"/>
        </w:rPr>
      </w:pPr>
      <w:r>
        <w:rPr>
          <w:rFonts w:ascii="Arial" w:cs="Arial" w:eastAsia="Arial" w:hAnsi="Arial"/>
          <w:sz w:val="18"/>
          <w:szCs w:val="18"/>
          <w:color w:val="auto"/>
        </w:rPr>
        <w:t>for credit losses for loans as a critical audit matter. A significant amount of auditor judgment was required to evaluate the reasonableness of management’s judgments related to the development of the discounted cash flow quantitative model, including the selection of the macroeconomic variables and the translation of peer loss data within the regression modeling. In addition, significant auditor judgment was required to assess the reasonableness of the qualitative factors applied to the quantitative modeling results.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primary procedures we performed to address the critical audit matter included:</w:t>
      </w:r>
    </w:p>
    <w:p>
      <w:pPr>
        <w:spacing w:after="0" w:line="239" w:lineRule="exact"/>
        <w:rPr>
          <w:sz w:val="20"/>
          <w:szCs w:val="20"/>
          <w:color w:val="auto"/>
        </w:rPr>
      </w:pPr>
    </w:p>
    <w:p>
      <w:pPr>
        <w:ind w:left="660" w:hanging="328"/>
        <w:spacing w:after="0" w:line="245" w:lineRule="auto"/>
        <w:tabs>
          <w:tab w:leader="none" w:pos="65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Testing the effectiveness of controls over the evaluation of the conceptual design of the new discounted cash flow ACL model and the evaluation of the qualitative factors, including controls addressing:</w:t>
      </w:r>
    </w:p>
    <w:p>
      <w:pPr>
        <w:ind w:left="1340" w:hanging="360"/>
        <w:spacing w:after="0" w:line="232" w:lineRule="auto"/>
        <w:tabs>
          <w:tab w:leader="none" w:pos="1340" w:val="left"/>
        </w:tabs>
        <w:numPr>
          <w:ilvl w:val="1"/>
          <w:numId w:val="43"/>
        </w:numPr>
        <w:rPr>
          <w:rFonts w:ascii="Courier New" w:cs="Courier New" w:eastAsia="Courier New" w:hAnsi="Courier New"/>
          <w:sz w:val="18"/>
          <w:szCs w:val="18"/>
          <w:color w:val="auto"/>
        </w:rPr>
      </w:pPr>
      <w:r>
        <w:rPr>
          <w:rFonts w:ascii="Arial" w:cs="Arial" w:eastAsia="Arial" w:hAnsi="Arial"/>
          <w:sz w:val="18"/>
          <w:szCs w:val="18"/>
          <w:color w:val="auto"/>
        </w:rPr>
        <w:t>Management’s judgments in the design of the new discounted cash flow ACL model, including the selection of the</w:t>
      </w:r>
    </w:p>
    <w:p>
      <w:pPr>
        <w:ind w:left="1300"/>
        <w:spacing w:after="0" w:line="235" w:lineRule="auto"/>
        <w:rPr>
          <w:sz w:val="20"/>
          <w:szCs w:val="20"/>
          <w:color w:val="auto"/>
        </w:rPr>
      </w:pPr>
      <w:r>
        <w:rPr>
          <w:rFonts w:ascii="Arial" w:cs="Arial" w:eastAsia="Arial" w:hAnsi="Arial"/>
          <w:sz w:val="18"/>
          <w:szCs w:val="18"/>
          <w:color w:val="auto"/>
        </w:rPr>
        <w:t>macroeconomic variables and the translation of peer loss data within the regression modeling.</w:t>
      </w:r>
    </w:p>
    <w:p>
      <w:pPr>
        <w:ind w:left="1300" w:hanging="320"/>
        <w:spacing w:after="0" w:line="235"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Management’s review of the results of the third-party model validation.</w:t>
      </w:r>
    </w:p>
    <w:p>
      <w:pPr>
        <w:ind w:left="1300" w:hanging="320"/>
        <w:spacing w:after="0" w:line="23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Management’s reconciliation and testing of loan data inputs into the model.</w:t>
      </w:r>
    </w:p>
    <w:p>
      <w:pPr>
        <w:ind w:left="1300" w:hanging="320"/>
        <w:spacing w:after="0"/>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Management’s review and approval of the qualitative factors.</w:t>
      </w:r>
    </w:p>
    <w:p>
      <w:pPr>
        <w:spacing w:after="0" w:line="207" w:lineRule="exact"/>
        <w:rPr>
          <w:rFonts w:ascii="Arial" w:cs="Arial" w:eastAsia="Arial" w:hAnsi="Arial"/>
          <w:sz w:val="18"/>
          <w:szCs w:val="18"/>
          <w:color w:val="auto"/>
        </w:rPr>
      </w:pPr>
    </w:p>
    <w:p>
      <w:pPr>
        <w:ind w:left="660" w:hanging="328"/>
        <w:spacing w:after="0" w:line="245"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Substantively testing management’s process related to the conceptual design of the new discounted cash flow ACL model and determination of qualitative factors, which included:</w:t>
      </w:r>
    </w:p>
    <w:p>
      <w:pPr>
        <w:jc w:val="both"/>
        <w:ind w:left="1300" w:hanging="320"/>
        <w:spacing w:after="0" w:line="234" w:lineRule="auto"/>
        <w:tabs>
          <w:tab w:leader="none" w:pos="1323"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Evaluation, with the assistance of internal specialists, of the reasonableness of management’s judgments related to the conceptual design of the new discounted cash flow ACL model, including the selection of the macroeconomic variables and the translation of peer loss data within the regression modeling.</w:t>
      </w:r>
    </w:p>
    <w:p>
      <w:pPr>
        <w:spacing w:after="0" w:line="2" w:lineRule="exact"/>
        <w:rPr>
          <w:rFonts w:ascii="Arial" w:cs="Arial" w:eastAsia="Arial" w:hAnsi="Arial"/>
          <w:sz w:val="18"/>
          <w:szCs w:val="18"/>
          <w:color w:val="auto"/>
        </w:rPr>
      </w:pPr>
    </w:p>
    <w:p>
      <w:pPr>
        <w:ind w:left="1300" w:hanging="320"/>
        <w:spacing w:after="0" w:line="234"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Evaluation of the relevance and reliability of data utilized in the model, including reconciliation and testing of loan data inputs.</w:t>
      </w:r>
    </w:p>
    <w:p>
      <w:pPr>
        <w:ind w:left="1300" w:hanging="320"/>
        <w:spacing w:after="0" w:line="250" w:lineRule="auto"/>
        <w:tabs>
          <w:tab w:leader="none" w:pos="1337"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Evaluation of the reasonableness of management’s judgments related to qualitative factors to determine if they are calculated to conform with management’s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Crowe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Livingston, New Jersey</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5, 2026</w:t>
      </w:r>
    </w:p>
    <w:p>
      <w:pPr>
        <w:sectPr>
          <w:pgSz w:w="11900" w:h="16838" w:orient="portrait"/>
          <w:cols w:equalWidth="0" w:num="1">
            <w:col w:w="11240"/>
          </w:cols>
          <w:pgMar w:left="32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Chief Executive Officer (principal executive officer) and Chief Financial Officer (principal financial officer), with the participation of other members of management, have evaluated the effectiveness of our disclosure controls and procedures (as defined in Rules 13a-15(e) and 15d-15(e)) under the Exchange Act, as of the end of the period covered by this report. Based on such evaluations, our Chief Executive Officer and Chief Financial Officer concluded that, as of such date, our disclosure controls and procedures were effective (at the reasonable assurance level) to ensure that the information required to be included in this report has been recorded, processed, summarized and reported within the time periods specified in the SEC’s rules and forms and to ensure that the information required to be included in this report was accumulated and communicated to management, including our Chief Executive Officer and Chief Financial Officer, to allow timely decisions regarding required disclosure.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December 31, 2025 that have materially affected, or are reasonably likely to materially affect, our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Report on Internal Control over Financial Reporting</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 13a-15(f) under the Exchange Act. Internal control over financial reporting is a process to provide reasonable assurance regarding the reliability of our financial reporting for external purposes in accordance with accounting principles generally accepted in the United States. 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including the Chief Executive Officer and Chief Financial Officer, assessed the effectiveness of our internal control over financial reporting as of December 31, 2025. In making this assessment, we used the criteria set forth by the Committee of Sponsoring Organizations of the Treadway Commission (“COSO”) in Internal Control-Integrated Framework (2013). Based on such assessment our management has concluded that, as of December 31, 2025, our internal control over financial reporting was effective based on those criteria.</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independent registered public accounting firm that audited the financial statements that are included in this annual report on Form 10-K, has issued an attestation report on the Company’s internal control over financial reporting. The attestation report of Crowe LLP appears on page 144.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Disclosures Regarding Foreign Jurisdiction that Prevent Inspections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0" w:name="page151"/>
    <w:bookmarkEnd w:id="15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2025 and in connection with our 2026 Annual Meeting of Stockholders under the following captions, which sections are incorporated herein by reference:</w:t>
      </w:r>
    </w:p>
    <w:p>
      <w:pPr>
        <w:spacing w:after="0" w:line="24" w:lineRule="exact"/>
        <w:rPr>
          <w:sz w:val="20"/>
          <w:szCs w:val="20"/>
          <w:color w:val="auto"/>
        </w:rPr>
      </w:pPr>
    </w:p>
    <w:p>
      <w:pPr>
        <w:ind w:left="660" w:hanging="328"/>
        <w:spacing w:after="0" w:line="234" w:lineRule="auto"/>
        <w:tabs>
          <w:tab w:leader="none" w:pos="655"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“Proposal 1—“Election of Directors” under the subsection titled “Biographical Information” and “Biographical Information for Our Executive Officers”;</w:t>
      </w:r>
    </w:p>
    <w:p>
      <w:pPr>
        <w:spacing w:after="0" w:line="24" w:lineRule="exact"/>
        <w:rPr>
          <w:rFonts w:ascii="Arial" w:cs="Arial" w:eastAsia="Arial" w:hAnsi="Arial"/>
          <w:sz w:val="22"/>
          <w:szCs w:val="22"/>
          <w:color w:val="auto"/>
        </w:rPr>
      </w:pPr>
    </w:p>
    <w:p>
      <w:pPr>
        <w:ind w:left="660" w:right="20" w:hanging="328"/>
        <w:spacing w:after="0" w:line="234" w:lineRule="auto"/>
        <w:tabs>
          <w:tab w:leader="none" w:pos="655"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“Corporate Governance and Social Responsibility” under the subsections titled “Other Relationships,” “Code of Business Conduct and Ethics,” “Nominations of Directors,” and “Audit Committee”;</w:t>
      </w:r>
    </w:p>
    <w:p>
      <w:pPr>
        <w:spacing w:after="0" w:line="5"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“Delinquent Section 16(a) Reports”; and</w:t>
      </w:r>
    </w:p>
    <w:p>
      <w:pPr>
        <w:spacing w:after="0" w:line="17" w:lineRule="exact"/>
        <w:rPr>
          <w:rFonts w:ascii="Arial" w:cs="Arial" w:eastAsia="Arial" w:hAnsi="Arial"/>
          <w:sz w:val="22"/>
          <w:szCs w:val="22"/>
          <w:color w:val="auto"/>
        </w:rPr>
      </w:pPr>
    </w:p>
    <w:p>
      <w:pPr>
        <w:ind w:left="660" w:hanging="328"/>
        <w:spacing w:after="0"/>
        <w:tabs>
          <w:tab w:leader="none" w:pos="66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“Insider Trading Policy.”</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2025 and in connection with our 2026 Annual Meeting of Stockholders under the following captions, which sections are incorporated herein by reference:</w:t>
      </w:r>
    </w:p>
    <w:p>
      <w:pPr>
        <w:spacing w:after="0" w:line="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Compensation”;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Discussion and Analysis”;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Report”;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and Social Responsibility” under the subsections titled “Compensation Committee Interlocks and Insider Participation.”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2025 and in connection with our 2026 Annual Meeting of Stockholders under the following captions, which sections are incorporated herein by reference:</w:t>
      </w:r>
    </w:p>
    <w:p>
      <w:pPr>
        <w:spacing w:after="0" w:line="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18"/>
          <w:szCs w:val="18"/>
          <w:color w:val="auto"/>
        </w:rPr>
        <w:t>“Security Ownership of Certain Beneficial Owners and Management”; and</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7"/>
        </w:numPr>
        <w:rPr>
          <w:rFonts w:ascii="Arial" w:cs="Arial" w:eastAsia="Arial" w:hAnsi="Arial"/>
          <w:sz w:val="22"/>
          <w:szCs w:val="22"/>
          <w:color w:val="auto"/>
        </w:rPr>
      </w:pPr>
      <w:r>
        <w:rPr>
          <w:rFonts w:ascii="Times New Roman" w:cs="Times New Roman" w:eastAsia="Times New Roman" w:hAnsi="Times New Roman"/>
          <w:sz w:val="18"/>
          <w:szCs w:val="18"/>
          <w:color w:val="auto"/>
        </w:rPr>
        <w:t>“Equity Compensation Plan Information”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3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2025 and in connection with our 2026 Annual Meeting of Stockholders under the following captions, which sections are incorporated herein by reference:</w:t>
      </w:r>
    </w:p>
    <w:p>
      <w:pPr>
        <w:spacing w:after="0" w:line="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18"/>
          <w:szCs w:val="18"/>
          <w:color w:val="auto"/>
        </w:rPr>
        <w:t>“Certain Relationships and Related Party Transactions”; and</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48"/>
        </w:numPr>
        <w:rPr>
          <w:rFonts w:ascii="Arial" w:cs="Arial" w:eastAsia="Arial" w:hAnsi="Arial"/>
          <w:sz w:val="22"/>
          <w:szCs w:val="22"/>
          <w:color w:val="auto"/>
        </w:rPr>
      </w:pPr>
      <w:r>
        <w:rPr>
          <w:rFonts w:ascii="Times New Roman" w:cs="Times New Roman" w:eastAsia="Times New Roman" w:hAnsi="Times New Roman"/>
          <w:sz w:val="18"/>
          <w:szCs w:val="18"/>
          <w:color w:val="auto"/>
        </w:rPr>
        <w:t>“Corporate Governance and Social Responsibility” under the subsection titled “Director Independence.”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33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The information required to be disclosed by this item will be disclosed in the Company’s definitive proxy statement to be filed with the SEC no later than 120 days after December 31, 2025 and in connection with our 2026 Annual Meeting of Stockholders under the caption “Ratification of Appointment of</w:t>
      </w:r>
    </w:p>
    <w:p>
      <w:pPr>
        <w:spacing w:after="0" w:line="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Independent Registered Public Accounting Firm” under the subsections titled “Audit and Related Fees” and “Pre-Approval Policy,” which sections are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list of financial statements filed herewith is contained in Part II, Item 8, “Financial Statements and Supplementary Data,” above of this Annual Report on Form 10-K and is incorporated by reference herein. The financial statement schedules have been omitted because they are not required, not applicable or the information has been included in our consolidated financial statements. The exhibits required by this Item are contained in the Exhibit Index on page 150 of this Annual Report on Form 10-K and are incorporated herein by reference.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2" w:name="page153"/>
    <w:bookmarkEnd w:id="152"/>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wp:posOffset>
            </wp:positionV>
            <wp:extent cx="7626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4.2</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4.6</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br w:type="column"/>
      </w: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19685</wp:posOffset>
            </wp:positionV>
            <wp:extent cx="545211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52110" cy="8255"/>
                    </a:xfrm>
                    <a:prstGeom prst="rect">
                      <a:avLst/>
                    </a:prstGeom>
                    <a:noFill/>
                  </pic:spPr>
                </pic:pic>
              </a:graphicData>
            </a:graphic>
          </wp:anchor>
        </w:drawing>
      </w:r>
    </w:p>
    <w:p>
      <w:pPr>
        <w:spacing w:after="0" w:line="34" w:lineRule="exact"/>
        <w:rPr>
          <w:sz w:val="20"/>
          <w:szCs w:val="20"/>
          <w:color w:val="auto"/>
        </w:rPr>
      </w:pPr>
    </w:p>
    <w:p>
      <w:pPr>
        <w:jc w:val="both"/>
        <w:ind w:right="99"/>
        <w:spacing w:after="0" w:line="281" w:lineRule="auto"/>
        <w:rPr>
          <w:rFonts w:ascii="Times New Roman" w:cs="Times New Roman" w:eastAsia="Times New Roman" w:hAnsi="Times New Roman"/>
          <w:sz w:val="18"/>
          <w:szCs w:val="18"/>
          <w:u w:val="single" w:color="auto"/>
          <w:color w:val="0000FF"/>
        </w:rPr>
      </w:pPr>
      <w:hyperlink r:id="rId181">
        <w:r>
          <w:rPr>
            <w:rFonts w:ascii="Times New Roman" w:cs="Times New Roman" w:eastAsia="Times New Roman" w:hAnsi="Times New Roman"/>
            <w:sz w:val="18"/>
            <w:szCs w:val="18"/>
            <w:u w:val="single" w:color="auto"/>
            <w:color w:val="0000FF"/>
          </w:rPr>
          <w:t>Certificate of Incorporation of Amalgamated Financial Corp. (incorporated by reference to Exhibit 3.1 to</w:t>
        </w:r>
      </w:hyperlink>
      <w:r>
        <w:rPr>
          <w:rFonts w:ascii="Times New Roman" w:cs="Times New Roman" w:eastAsia="Times New Roman" w:hAnsi="Times New Roman"/>
          <w:sz w:val="18"/>
          <w:szCs w:val="18"/>
          <w:u w:val="single" w:color="auto"/>
          <w:color w:val="0000FF"/>
        </w:rPr>
        <w:t xml:space="preserve"> </w:t>
      </w:r>
      <w:hyperlink r:id="rId181">
        <w:r>
          <w:rPr>
            <w:rFonts w:ascii="Times New Roman" w:cs="Times New Roman" w:eastAsia="Times New Roman" w:hAnsi="Times New Roman"/>
            <w:sz w:val="18"/>
            <w:szCs w:val="18"/>
            <w:u w:val="single" w:color="auto"/>
            <w:color w:val="0000FF"/>
          </w:rPr>
          <w:t>Amalgamated Financial Corp.’s Current Report on Form 8-K filed with the SEC on March 1, 2021).</w:t>
        </w:r>
      </w:hyperlink>
    </w:p>
    <w:p>
      <w:pPr>
        <w:spacing w:after="0" w:line="1" w:lineRule="exact"/>
        <w:rPr>
          <w:sz w:val="20"/>
          <w:szCs w:val="20"/>
          <w:color w:val="auto"/>
        </w:rPr>
      </w:pPr>
    </w:p>
    <w:p>
      <w:pPr>
        <w:jc w:val="both"/>
        <w:ind w:right="99"/>
        <w:spacing w:after="0" w:line="273" w:lineRule="auto"/>
        <w:rPr>
          <w:rFonts w:ascii="Times New Roman" w:cs="Times New Roman" w:eastAsia="Times New Roman" w:hAnsi="Times New Roman"/>
          <w:sz w:val="18"/>
          <w:szCs w:val="18"/>
          <w:u w:val="single" w:color="auto"/>
          <w:color w:val="0000FF"/>
        </w:rPr>
      </w:pPr>
      <w:hyperlink r:id="rId182">
        <w:r>
          <w:rPr>
            <w:rFonts w:ascii="Times New Roman" w:cs="Times New Roman" w:eastAsia="Times New Roman" w:hAnsi="Times New Roman"/>
            <w:sz w:val="18"/>
            <w:szCs w:val="18"/>
            <w:u w:val="single" w:color="auto"/>
            <w:color w:val="0000FF"/>
          </w:rPr>
          <w:t>Bylaws of Amalgamated Financial Corp. (incorporated by reference to Exhibit 3.1 to Amalgamated Financial Corp.’s</w:t>
        </w:r>
      </w:hyperlink>
      <w:r>
        <w:rPr>
          <w:rFonts w:ascii="Times New Roman" w:cs="Times New Roman" w:eastAsia="Times New Roman" w:hAnsi="Times New Roman"/>
          <w:sz w:val="18"/>
          <w:szCs w:val="18"/>
          <w:u w:val="single" w:color="auto"/>
          <w:color w:val="0000FF"/>
        </w:rPr>
        <w:t xml:space="preserve"> </w:t>
      </w:r>
      <w:hyperlink r:id="rId182">
        <w:r>
          <w:rPr>
            <w:rFonts w:ascii="Times New Roman" w:cs="Times New Roman" w:eastAsia="Times New Roman" w:hAnsi="Times New Roman"/>
            <w:sz w:val="18"/>
            <w:szCs w:val="18"/>
            <w:u w:val="single" w:color="auto"/>
            <w:color w:val="0000FF"/>
          </w:rPr>
          <w:t>Current Report on Form 8-K filed with the SEC on April 8, 2024).</w:t>
        </w:r>
      </w:hyperlink>
    </w:p>
    <w:p>
      <w:pPr>
        <w:spacing w:after="0" w:line="2" w:lineRule="exact"/>
        <w:rPr>
          <w:sz w:val="20"/>
          <w:szCs w:val="20"/>
          <w:color w:val="auto"/>
        </w:rPr>
      </w:pPr>
    </w:p>
    <w:p>
      <w:pPr>
        <w:jc w:val="both"/>
        <w:ind w:right="99"/>
        <w:spacing w:after="0" w:line="266" w:lineRule="auto"/>
        <w:rPr>
          <w:rFonts w:ascii="Times New Roman" w:cs="Times New Roman" w:eastAsia="Times New Roman" w:hAnsi="Times New Roman"/>
          <w:sz w:val="18"/>
          <w:szCs w:val="18"/>
          <w:u w:val="single" w:color="auto"/>
          <w:color w:val="0000FF"/>
        </w:rPr>
      </w:pPr>
      <w:hyperlink r:id="rId183">
        <w:r>
          <w:rPr>
            <w:rFonts w:ascii="Times New Roman" w:cs="Times New Roman" w:eastAsia="Times New Roman" w:hAnsi="Times New Roman"/>
            <w:sz w:val="18"/>
            <w:szCs w:val="18"/>
            <w:u w:val="single" w:color="auto"/>
            <w:color w:val="0000FF"/>
          </w:rPr>
          <w:t>Specimen stock certificate of Amalgamated Financial Corp.’s common stock (incorporated by reference to Exhibit 4.1</w:t>
        </w:r>
      </w:hyperlink>
      <w:r>
        <w:rPr>
          <w:rFonts w:ascii="Times New Roman" w:cs="Times New Roman" w:eastAsia="Times New Roman" w:hAnsi="Times New Roman"/>
          <w:sz w:val="18"/>
          <w:szCs w:val="18"/>
          <w:u w:val="single" w:color="auto"/>
          <w:color w:val="0000FF"/>
        </w:rPr>
        <w:t xml:space="preserve"> </w:t>
      </w:r>
      <w:hyperlink r:id="rId183">
        <w:r>
          <w:rPr>
            <w:rFonts w:ascii="Times New Roman" w:cs="Times New Roman" w:eastAsia="Times New Roman" w:hAnsi="Times New Roman"/>
            <w:sz w:val="18"/>
            <w:szCs w:val="18"/>
            <w:u w:val="single" w:color="auto"/>
            <w:color w:val="0000FF"/>
          </w:rPr>
          <w:t>to Amalgamated Financial Corp.’s Registration Statement on Form S-4EF filed with the SEC on September 8, 2020).</w:t>
        </w:r>
      </w:hyperlink>
    </w:p>
    <w:p>
      <w:pPr>
        <w:jc w:val="both"/>
        <w:ind w:right="99"/>
        <w:spacing w:after="0" w:line="250" w:lineRule="auto"/>
        <w:rPr>
          <w:rFonts w:ascii="Times New Roman" w:cs="Times New Roman" w:eastAsia="Times New Roman" w:hAnsi="Times New Roman"/>
          <w:sz w:val="18"/>
          <w:szCs w:val="18"/>
          <w:u w:val="single" w:color="auto"/>
          <w:color w:val="0000FF"/>
        </w:rPr>
      </w:pPr>
      <w:hyperlink r:id="rId184">
        <w:r>
          <w:rPr>
            <w:rFonts w:ascii="Times New Roman" w:cs="Times New Roman" w:eastAsia="Times New Roman" w:hAnsi="Times New Roman"/>
            <w:sz w:val="18"/>
            <w:szCs w:val="18"/>
            <w:u w:val="single" w:color="auto"/>
            <w:color w:val="0000FF"/>
          </w:rPr>
          <w:t>Investor Rights Agreement by and between Amalgamated Bank and the Workers United Related Parties (incorporated</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by reference to Exhibit 4.2 to Amalgamated Financial Corp.’s Registration Statement on Form S-4EF filed with the</w:t>
        </w:r>
      </w:hyperlink>
      <w:r>
        <w:rPr>
          <w:rFonts w:ascii="Times New Roman" w:cs="Times New Roman" w:eastAsia="Times New Roman" w:hAnsi="Times New Roman"/>
          <w:sz w:val="18"/>
          <w:szCs w:val="18"/>
          <w:u w:val="single" w:color="auto"/>
          <w:color w:val="0000FF"/>
        </w:rPr>
        <w:t xml:space="preserve"> </w:t>
      </w:r>
      <w:hyperlink r:id="rId184">
        <w:r>
          <w:rPr>
            <w:rFonts w:ascii="Times New Roman" w:cs="Times New Roman" w:eastAsia="Times New Roman" w:hAnsi="Times New Roman"/>
            <w:sz w:val="18"/>
            <w:szCs w:val="18"/>
            <w:u w:val="single" w:color="auto"/>
            <w:color w:val="0000FF"/>
          </w:rPr>
          <w:t>SEC on September 8, 2020).</w:t>
        </w:r>
      </w:hyperlink>
    </w:p>
    <w:p>
      <w:pPr>
        <w:spacing w:after="0" w:line="15" w:lineRule="exact"/>
        <w:rPr>
          <w:rFonts w:ascii="Times New Roman" w:cs="Times New Roman" w:eastAsia="Times New Roman" w:hAnsi="Times New Roman"/>
          <w:sz w:val="18"/>
          <w:szCs w:val="18"/>
          <w:u w:val="single" w:color="auto"/>
          <w:color w:val="0000FF"/>
        </w:rPr>
      </w:pPr>
    </w:p>
    <w:p>
      <w:pPr>
        <w:jc w:val="both"/>
        <w:ind w:right="99"/>
        <w:spacing w:after="0" w:line="250" w:lineRule="auto"/>
        <w:rPr>
          <w:rFonts w:ascii="Times New Roman" w:cs="Times New Roman" w:eastAsia="Times New Roman" w:hAnsi="Times New Roman"/>
          <w:sz w:val="18"/>
          <w:szCs w:val="18"/>
          <w:u w:val="single" w:color="auto"/>
          <w:color w:val="0000FF"/>
        </w:rPr>
      </w:pPr>
      <w:hyperlink r:id="rId185">
        <w:r>
          <w:rPr>
            <w:rFonts w:ascii="Times New Roman" w:cs="Times New Roman" w:eastAsia="Times New Roman" w:hAnsi="Times New Roman"/>
            <w:sz w:val="18"/>
            <w:szCs w:val="18"/>
            <w:u w:val="single" w:color="auto"/>
            <w:color w:val="0000FF"/>
          </w:rPr>
          <w:t>Registration Rights Agreement, dated April 11, 2012, by and among Amalgamated Bank and the Various Stockholders</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Party Thereto (incorporated by reference to Exhibit 4.3 to Amalgamated Financial Corp.’s Registration Statement on</w:t>
        </w:r>
      </w:hyperlink>
      <w:r>
        <w:rPr>
          <w:rFonts w:ascii="Times New Roman" w:cs="Times New Roman" w:eastAsia="Times New Roman" w:hAnsi="Times New Roman"/>
          <w:sz w:val="18"/>
          <w:szCs w:val="18"/>
          <w:u w:val="single" w:color="auto"/>
          <w:color w:val="0000FF"/>
        </w:rPr>
        <w:t xml:space="preserve"> </w:t>
      </w:r>
      <w:hyperlink r:id="rId185">
        <w:r>
          <w:rPr>
            <w:rFonts w:ascii="Times New Roman" w:cs="Times New Roman" w:eastAsia="Times New Roman" w:hAnsi="Times New Roman"/>
            <w:sz w:val="18"/>
            <w:szCs w:val="18"/>
            <w:u w:val="single" w:color="auto"/>
            <w:color w:val="0000FF"/>
          </w:rPr>
          <w:t>Form S-4EF filed with the SEC on September 8, 2020).</w:t>
        </w:r>
      </w:hyperlink>
    </w:p>
    <w:p>
      <w:pPr>
        <w:spacing w:after="0" w:line="15" w:lineRule="exact"/>
        <w:rPr>
          <w:rFonts w:ascii="Times New Roman" w:cs="Times New Roman" w:eastAsia="Times New Roman" w:hAnsi="Times New Roman"/>
          <w:sz w:val="18"/>
          <w:szCs w:val="18"/>
          <w:u w:val="single" w:color="auto"/>
          <w:color w:val="0000FF"/>
        </w:rPr>
      </w:pPr>
    </w:p>
    <w:p>
      <w:pPr>
        <w:jc w:val="both"/>
        <w:ind w:right="99"/>
        <w:spacing w:after="0" w:line="250" w:lineRule="auto"/>
        <w:rPr>
          <w:sz w:val="20"/>
          <w:szCs w:val="20"/>
          <w:color w:val="auto"/>
        </w:rPr>
      </w:pPr>
      <w:r>
        <w:rPr>
          <w:rFonts w:ascii="Times New Roman" w:cs="Times New Roman" w:eastAsia="Times New Roman" w:hAnsi="Times New Roman"/>
          <w:sz w:val="18"/>
          <w:szCs w:val="18"/>
          <w:color w:val="auto"/>
        </w:rPr>
        <w:t>The registrant agrees to provide the SEC, upon request, copies of instruments defining the rights of holders of long-term debt of the registrant and its consolidated subsidiaries; currently no issuance of debt of the registrant exceeds 10% of the assets of the registrant and its subsidiaries on a consolidated basis.</w:t>
      </w:r>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55" w:lineRule="auto"/>
        <w:rPr>
          <w:rFonts w:ascii="Times New Roman" w:cs="Times New Roman" w:eastAsia="Times New Roman" w:hAnsi="Times New Roman"/>
          <w:sz w:val="18"/>
          <w:szCs w:val="18"/>
          <w:u w:val="single" w:color="auto"/>
          <w:color w:val="0000FF"/>
        </w:rPr>
      </w:pPr>
      <w:hyperlink r:id="rId186">
        <w:r>
          <w:rPr>
            <w:rFonts w:ascii="Times New Roman" w:cs="Times New Roman" w:eastAsia="Times New Roman" w:hAnsi="Times New Roman"/>
            <w:sz w:val="18"/>
            <w:szCs w:val="18"/>
            <w:u w:val="single" w:color="auto"/>
            <w:color w:val="0000FF"/>
          </w:rPr>
          <w:t>Description of Amalgamated Financial Corp.’s Securities Registered Pursuant to Section 12 of the Securities</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Exchange Act of 1934 (incorporated by reference to Exhibit 4.6 to Amalgamated Financial Corp.’s Annual Report on</w:t>
        </w:r>
      </w:hyperlink>
      <w:r>
        <w:rPr>
          <w:rFonts w:ascii="Times New Roman" w:cs="Times New Roman" w:eastAsia="Times New Roman" w:hAnsi="Times New Roman"/>
          <w:sz w:val="18"/>
          <w:szCs w:val="18"/>
          <w:u w:val="single" w:color="auto"/>
          <w:color w:val="0000FF"/>
        </w:rPr>
        <w:t xml:space="preserve"> </w:t>
      </w:r>
      <w:hyperlink r:id="rId186">
        <w:r>
          <w:rPr>
            <w:rFonts w:ascii="Times New Roman" w:cs="Times New Roman" w:eastAsia="Times New Roman" w:hAnsi="Times New Roman"/>
            <w:sz w:val="18"/>
            <w:szCs w:val="18"/>
            <w:u w:val="single" w:color="auto"/>
            <w:color w:val="0000FF"/>
          </w:rPr>
          <w:t>Form 10-K for the year ended December 31, 2020).</w:t>
        </w:r>
      </w:hyperlink>
    </w:p>
    <w:p>
      <w:pPr>
        <w:spacing w:after="0" w:line="2" w:lineRule="exact"/>
        <w:rPr>
          <w:rFonts w:ascii="Times New Roman" w:cs="Times New Roman" w:eastAsia="Times New Roman" w:hAnsi="Times New Roman"/>
          <w:sz w:val="18"/>
          <w:szCs w:val="18"/>
          <w:u w:val="single" w:color="auto"/>
          <w:color w:val="0000FF"/>
        </w:rPr>
      </w:pPr>
    </w:p>
    <w:p>
      <w:pPr>
        <w:jc w:val="both"/>
        <w:ind w:right="99"/>
        <w:spacing w:after="0" w:line="250" w:lineRule="auto"/>
        <w:rPr>
          <w:rFonts w:ascii="Times New Roman" w:cs="Times New Roman" w:eastAsia="Times New Roman" w:hAnsi="Times New Roman"/>
          <w:sz w:val="18"/>
          <w:szCs w:val="18"/>
          <w:u w:val="single" w:color="auto"/>
          <w:color w:val="0000FF"/>
        </w:rPr>
      </w:pPr>
      <w:hyperlink r:id="rId187">
        <w:r>
          <w:rPr>
            <w:rFonts w:ascii="Times New Roman" w:cs="Times New Roman" w:eastAsia="Times New Roman" w:hAnsi="Times New Roman"/>
            <w:sz w:val="18"/>
            <w:szCs w:val="18"/>
            <w:u w:val="single" w:color="auto"/>
            <w:color w:val="0000FF"/>
          </w:rPr>
          <w:t>Subordinated Indenture, dated as of November 8, 2021, by and between the Company and U.S. Bank National</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Association, as trustee (incorporated by reference to Exhibit 4.1 to Amalgamated Financial Corp.’s Current Report on</w:t>
        </w:r>
      </w:hyperlink>
      <w:r>
        <w:rPr>
          <w:rFonts w:ascii="Times New Roman" w:cs="Times New Roman" w:eastAsia="Times New Roman" w:hAnsi="Times New Roman"/>
          <w:sz w:val="18"/>
          <w:szCs w:val="18"/>
          <w:u w:val="single" w:color="auto"/>
          <w:color w:val="0000FF"/>
        </w:rPr>
        <w:t xml:space="preserve"> </w:t>
      </w:r>
      <w:hyperlink r:id="rId187">
        <w:r>
          <w:rPr>
            <w:rFonts w:ascii="Times New Roman" w:cs="Times New Roman" w:eastAsia="Times New Roman" w:hAnsi="Times New Roman"/>
            <w:sz w:val="18"/>
            <w:szCs w:val="18"/>
            <w:u w:val="single" w:color="auto"/>
            <w:color w:val="0000FF"/>
          </w:rPr>
          <w:t>Form 8-K filed with the SEC on November 8, 2021).</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61" w:lineRule="auto"/>
        <w:rPr>
          <w:rFonts w:ascii="Times New Roman" w:cs="Times New Roman" w:eastAsia="Times New Roman" w:hAnsi="Times New Roman"/>
          <w:sz w:val="18"/>
          <w:szCs w:val="18"/>
          <w:u w:val="single" w:color="auto"/>
          <w:color w:val="0000FF"/>
        </w:rPr>
      </w:pPr>
      <w:hyperlink r:id="rId188">
        <w:r>
          <w:rPr>
            <w:rFonts w:ascii="Times New Roman" w:cs="Times New Roman" w:eastAsia="Times New Roman" w:hAnsi="Times New Roman"/>
            <w:sz w:val="18"/>
            <w:szCs w:val="18"/>
            <w:u w:val="single" w:color="auto"/>
            <w:color w:val="0000FF"/>
          </w:rPr>
          <w:t>First Supplemental Indenture, dated as of November 8, 2021, by and between the Company and U.S. Bank National</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Association, as trustee, with respect to the 3.250% Fixed-to-Floating Rate Subordinated Notes Due 2031 (incorporated</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by reference to Exhibit 4.2 to Amalgamated Financial Corp.’s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88">
        <w:r>
          <w:rPr>
            <w:rFonts w:ascii="Times New Roman" w:cs="Times New Roman" w:eastAsia="Times New Roman" w:hAnsi="Times New Roman"/>
            <w:sz w:val="18"/>
            <w:szCs w:val="18"/>
            <w:u w:val="single" w:color="auto"/>
            <w:color w:val="0000FF"/>
          </w:rPr>
          <w:t>November 8, 2021).</w:t>
        </w:r>
      </w:hyperlink>
    </w:p>
    <w:p>
      <w:pPr>
        <w:spacing w:after="0" w:line="18" w:lineRule="exact"/>
        <w:rPr>
          <w:rFonts w:ascii="Times New Roman" w:cs="Times New Roman" w:eastAsia="Times New Roman" w:hAnsi="Times New Roman"/>
          <w:sz w:val="18"/>
          <w:szCs w:val="18"/>
          <w:u w:val="single" w:color="auto"/>
          <w:color w:val="0000FF"/>
        </w:rPr>
      </w:pPr>
    </w:p>
    <w:p>
      <w:pPr>
        <w:jc w:val="both"/>
        <w:ind w:right="99"/>
        <w:spacing w:after="0" w:line="266" w:lineRule="auto"/>
        <w:rPr>
          <w:rFonts w:ascii="Times New Roman" w:cs="Times New Roman" w:eastAsia="Times New Roman" w:hAnsi="Times New Roman"/>
          <w:sz w:val="18"/>
          <w:szCs w:val="18"/>
          <w:u w:val="single" w:color="auto"/>
          <w:color w:val="0000FF"/>
        </w:rPr>
      </w:pPr>
      <w:hyperlink r:id="rId189">
        <w:r>
          <w:rPr>
            <w:rFonts w:ascii="Times New Roman" w:cs="Times New Roman" w:eastAsia="Times New Roman" w:hAnsi="Times New Roman"/>
            <w:sz w:val="18"/>
            <w:szCs w:val="18"/>
            <w:u w:val="single" w:color="auto"/>
            <w:color w:val="0000FF"/>
          </w:rPr>
          <w:t>Form of 3.250% Fixed-to-Floating Rate Subordinated Notes due 2031 (incorporated by reference to Exhibit 4.2 to</w:t>
        </w:r>
      </w:hyperlink>
      <w:r>
        <w:rPr>
          <w:rFonts w:ascii="Times New Roman" w:cs="Times New Roman" w:eastAsia="Times New Roman" w:hAnsi="Times New Roman"/>
          <w:sz w:val="18"/>
          <w:szCs w:val="18"/>
          <w:u w:val="single" w:color="auto"/>
          <w:color w:val="0000FF"/>
        </w:rPr>
        <w:t xml:space="preserve"> </w:t>
      </w:r>
      <w:hyperlink r:id="rId189">
        <w:r>
          <w:rPr>
            <w:rFonts w:ascii="Times New Roman" w:cs="Times New Roman" w:eastAsia="Times New Roman" w:hAnsi="Times New Roman"/>
            <w:sz w:val="18"/>
            <w:szCs w:val="18"/>
            <w:u w:val="single" w:color="auto"/>
            <w:color w:val="0000FF"/>
          </w:rPr>
          <w:t>Amalgamated Financial Corp.’s Current Report on Form 8-K filed with the SEC on November 8, 2021)</w:t>
        </w:r>
      </w:hyperlink>
    </w:p>
    <w:p>
      <w:pPr>
        <w:jc w:val="both"/>
        <w:ind w:right="99"/>
        <w:spacing w:after="0" w:line="266" w:lineRule="auto"/>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u w:val="single" w:color="auto"/>
            <w:color w:val="0000FF"/>
          </w:rPr>
          <w:t>Change in Control Plan (incorporated by reference to Exhibit 10.4 to Amalgamated Financial Corp.’s Registration</w:t>
        </w:r>
      </w:hyperlink>
      <w:r>
        <w:rPr>
          <w:rFonts w:ascii="Times New Roman" w:cs="Times New Roman" w:eastAsia="Times New Roman" w:hAnsi="Times New Roman"/>
          <w:sz w:val="18"/>
          <w:szCs w:val="18"/>
          <w:u w:val="single" w:color="auto"/>
          <w:color w:val="0000FF"/>
        </w:rPr>
        <w:t xml:space="preserve"> </w:t>
      </w:r>
      <w:hyperlink r:id="rId190">
        <w:r>
          <w:rPr>
            <w:rFonts w:ascii="Times New Roman" w:cs="Times New Roman" w:eastAsia="Times New Roman" w:hAnsi="Times New Roman"/>
            <w:sz w:val="18"/>
            <w:szCs w:val="18"/>
            <w:u w:val="single" w:color="auto"/>
            <w:color w:val="0000FF"/>
          </w:rPr>
          <w:t>Statement on Form S-4EF filed with the SEC on September 8, 2020).</w:t>
        </w:r>
        <w:r>
          <w:rPr>
            <w:rFonts w:ascii="Times New Roman" w:cs="Times New Roman" w:eastAsia="Times New Roman" w:hAnsi="Times New Roman"/>
            <w:sz w:val="18"/>
            <w:szCs w:val="18"/>
            <w:color w:val="000000"/>
          </w:rPr>
          <w:t>*</w:t>
        </w:r>
      </w:hyperlink>
    </w:p>
    <w:p>
      <w:pPr>
        <w:jc w:val="both"/>
        <w:ind w:right="99"/>
        <w:spacing w:after="0" w:line="250" w:lineRule="auto"/>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u w:val="single" w:color="auto"/>
            <w:color w:val="0000FF"/>
          </w:rPr>
          <w:t>Collective Bargaining Agreement with OPEIU, Local 153, AFL-CIO, dated November 29, 2024 (incorporated by</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reference to Exhibit 99.1 to Amalgamated Financial Corp.’s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91">
        <w:r>
          <w:rPr>
            <w:rFonts w:ascii="Times New Roman" w:cs="Times New Roman" w:eastAsia="Times New Roman" w:hAnsi="Times New Roman"/>
            <w:sz w:val="18"/>
            <w:szCs w:val="18"/>
            <w:u w:val="single" w:color="auto"/>
            <w:color w:val="0000FF"/>
          </w:rPr>
          <w:t>December 5, 2024).</w:t>
        </w:r>
        <w:r>
          <w:rPr>
            <w:rFonts w:ascii="Times New Roman" w:cs="Times New Roman" w:eastAsia="Times New Roman" w:hAnsi="Times New Roman"/>
            <w:sz w:val="18"/>
            <w:szCs w:val="18"/>
            <w:color w:val="000000"/>
          </w:rPr>
          <w:t>*</w:t>
        </w:r>
      </w:hyperlink>
    </w:p>
    <w:p>
      <w:pPr>
        <w:spacing w:after="0" w:line="28" w:lineRule="exact"/>
        <w:rPr>
          <w:rFonts w:ascii="Times New Roman" w:cs="Times New Roman" w:eastAsia="Times New Roman" w:hAnsi="Times New Roman"/>
          <w:sz w:val="18"/>
          <w:szCs w:val="18"/>
          <w:u w:val="single" w:color="auto"/>
          <w:color w:val="0000FF"/>
        </w:rPr>
      </w:pPr>
    </w:p>
    <w:p>
      <w:pPr>
        <w:jc w:val="both"/>
        <w:ind w:right="99"/>
        <w:spacing w:after="0" w:line="281" w:lineRule="auto"/>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u w:val="single" w:color="auto"/>
            <w:color w:val="0000FF"/>
          </w:rPr>
          <w:t>Independent Office Agreement with Local 32BJ SEIU (incorporated by reference to Exhibit 10.7 to Amalgamated</w:t>
        </w:r>
      </w:hyperlink>
      <w:r>
        <w:rPr>
          <w:rFonts w:ascii="Times New Roman" w:cs="Times New Roman" w:eastAsia="Times New Roman" w:hAnsi="Times New Roman"/>
          <w:sz w:val="18"/>
          <w:szCs w:val="18"/>
          <w:u w:val="single" w:color="auto"/>
          <w:color w:val="0000FF"/>
        </w:rPr>
        <w:t xml:space="preserve"> </w:t>
      </w:r>
      <w:hyperlink r:id="rId192">
        <w:r>
          <w:rPr>
            <w:rFonts w:ascii="Times New Roman" w:cs="Times New Roman" w:eastAsia="Times New Roman" w:hAnsi="Times New Roman"/>
            <w:sz w:val="18"/>
            <w:szCs w:val="18"/>
            <w:u w:val="single" w:color="auto"/>
            <w:color w:val="0000FF"/>
          </w:rPr>
          <w:t>Financial Corp.’s Registration Statement on Form S-4EF filed with the SEC on September 8, 2020).</w:t>
        </w:r>
        <w:r>
          <w:rPr>
            <w:rFonts w:ascii="Times New Roman" w:cs="Times New Roman" w:eastAsia="Times New Roman" w:hAnsi="Times New Roman"/>
            <w:sz w:val="18"/>
            <w:szCs w:val="18"/>
            <w:color w:val="000000"/>
          </w:rPr>
          <w:t>*</w:t>
        </w:r>
      </w:hyperlink>
    </w:p>
    <w:p>
      <w:pPr>
        <w:spacing w:after="0" w:line="1" w:lineRule="exact"/>
        <w:rPr>
          <w:sz w:val="20"/>
          <w:szCs w:val="20"/>
          <w:color w:val="auto"/>
        </w:rPr>
      </w:pPr>
    </w:p>
    <w:p>
      <w:pPr>
        <w:jc w:val="both"/>
        <w:ind w:right="99"/>
        <w:spacing w:after="0" w:line="290" w:lineRule="auto"/>
        <w:rPr>
          <w:rFonts w:ascii="Times New Roman" w:cs="Times New Roman" w:eastAsia="Times New Roman" w:hAnsi="Times New Roman"/>
          <w:sz w:val="17"/>
          <w:szCs w:val="17"/>
          <w:color w:val="0000FF"/>
        </w:rPr>
      </w:pPr>
      <w:hyperlink r:id="rId193">
        <w:r>
          <w:rPr>
            <w:rFonts w:ascii="Times New Roman" w:cs="Times New Roman" w:eastAsia="Times New Roman" w:hAnsi="Times New Roman"/>
            <w:sz w:val="17"/>
            <w:szCs w:val="17"/>
            <w:u w:val="single" w:color="auto"/>
            <w:color w:val="0000FF"/>
          </w:rPr>
          <w:t>Consolidated Retirement Plan, as amended and restated on January 1, 2015 (incorporated by reference to Exhibit 10.9</w:t>
        </w:r>
      </w:hyperlink>
      <w:r>
        <w:rPr>
          <w:rFonts w:ascii="Times New Roman" w:cs="Times New Roman" w:eastAsia="Times New Roman" w:hAnsi="Times New Roman"/>
          <w:sz w:val="17"/>
          <w:szCs w:val="17"/>
          <w:u w:val="single" w:color="auto"/>
          <w:color w:val="0000FF"/>
        </w:rPr>
        <w:t xml:space="preserve"> </w:t>
      </w:r>
      <w:hyperlink r:id="rId193">
        <w:r>
          <w:rPr>
            <w:rFonts w:ascii="Times New Roman" w:cs="Times New Roman" w:eastAsia="Times New Roman" w:hAnsi="Times New Roman"/>
            <w:sz w:val="17"/>
            <w:szCs w:val="17"/>
            <w:u w:val="single" w:color="auto"/>
            <w:color w:val="0000FF"/>
          </w:rPr>
          <w:t>to Amalgamated Financial Corp.’s Registration Statement on Form S-4EF filed with the SEC on September 8, 2020).</w:t>
        </w:r>
        <w:r>
          <w:rPr>
            <w:rFonts w:ascii="Times New Roman" w:cs="Times New Roman" w:eastAsia="Times New Roman" w:hAnsi="Times New Roman"/>
            <w:sz w:val="17"/>
            <w:szCs w:val="17"/>
            <w:color w:val="000000"/>
          </w:rPr>
          <w:t>*</w:t>
        </w:r>
      </w:hyperlink>
    </w:p>
    <w:p>
      <w:pPr>
        <w:jc w:val="both"/>
        <w:ind w:right="99"/>
        <w:spacing w:after="0" w:line="266" w:lineRule="auto"/>
        <w:rPr>
          <w:rFonts w:ascii="Times New Roman" w:cs="Times New Roman" w:eastAsia="Times New Roman" w:hAnsi="Times New Roman"/>
          <w:sz w:val="18"/>
          <w:szCs w:val="18"/>
          <w:color w:val="0000FF"/>
        </w:rPr>
      </w:pPr>
      <w:hyperlink r:id="rId194">
        <w:r>
          <w:rPr>
            <w:rFonts w:ascii="Times New Roman" w:cs="Times New Roman" w:eastAsia="Times New Roman" w:hAnsi="Times New Roman"/>
            <w:sz w:val="18"/>
            <w:szCs w:val="18"/>
            <w:u w:val="single" w:color="auto"/>
            <w:color w:val="0000FF"/>
          </w:rPr>
          <w:t>Amalgamated Bank Long Term Incentive Plan (incorporated by reference to Exhibit 10.10 to Amalgamated Financial</w:t>
        </w:r>
      </w:hyperlink>
      <w:r>
        <w:rPr>
          <w:rFonts w:ascii="Times New Roman" w:cs="Times New Roman" w:eastAsia="Times New Roman" w:hAnsi="Times New Roman"/>
          <w:sz w:val="18"/>
          <w:szCs w:val="18"/>
          <w:u w:val="single" w:color="auto"/>
          <w:color w:val="0000FF"/>
        </w:rPr>
        <w:t xml:space="preserve"> </w:t>
      </w:r>
      <w:hyperlink r:id="rId194">
        <w:r>
          <w:rPr>
            <w:rFonts w:ascii="Times New Roman" w:cs="Times New Roman" w:eastAsia="Times New Roman" w:hAnsi="Times New Roman"/>
            <w:sz w:val="18"/>
            <w:szCs w:val="18"/>
            <w:u w:val="single" w:color="auto"/>
            <w:color w:val="0000FF"/>
          </w:rPr>
          <w:t>Corp.’s Registration Statement on Form S-4EF filed with the SEC on September 8, 2020).</w:t>
        </w:r>
        <w:r>
          <w:rPr>
            <w:rFonts w:ascii="Times New Roman" w:cs="Times New Roman" w:eastAsia="Times New Roman" w:hAnsi="Times New Roman"/>
            <w:sz w:val="18"/>
            <w:szCs w:val="18"/>
            <w:color w:val="000000"/>
          </w:rPr>
          <w:t>*</w:t>
        </w:r>
      </w:hyperlink>
    </w:p>
    <w:p>
      <w:pPr>
        <w:spacing w:after="0" w:line="14" w:lineRule="exact"/>
        <w:rPr>
          <w:sz w:val="20"/>
          <w:szCs w:val="20"/>
          <w:color w:val="auto"/>
        </w:rPr>
      </w:pPr>
    </w:p>
    <w:p>
      <w:pPr>
        <w:jc w:val="both"/>
        <w:ind w:right="99"/>
        <w:spacing w:after="0" w:line="273" w:lineRule="auto"/>
        <w:rPr>
          <w:rFonts w:ascii="Times New Roman" w:cs="Times New Roman" w:eastAsia="Times New Roman" w:hAnsi="Times New Roman"/>
          <w:sz w:val="18"/>
          <w:szCs w:val="18"/>
          <w:color w:val="0000FF"/>
        </w:rPr>
      </w:pPr>
      <w:hyperlink r:id="rId195">
        <w:r>
          <w:rPr>
            <w:rFonts w:ascii="Times New Roman" w:cs="Times New Roman" w:eastAsia="Times New Roman" w:hAnsi="Times New Roman"/>
            <w:sz w:val="18"/>
            <w:szCs w:val="18"/>
            <w:u w:val="single" w:color="auto"/>
            <w:color w:val="0000FF"/>
          </w:rPr>
          <w:t>Amalgamated Financial Corp. Annual Incentive Plan (incorporated by reference to Exhibit 10.1 to Amalgamated</w:t>
        </w:r>
      </w:hyperlink>
      <w:r>
        <w:rPr>
          <w:rFonts w:ascii="Times New Roman" w:cs="Times New Roman" w:eastAsia="Times New Roman" w:hAnsi="Times New Roman"/>
          <w:sz w:val="18"/>
          <w:szCs w:val="18"/>
          <w:u w:val="single" w:color="auto"/>
          <w:color w:val="0000FF"/>
        </w:rPr>
        <w:t xml:space="preserve"> </w:t>
      </w:r>
      <w:hyperlink r:id="rId195">
        <w:r>
          <w:rPr>
            <w:rFonts w:ascii="Times New Roman" w:cs="Times New Roman" w:eastAsia="Times New Roman" w:hAnsi="Times New Roman"/>
            <w:sz w:val="18"/>
            <w:szCs w:val="18"/>
            <w:u w:val="single" w:color="auto"/>
            <w:color w:val="0000FF"/>
          </w:rPr>
          <w:t>Financial Corp.’s Quarterly Report on Form 10-Q for the period ended March 31, 2021).</w:t>
        </w:r>
        <w:r>
          <w:rPr>
            <w:rFonts w:ascii="Times New Roman" w:cs="Times New Roman" w:eastAsia="Times New Roman" w:hAnsi="Times New Roman"/>
            <w:sz w:val="18"/>
            <w:szCs w:val="18"/>
            <w:color w:val="000000"/>
          </w:rPr>
          <w:t>*</w:t>
        </w:r>
      </w:hyperlink>
    </w:p>
    <w:p>
      <w:pPr>
        <w:spacing w:after="0" w:line="2" w:lineRule="exact"/>
        <w:rPr>
          <w:sz w:val="20"/>
          <w:szCs w:val="20"/>
          <w:color w:val="auto"/>
        </w:rPr>
      </w:pPr>
    </w:p>
    <w:p>
      <w:pPr>
        <w:jc w:val="both"/>
        <w:ind w:right="99"/>
        <w:spacing w:after="0" w:line="266" w:lineRule="auto"/>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u w:val="single" w:color="auto"/>
            <w:color w:val="0000FF"/>
          </w:rPr>
          <w:t>Amalgamated Bank 2019 Equity Incentive Plan (incorporated by reference to Exhibit 10.13 to Amalgamated</w:t>
        </w:r>
      </w:hyperlink>
      <w:r>
        <w:rPr>
          <w:rFonts w:ascii="Times New Roman" w:cs="Times New Roman" w:eastAsia="Times New Roman" w:hAnsi="Times New Roman"/>
          <w:sz w:val="18"/>
          <w:szCs w:val="18"/>
          <w:u w:val="single" w:color="auto"/>
          <w:color w:val="0000FF"/>
        </w:rPr>
        <w:t xml:space="preserve"> </w:t>
      </w:r>
      <w:hyperlink r:id="rId196">
        <w:r>
          <w:rPr>
            <w:rFonts w:ascii="Times New Roman" w:cs="Times New Roman" w:eastAsia="Times New Roman" w:hAnsi="Times New Roman"/>
            <w:sz w:val="18"/>
            <w:szCs w:val="18"/>
            <w:u w:val="single" w:color="auto"/>
            <w:color w:val="0000FF"/>
          </w:rPr>
          <w:t>Financial Corp.’s Registration Statement on Form S-4EF filed with the SEC on September 8, 2020).</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73025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880" w:space="600"/>
            <w:col w:w="8639"/>
          </w:cols>
          <w:pgMar w:left="340" w:top="887"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85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r:id="rId198">
              <w:r>
                <w:rPr>
                  <w:rFonts w:ascii="Times New Roman" w:cs="Times New Roman" w:eastAsia="Times New Roman" w:hAnsi="Times New Roman"/>
                  <w:sz w:val="18"/>
                  <w:szCs w:val="18"/>
                  <w:color w:val="0000FF"/>
                  <w:w w:val="99"/>
                </w:rPr>
                <w:t>Form of Award Agreement for Restricted Stock Units to be made under the Amalgamated Bank 2019 Equity Incentive</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858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Plan (incorporated by reference to Exhibit 10.14 to Amalgamated Financial Corp.’s Registration Statement on Form</w:t>
              </w:r>
            </w:hyperlink>
          </w:p>
        </w:tc>
        <w:tc>
          <w:tcPr>
            <w:tcW w:w="1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8700" w:type="dxa"/>
            <w:vAlign w:val="bottom"/>
            <w:gridSpan w:val="14"/>
          </w:tcPr>
          <w:p>
            <w:pPr>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S-4EF filed with the SEC on September 8, 2020).</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p>
        </w:tc>
        <w:tc>
          <w:tcPr>
            <w:tcW w:w="8700" w:type="dxa"/>
            <w:vAlign w:val="bottom"/>
            <w:gridSpan w:val="14"/>
          </w:tcPr>
          <w:p>
            <w:pPr>
              <w:spacing w:after="0"/>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Form of Award Agreement for Performance Units to be made under the Amalgamated Bank 2019 Equity Incentive</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10.9</w:t>
            </w:r>
          </w:p>
        </w:tc>
        <w:tc>
          <w:tcPr>
            <w:tcW w:w="8580" w:type="dxa"/>
            <w:vAlign w:val="bottom"/>
            <w:tcBorders>
              <w:top w:val="single" w:sz="8" w:color="0000FF"/>
              <w:bottom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Plan (incorporated by reference to Exhibit 10.15 to Amalgamated Financial Corp.’s Registration Statement on Form</w:t>
              </w:r>
            </w:hyperlink>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8580" w:type="dxa"/>
            <w:vAlign w:val="bottom"/>
            <w:gridSpan w:val="8"/>
          </w:tcPr>
          <w:p>
            <w:pPr>
              <w:spacing w:after="0" w:line="182"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S-4EF filed with the SEC on September 8, 2020).</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86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Form of Revised Award Agreement for Performance Units to be made under the Amalgamated Bank 2019 Equity</w:t>
              </w:r>
            </w:hyperlink>
          </w:p>
        </w:tc>
        <w:tc>
          <w:tcPr>
            <w:tcW w:w="1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860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Incentive Plan (incorporated by reference to Exhibit 10.16 to Amalgamated Financial Corp.’s Registration Statement</w:t>
              </w:r>
            </w:hyperlink>
          </w:p>
        </w:tc>
        <w:tc>
          <w:tcPr>
            <w:tcW w:w="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8700" w:type="dxa"/>
            <w:vAlign w:val="bottom"/>
            <w:gridSpan w:val="14"/>
          </w:tcPr>
          <w:p>
            <w:pPr>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on Form S-4EF filed with the SEC on September 8, 2020).</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480" w:type="dxa"/>
            <w:vAlign w:val="bottom"/>
          </w:tcPr>
          <w:p>
            <w:pPr>
              <w:spacing w:after="0"/>
              <w:rPr>
                <w:sz w:val="20"/>
                <w:szCs w:val="20"/>
                <w:color w:val="auto"/>
              </w:rPr>
            </w:pPr>
          </w:p>
        </w:tc>
        <w:tc>
          <w:tcPr>
            <w:tcW w:w="8700" w:type="dxa"/>
            <w:vAlign w:val="bottom"/>
            <w:gridSpan w:val="14"/>
          </w:tcPr>
          <w:p>
            <w:pPr>
              <w:spacing w:after="0"/>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Amalgamated Financial Corp. 2021 Equity Incentive Plan (incorporated by reference to Exhibit 10.3 to Amalgamated</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10.11</w:t>
            </w:r>
          </w:p>
        </w:tc>
        <w:tc>
          <w:tcPr>
            <w:tcW w:w="8660" w:type="dxa"/>
            <w:vAlign w:val="bottom"/>
            <w:tcBorders>
              <w:top w:val="single" w:sz="8" w:color="0000FF"/>
              <w:bottom w:val="single" w:sz="8" w:color="0000FF"/>
            </w:tcBorders>
            <w:gridSpan w:val="12"/>
          </w:tcPr>
          <w:p>
            <w:pPr>
              <w:spacing w:after="0" w:line="169"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Financial Corp.’s Post-Effective Amendment No. 1 on Form S-8 to Form S-4 Registration Statement filed with the</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8680" w:type="dxa"/>
            <w:vAlign w:val="bottom"/>
            <w:gridSpan w:val="13"/>
          </w:tcPr>
          <w:p>
            <w:pPr>
              <w:spacing w:after="0" w:line="182"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SEC on March 10, 2021).</w:t>
              </w:r>
              <w:r>
                <w:rPr>
                  <w:rFonts w:ascii="Times New Roman" w:cs="Times New Roman" w:eastAsia="Times New Roman" w:hAnsi="Times New Roman"/>
                  <w:sz w:val="18"/>
                  <w:szCs w:val="18"/>
                  <w:color w:val="000000"/>
                </w:rPr>
                <w:t>*</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4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tcPr>
          <w:p>
            <w:pPr>
              <w:spacing w:after="0"/>
              <w:rPr>
                <w:sz w:val="21"/>
                <w:szCs w:val="21"/>
                <w:color w:val="auto"/>
              </w:rPr>
            </w:pPr>
          </w:p>
        </w:tc>
        <w:tc>
          <w:tcPr>
            <w:tcW w:w="8600" w:type="dxa"/>
            <w:vAlign w:val="bottom"/>
            <w:tcBorders>
              <w:bottom w:val="single" w:sz="8" w:color="0000FF"/>
            </w:tcBorders>
            <w:gridSpan w:val="9"/>
          </w:tcPr>
          <w:p>
            <w:pPr>
              <w:spacing w:after="0"/>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Form of Award Agreement for Restricted Stock Units to be made under the Amalgamated Financial Corp. 2021</w:t>
              </w:r>
            </w:hyperlink>
          </w:p>
        </w:tc>
        <w:tc>
          <w:tcPr>
            <w:tcW w:w="100" w:type="dxa"/>
            <w:vAlign w:val="bottom"/>
            <w:gridSpan w:val="5"/>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87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Equity Incentive Plan (incorporated by reference to Exhibit 10.4 to Amalgamated Financial Corp.’s Post-Effective</w:t>
              </w:r>
            </w:hyperlink>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8700" w:type="dxa"/>
            <w:vAlign w:val="bottom"/>
            <w:gridSpan w:val="14"/>
          </w:tcPr>
          <w:p>
            <w:pPr>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Amendment No. 1 on Form S-8 to Form S-4 Registration Statement filed with the SEC on March 10, 2021).</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80" w:type="dxa"/>
            <w:vAlign w:val="bottom"/>
          </w:tcPr>
          <w:p>
            <w:pPr>
              <w:spacing w:after="0"/>
              <w:rPr>
                <w:sz w:val="20"/>
                <w:szCs w:val="20"/>
                <w:color w:val="auto"/>
              </w:rPr>
            </w:pPr>
          </w:p>
        </w:tc>
        <w:tc>
          <w:tcPr>
            <w:tcW w:w="8700" w:type="dxa"/>
            <w:vAlign w:val="bottom"/>
            <w:gridSpan w:val="14"/>
          </w:tcPr>
          <w:p>
            <w:pPr>
              <w:spacing w:after="0"/>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Form of Award Agreement for Performance Units to be made under the Amalgamated Financial Corp. 2021 Equity</w:t>
              </w:r>
            </w:hyperlink>
          </w:p>
        </w:tc>
        <w:tc>
          <w:tcPr>
            <w:tcW w:w="0" w:type="dxa"/>
            <w:vAlign w:val="bottom"/>
          </w:tcPr>
          <w:p>
            <w:pPr>
              <w:spacing w:after="0"/>
              <w:rPr>
                <w:sz w:val="1"/>
                <w:szCs w:val="1"/>
                <w:color w:val="auto"/>
              </w:rPr>
            </w:pPr>
          </w:p>
        </w:tc>
      </w:tr>
      <w:tr>
        <w:trPr>
          <w:trHeight w:val="183"/>
        </w:trPr>
        <w:tc>
          <w:tcPr>
            <w:tcW w:w="1480" w:type="dxa"/>
            <w:vAlign w:val="bottom"/>
          </w:tcPr>
          <w:p>
            <w:pPr>
              <w:spacing w:after="0" w:line="182" w:lineRule="exact"/>
              <w:rPr>
                <w:sz w:val="20"/>
                <w:szCs w:val="20"/>
                <w:color w:val="auto"/>
              </w:rPr>
            </w:pPr>
            <w:r>
              <w:rPr>
                <w:rFonts w:ascii="Times New Roman" w:cs="Times New Roman" w:eastAsia="Times New Roman" w:hAnsi="Times New Roman"/>
                <w:sz w:val="18"/>
                <w:szCs w:val="18"/>
                <w:color w:val="auto"/>
              </w:rPr>
              <w:t>10.13</w:t>
            </w:r>
          </w:p>
        </w:tc>
        <w:tc>
          <w:tcPr>
            <w:tcW w:w="8560" w:type="dxa"/>
            <w:vAlign w:val="bottom"/>
            <w:tcBorders>
              <w:top w:val="single" w:sz="8" w:color="0000FF"/>
              <w:bottom w:val="single" w:sz="8" w:color="0000FF"/>
            </w:tcBorders>
            <w:gridSpan w:val="7"/>
          </w:tcPr>
          <w:p>
            <w:pPr>
              <w:spacing w:after="0" w:line="169"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Incentive Plan (incorporated by reference to Exhibit 10.5 to Amalgamated Financial Corp.’s Post-Effective</w:t>
              </w:r>
            </w:hyperlink>
          </w:p>
        </w:tc>
        <w:tc>
          <w:tcPr>
            <w:tcW w:w="4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80" w:type="dxa"/>
            <w:vAlign w:val="bottom"/>
          </w:tcPr>
          <w:p>
            <w:pPr>
              <w:spacing w:after="0"/>
              <w:rPr>
                <w:sz w:val="15"/>
                <w:szCs w:val="15"/>
                <w:color w:val="auto"/>
              </w:rPr>
            </w:pPr>
          </w:p>
        </w:tc>
        <w:tc>
          <w:tcPr>
            <w:tcW w:w="8560" w:type="dxa"/>
            <w:vAlign w:val="bottom"/>
            <w:gridSpan w:val="7"/>
          </w:tcPr>
          <w:p>
            <w:pPr>
              <w:spacing w:after="0" w:line="182"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Amendment No. 1 on Form S-8 to Form S-4 Registration Statement filed with the SEC on March 10, 2021).</w:t>
              </w:r>
              <w:r>
                <w:rPr>
                  <w:rFonts w:ascii="Times New Roman" w:cs="Times New Roman" w:eastAsia="Times New Roman" w:hAnsi="Times New Roman"/>
                  <w:sz w:val="18"/>
                  <w:szCs w:val="18"/>
                  <w:color w:val="000000"/>
                </w:rPr>
                <w:t>*</w:t>
              </w:r>
            </w:hyperlink>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5440" w:type="dxa"/>
            <w:vAlign w:val="bottom"/>
            <w:gridSpan w:val="3"/>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10.14</w:t>
            </w:r>
          </w:p>
        </w:tc>
        <w:tc>
          <w:tcPr>
            <w:tcW w:w="8700" w:type="dxa"/>
            <w:vAlign w:val="bottom"/>
            <w:gridSpan w:val="14"/>
          </w:tcPr>
          <w:p>
            <w:pPr>
              <w:spacing w:after="0"/>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Form of Retention Restricted Stock Unit Award Agreement under the Amalgamated Bank 2019 Equity Incentive Plan</w:t>
              </w:r>
            </w:hyperlink>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862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by reference to Exhibit 10.26 to Amalgamated Financial Corp.’s Annual Report on Form 10-K for the</w:t>
              </w:r>
            </w:hyperlink>
          </w:p>
        </w:tc>
        <w:tc>
          <w:tcPr>
            <w:tcW w:w="80" w:type="dxa"/>
            <w:vAlign w:val="bottom"/>
            <w:tcBorders>
              <w:bottom w:val="single" w:sz="8" w:color="0000FF"/>
            </w:tcBorders>
            <w:gridSpan w:val="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480" w:type="dxa"/>
            <w:vAlign w:val="bottom"/>
          </w:tcPr>
          <w:p>
            <w:pPr>
              <w:spacing w:after="0"/>
              <w:rPr>
                <w:sz w:val="17"/>
                <w:szCs w:val="17"/>
                <w:color w:val="auto"/>
              </w:rPr>
            </w:pPr>
          </w:p>
        </w:tc>
        <w:tc>
          <w:tcPr>
            <w:tcW w:w="8700" w:type="dxa"/>
            <w:vAlign w:val="bottom"/>
            <w:gridSpan w:val="14"/>
          </w:tcPr>
          <w:p>
            <w:pPr>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year ended December 31, 2020).</w:t>
              </w:r>
            </w:hyperlink>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10.15</w:t>
            </w:r>
          </w:p>
        </w:tc>
        <w:tc>
          <w:tcPr>
            <w:tcW w:w="8700" w:type="dxa"/>
            <w:vAlign w:val="bottom"/>
            <w:gridSpan w:val="14"/>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Form of Award Agreement for Restricted Stock Units to Chief Executive Officer to be made under the Amalgamated</w:t>
              </w:r>
            </w:hyperlink>
          </w:p>
        </w:tc>
        <w:tc>
          <w:tcPr>
            <w:tcW w:w="0" w:type="dxa"/>
            <w:vAlign w:val="bottom"/>
          </w:tcPr>
          <w:p>
            <w:pPr>
              <w:spacing w:after="0"/>
              <w:rPr>
                <w:sz w:val="1"/>
                <w:szCs w:val="1"/>
                <w:color w:val="auto"/>
              </w:rPr>
            </w:pPr>
          </w:p>
        </w:tc>
      </w:tr>
      <w:tr>
        <w:trPr>
          <w:trHeight w:val="183"/>
        </w:trPr>
        <w:tc>
          <w:tcPr>
            <w:tcW w:w="1480" w:type="dxa"/>
            <w:vAlign w:val="bottom"/>
            <w:vMerge w:val="continue"/>
          </w:tcPr>
          <w:p>
            <w:pPr>
              <w:spacing w:after="0"/>
              <w:rPr>
                <w:sz w:val="15"/>
                <w:szCs w:val="15"/>
                <w:color w:val="auto"/>
              </w:rPr>
            </w:pPr>
          </w:p>
        </w:tc>
        <w:tc>
          <w:tcPr>
            <w:tcW w:w="8540" w:type="dxa"/>
            <w:vAlign w:val="bottom"/>
            <w:tcBorders>
              <w:top w:val="single" w:sz="8" w:color="0000FF"/>
              <w:bottom w:val="single" w:sz="8" w:color="0000FF"/>
            </w:tcBorders>
            <w:gridSpan w:val="6"/>
          </w:tcPr>
          <w:p>
            <w:pPr>
              <w:spacing w:after="0" w:line="182"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Financial Corp. 2021 Equity Incentive Plan (incorporated by reference to Exhibit 10.2 to Amalgamated Financial</w:t>
              </w:r>
            </w:hyperlink>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8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0119"/>
          </w:cols>
          <w:pgMar w:left="340" w:top="932" w:right="1440" w:bottom="1440" w:gutter="0" w:footer="0" w:header="0"/>
        </w:sect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Corp.’s Current Report on Form 8-K filed with the SEC on May 11, 2021).*</w:t>
        </w:r>
      </w:hyperlink>
    </w:p>
    <w:p>
      <w:pPr>
        <w:spacing w:after="0" w:line="36" w:lineRule="exact"/>
        <w:rPr>
          <w:sz w:val="20"/>
          <w:szCs w:val="20"/>
          <w:color w:val="auto"/>
        </w:rPr>
      </w:pPr>
    </w:p>
    <w:p>
      <w:pPr>
        <w:ind w:right="139"/>
        <w:spacing w:after="0" w:line="266" w:lineRule="auto"/>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u w:val="single" w:color="auto"/>
            <w:color w:val="0000FF"/>
          </w:rPr>
          <w:t>Amalgamated Financial Corp. 2023 Equity Incentive Plan (incorporated by reference to Exhibit 10.1 to Amalgamated</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Financial Corp.’s Current Report on Form 8-K filed with the SEC on May 30, 2023.</w:t>
        </w:r>
        <w:r>
          <w:rPr>
            <w:rFonts w:ascii="Times New Roman" w:cs="Times New Roman" w:eastAsia="Times New Roman" w:hAnsi="Times New Roman"/>
            <w:sz w:val="18"/>
            <w:szCs w:val="18"/>
            <w:color w:val="000000"/>
          </w:rPr>
          <w:t>*</w:t>
        </w:r>
      </w:hyperlink>
    </w:p>
    <w:p>
      <w:pPr>
        <w:ind w:right="599"/>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Award Agreement for Restricted Stock Units to be made under the Amalgamated Financial Corp. 2023 Equity Incentive Plan.</w:t>
      </w:r>
      <w:r>
        <w:rPr>
          <w:rFonts w:ascii="Times New Roman" w:cs="Times New Roman" w:eastAsia="Times New Roman" w:hAnsi="Times New Roman"/>
          <w:sz w:val="18"/>
          <w:szCs w:val="18"/>
          <w:color w:val="000000"/>
        </w:rPr>
        <w:t>*</w:t>
      </w:r>
    </w:p>
    <w:p>
      <w:pPr>
        <w:ind w:right="339"/>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Award Agreement for Performance Units to be made under the Amalgamated Financial Corp. 2023 Equity Incentive Plan for Executive Officers</w:t>
      </w:r>
      <w:r>
        <w:rPr>
          <w:rFonts w:ascii="Times New Roman" w:cs="Times New Roman" w:eastAsia="Times New Roman" w:hAnsi="Times New Roman"/>
          <w:sz w:val="18"/>
          <w:szCs w:val="18"/>
          <w:color w:val="000000"/>
        </w:rPr>
        <w:t>.****</w:t>
      </w:r>
    </w:p>
    <w:p>
      <w:pPr>
        <w:ind w:right="339"/>
        <w:spacing w:after="0" w:line="266" w:lineRule="auto"/>
        <w:rPr>
          <w:sz w:val="20"/>
          <w:szCs w:val="20"/>
          <w:color w:val="auto"/>
        </w:rPr>
      </w:pPr>
      <w:r>
        <w:rPr>
          <w:rFonts w:ascii="Times New Roman" w:cs="Times New Roman" w:eastAsia="Times New Roman" w:hAnsi="Times New Roman"/>
          <w:sz w:val="18"/>
          <w:szCs w:val="18"/>
          <w:u w:val="single" w:color="auto"/>
          <w:color w:val="0000FF"/>
        </w:rPr>
        <w:t>Form of Award Agreement for Performance Units to be made under the Amalgamated Financial Corp. 2023 Equity Incentive Plan for Chief Executive Officer</w:t>
      </w:r>
      <w:r>
        <w:rPr>
          <w:rFonts w:ascii="Times New Roman" w:cs="Times New Roman" w:eastAsia="Times New Roman" w:hAnsi="Times New Roman"/>
          <w:sz w:val="18"/>
          <w:szCs w:val="18"/>
          <w:color w:val="000000"/>
        </w:rPr>
        <w:t>.****</w:t>
      </w:r>
    </w:p>
    <w:p>
      <w:pPr>
        <w:spacing w:after="0" w:line="1" w:lineRule="exact"/>
        <w:rPr>
          <w:sz w:val="20"/>
          <w:szCs w:val="20"/>
          <w:color w:val="auto"/>
        </w:rPr>
      </w:pPr>
    </w:p>
    <w:p>
      <w:pPr>
        <w:sectPr>
          <w:pgSz w:w="11900" w:h="16838" w:orient="portrait"/>
          <w:cols w:equalWidth="0" w:num="2">
            <w:col w:w="760" w:space="720"/>
            <w:col w:w="8639"/>
          </w:cols>
          <w:pgMar w:left="340" w:top="932" w:right="1440" w:bottom="1440" w:gutter="0" w:footer="0" w:header="0"/>
          <w:type w:val="continuous"/>
        </w:sectPr>
      </w:pPr>
    </w:p>
    <w:p>
      <w:pPr>
        <w:ind w:left="1480"/>
        <w:spacing w:after="0"/>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Employment Agreement, dated August 24, 2022, between Amalgamated Financial Corp. and Jason Darby</w:t>
        </w:r>
      </w:hyperlink>
    </w:p>
    <w:p>
      <w:pPr>
        <w:spacing w:after="0" w:line="16" w:lineRule="exact"/>
        <w:rPr>
          <w:sz w:val="20"/>
          <w:szCs w:val="20"/>
          <w:color w:val="auto"/>
        </w:rPr>
      </w:pPr>
    </w:p>
    <w:p>
      <w:pPr>
        <w:ind w:left="1480" w:right="239" w:hanging="1470"/>
        <w:spacing w:after="0" w:line="243" w:lineRule="auto"/>
        <w:tabs>
          <w:tab w:leader="none" w:pos="14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10.20</w:t>
      </w:r>
      <w:r>
        <w:rPr>
          <w:sz w:val="20"/>
          <w:szCs w:val="20"/>
          <w:color w:val="auto"/>
        </w:rPr>
        <w:tab/>
      </w:r>
      <w:hyperlink r:id="rId207">
        <w:r>
          <w:rPr>
            <w:rFonts w:ascii="Times New Roman" w:cs="Times New Roman" w:eastAsia="Times New Roman" w:hAnsi="Times New Roman"/>
            <w:sz w:val="18"/>
            <w:szCs w:val="18"/>
            <w:u w:val="single" w:color="auto"/>
            <w:color w:val="0000FF"/>
          </w:rPr>
          <w:t>(incorporated by reference to Exhibit 10.2 to Amalgamated Financial Corp.’s Current Report on Form 8-K filed with</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the SEC on August 30, 2022).</w:t>
        </w:r>
        <w:r>
          <w:rPr>
            <w:rFonts w:ascii="Times New Roman" w:cs="Times New Roman" w:eastAsia="Times New Roman" w:hAnsi="Times New Roman"/>
            <w:sz w:val="18"/>
            <w:szCs w:val="18"/>
            <w:color w:val="000000"/>
          </w:rPr>
          <w:t>*</w:t>
        </w:r>
      </w:hyperlink>
    </w:p>
    <w:p>
      <w:pPr>
        <w:spacing w:after="0" w:line="20" w:lineRule="exact"/>
        <w:rPr>
          <w:sz w:val="20"/>
          <w:szCs w:val="20"/>
          <w:color w:val="auto"/>
        </w:rPr>
      </w:pPr>
    </w:p>
    <w:p>
      <w:pPr>
        <w:ind w:left="1480"/>
        <w:spacing w:after="0"/>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Employment Agreement, dated August 24, 2022, between Amalgamated Financial Corp. and Sam Brown</w:t>
        </w:r>
      </w:hyperlink>
    </w:p>
    <w:p>
      <w:pPr>
        <w:spacing w:after="0" w:line="16" w:lineRule="exact"/>
        <w:rPr>
          <w:sz w:val="20"/>
          <w:szCs w:val="20"/>
          <w:color w:val="auto"/>
        </w:rPr>
      </w:pPr>
    </w:p>
    <w:p>
      <w:pPr>
        <w:ind w:left="1480" w:right="239" w:hanging="1470"/>
        <w:spacing w:after="0" w:line="243" w:lineRule="auto"/>
        <w:tabs>
          <w:tab w:leader="none" w:pos="14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10.21</w:t>
      </w:r>
      <w:r>
        <w:rPr>
          <w:sz w:val="20"/>
          <w:szCs w:val="20"/>
          <w:color w:val="auto"/>
        </w:rPr>
        <w:tab/>
      </w:r>
      <w:hyperlink r:id="rId208">
        <w:r>
          <w:rPr>
            <w:rFonts w:ascii="Times New Roman" w:cs="Times New Roman" w:eastAsia="Times New Roman" w:hAnsi="Times New Roman"/>
            <w:sz w:val="18"/>
            <w:szCs w:val="18"/>
            <w:u w:val="single" w:color="auto"/>
            <w:color w:val="0000FF"/>
          </w:rPr>
          <w:t>(incorporated by reference to Exhibit 10.3 to Amalgamated Financial Corp.’s Current Report on Form 8-K filed with</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the SEC on August 30, 2022)</w:t>
        </w:r>
        <w:r>
          <w:rPr>
            <w:rFonts w:ascii="Times New Roman" w:cs="Times New Roman" w:eastAsia="Times New Roman" w:hAnsi="Times New Roman"/>
            <w:sz w:val="18"/>
            <w:szCs w:val="18"/>
            <w:color w:val="000000"/>
          </w:rPr>
          <w:t>*</w:t>
        </w:r>
      </w:hyperlink>
    </w:p>
    <w:p>
      <w:pPr>
        <w:sectPr>
          <w:pgSz w:w="11900" w:h="16838" w:orient="portrait"/>
          <w:cols w:equalWidth="0" w:num="1">
            <w:col w:w="10119"/>
          </w:cols>
          <w:pgMar w:left="340" w:top="932" w:right="1440" w:bottom="1440" w:gutter="0" w:footer="0" w:header="0"/>
          <w:type w:val="continuous"/>
        </w:sect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10.25</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239"/>
        <w:spacing w:after="0" w:line="255" w:lineRule="auto"/>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u w:val="single" w:color="auto"/>
            <w:color w:val="0000FF"/>
          </w:rPr>
          <w:t>Employment Agreement, dated August 24, 2022, between Amalgamated Financial Corp. and Mandy Tenner</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(incorporated by reference to Exhibit 10.4 to Amalgamated Financial Corp.’s Current Report on Form 8-K filed with</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the SEC on August 30, 2022)</w:t>
        </w:r>
        <w:r>
          <w:rPr>
            <w:rFonts w:ascii="Times New Roman" w:cs="Times New Roman" w:eastAsia="Times New Roman" w:hAnsi="Times New Roman"/>
            <w:sz w:val="18"/>
            <w:szCs w:val="18"/>
            <w:color w:val="000000"/>
          </w:rPr>
          <w:t>*</w:t>
        </w:r>
      </w:hyperlink>
    </w:p>
    <w:p>
      <w:pPr>
        <w:spacing w:after="0" w:line="2"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dated April 1, 2025, between Amalgamated Financial Corp. and Tyrone Graham</w:t>
      </w:r>
      <w:r>
        <w:rPr>
          <w:rFonts w:ascii="Times New Roman" w:cs="Times New Roman" w:eastAsia="Times New Roman" w:hAnsi="Times New Roman"/>
          <w:sz w:val="18"/>
          <w:szCs w:val="18"/>
          <w:color w:val="000000"/>
        </w:rPr>
        <w:t>****</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Employment Agreement, dated April 1, 2025, between Amalgamated Financial Corp. and Margaret Lanning</w:t>
      </w:r>
      <w:r>
        <w:rPr>
          <w:rFonts w:ascii="Times New Roman" w:cs="Times New Roman" w:eastAsia="Times New Roman" w:hAnsi="Times New Roman"/>
          <w:sz w:val="18"/>
          <w:szCs w:val="18"/>
          <w:color w:val="000000"/>
        </w:rPr>
        <w:t>****</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7"/>
          <w:szCs w:val="17"/>
          <w:u w:val="single" w:color="auto"/>
          <w:color w:val="0000FF"/>
        </w:rPr>
        <w:t>Employment Agreement, dated February 19, 2025, between Amalgamated Financial Corp. and Edgar Romney Jr.</w:t>
      </w:r>
      <w:r>
        <w:rPr>
          <w:rFonts w:ascii="Times New Roman" w:cs="Times New Roman" w:eastAsia="Times New Roman" w:hAnsi="Times New Roman"/>
          <w:sz w:val="17"/>
          <w:szCs w:val="17"/>
          <w:color w:val="000000"/>
        </w:rPr>
        <w:t>****</w:t>
      </w:r>
    </w:p>
    <w:p>
      <w:pPr>
        <w:spacing w:after="0" w:line="6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60" w:space="720"/>
            <w:col w:w="8639"/>
          </w:cols>
          <w:pgMar w:left="340" w:top="932" w:right="1440" w:bottom="1440" w:gutter="0" w:footer="0" w:header="0"/>
          <w:type w:val="continuous"/>
        </w:sectPr>
      </w:pPr>
    </w:p>
    <w:p>
      <w:pPr>
        <w:ind w:left="1480"/>
        <w:spacing w:after="0"/>
        <w:rPr>
          <w:rFonts w:ascii="Times New Roman" w:cs="Times New Roman" w:eastAsia="Times New Roman" w:hAnsi="Times New Roman"/>
          <w:sz w:val="18"/>
          <w:szCs w:val="18"/>
          <w:u w:val="single" w:color="auto"/>
          <w:color w:val="0000FF"/>
        </w:rPr>
      </w:pPr>
      <w:hyperlink r:id="rId210">
        <w:r>
          <w:rPr>
            <w:rFonts w:ascii="Times New Roman" w:cs="Times New Roman" w:eastAsia="Times New Roman" w:hAnsi="Times New Roman"/>
            <w:sz w:val="18"/>
            <w:szCs w:val="18"/>
            <w:u w:val="single" w:color="auto"/>
            <w:color w:val="0000FF"/>
          </w:rPr>
          <w:t>Severance Policy for Employees Not Covered by a Collective Bargaining Agreement, Effective July 26, 2023</w:t>
        </w:r>
      </w:hyperlink>
    </w:p>
    <w:p>
      <w:pPr>
        <w:spacing w:after="0" w:line="16" w:lineRule="exact"/>
        <w:rPr>
          <w:rFonts w:ascii="Times New Roman" w:cs="Times New Roman" w:eastAsia="Times New Roman" w:hAnsi="Times New Roman"/>
          <w:sz w:val="18"/>
          <w:szCs w:val="18"/>
          <w:u w:val="single" w:color="auto"/>
          <w:color w:val="0000FF"/>
        </w:rPr>
      </w:pPr>
    </w:p>
    <w:p>
      <w:pPr>
        <w:ind w:left="1480" w:right="239" w:hanging="1470"/>
        <w:spacing w:after="0" w:line="243" w:lineRule="auto"/>
        <w:tabs>
          <w:tab w:leader="none" w:pos="146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10.26</w:t>
      </w:r>
      <w:r>
        <w:rPr>
          <w:sz w:val="20"/>
          <w:szCs w:val="20"/>
          <w:color w:val="auto"/>
        </w:rPr>
        <w:tab/>
      </w:r>
      <w:hyperlink r:id="rId210">
        <w:r>
          <w:rPr>
            <w:rFonts w:ascii="Times New Roman" w:cs="Times New Roman" w:eastAsia="Times New Roman" w:hAnsi="Times New Roman"/>
            <w:sz w:val="18"/>
            <w:szCs w:val="18"/>
            <w:u w:val="single" w:color="auto"/>
            <w:color w:val="0000FF"/>
          </w:rPr>
          <w:t>(incorporated by reference to Exhibit 10.1 to Amalgamated Financial Corp.’s Current Report on Form 8-K filed with</w:t>
        </w:r>
      </w:hyperlink>
      <w:r>
        <w:rPr>
          <w:rFonts w:ascii="Times New Roman" w:cs="Times New Roman" w:eastAsia="Times New Roman" w:hAnsi="Times New Roman"/>
          <w:sz w:val="18"/>
          <w:szCs w:val="18"/>
          <w:u w:val="single" w:color="auto"/>
          <w:color w:val="0000FF"/>
        </w:rPr>
        <w:t xml:space="preserve"> </w:t>
      </w:r>
      <w:hyperlink r:id="rId210">
        <w:r>
          <w:rPr>
            <w:rFonts w:ascii="Times New Roman" w:cs="Times New Roman" w:eastAsia="Times New Roman" w:hAnsi="Times New Roman"/>
            <w:sz w:val="18"/>
            <w:szCs w:val="18"/>
            <w:u w:val="single" w:color="auto"/>
            <w:color w:val="0000FF"/>
          </w:rPr>
          <w:t>the SEC on August 1, 2022)</w:t>
        </w:r>
        <w:r>
          <w:rPr>
            <w:rFonts w:ascii="Times New Roman" w:cs="Times New Roman" w:eastAsia="Times New Roman" w:hAnsi="Times New Roman"/>
            <w:sz w:val="18"/>
            <w:szCs w:val="18"/>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932" w:right="1440" w:bottom="1440" w:gutter="0" w:footer="0" w:header="0"/>
          <w:type w:val="continuous"/>
        </w:sectPr>
      </w:pPr>
    </w:p>
    <w:bookmarkStart w:id="154" w:name="page155"/>
    <w:bookmarkEnd w:id="154"/>
    <w:p>
      <w:pPr>
        <w:ind w:left="1500"/>
        <w:spacing w:after="0"/>
        <w:rPr>
          <w:rFonts w:ascii="Times New Roman" w:cs="Times New Roman" w:eastAsia="Times New Roman" w:hAnsi="Times New Roman"/>
          <w:sz w:val="18"/>
          <w:szCs w:val="18"/>
          <w:u w:val="single" w:color="auto"/>
          <w:color w:val="0000FF"/>
        </w:rPr>
      </w:pPr>
      <w:hyperlink r:id="rId212">
        <w:r>
          <w:rPr>
            <w:rFonts w:ascii="Times New Roman" w:cs="Times New Roman" w:eastAsia="Times New Roman" w:hAnsi="Times New Roman"/>
            <w:sz w:val="18"/>
            <w:szCs w:val="18"/>
            <w:u w:val="single" w:color="auto"/>
            <w:color w:val="0000FF"/>
          </w:rPr>
          <w:t>Amended &amp; Restated Employment Agreement, dated February 24, 2025, by and among Amalgamated Financial</w:t>
        </w:r>
      </w:hyperlink>
    </w:p>
    <w:p>
      <w:pPr>
        <w:spacing w:after="0" w:line="11" w:lineRule="exact"/>
        <w:rPr>
          <w:sz w:val="20"/>
          <w:szCs w:val="20"/>
          <w:color w:val="auto"/>
        </w:rPr>
      </w:pPr>
    </w:p>
    <w:p>
      <w:pPr>
        <w:ind w:left="20"/>
        <w:spacing w:after="0"/>
        <w:tabs>
          <w:tab w:leader="none" w:pos="14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10.27</w:t>
      </w:r>
      <w:r>
        <w:rPr>
          <w:sz w:val="20"/>
          <w:szCs w:val="20"/>
          <w:color w:val="auto"/>
        </w:rPr>
        <w:tab/>
      </w:r>
      <w:hyperlink r:id="rId212">
        <w:r>
          <w:rPr>
            <w:rFonts w:ascii="Times New Roman" w:cs="Times New Roman" w:eastAsia="Times New Roman" w:hAnsi="Times New Roman"/>
            <w:sz w:val="17"/>
            <w:szCs w:val="17"/>
            <w:u w:val="single" w:color="auto"/>
            <w:color w:val="0000FF"/>
          </w:rPr>
          <w:t>Corp., Amalgamated Bank, and Sean Searby (incorporated by reference to Exhibit 10.1 to Amalgamated Financial</w:t>
        </w:r>
      </w:hyperlink>
    </w:p>
    <w:p>
      <w:pPr>
        <w:sectPr>
          <w:pgSz w:w="11900" w:h="16838" w:orient="portrait"/>
          <w:cols w:equalWidth="0" w:num="1">
            <w:col w:w="10139"/>
          </w:cols>
          <w:pgMar w:left="320" w:top="931" w:right="1440" w:bottom="1440" w:gutter="0" w:footer="0" w:header="0"/>
        </w:sectPr>
      </w:pPr>
    </w:p>
    <w:p>
      <w:pPr>
        <w:spacing w:after="0" w:line="3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10.28</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10.29</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10.30</w:t>
      </w:r>
    </w:p>
    <w:p>
      <w:pPr>
        <w:spacing w:after="0" w:line="3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u w:val="single" w:color="auto"/>
            <w:color w:val="0000FF"/>
          </w:rPr>
          <w:t>Corp.’s Current Report on Form 8-K filed with the SEC on February 27, 2025)</w:t>
        </w:r>
        <w:r>
          <w:rPr>
            <w:rFonts w:ascii="Times New Roman" w:cs="Times New Roman" w:eastAsia="Times New Roman" w:hAnsi="Times New Roman"/>
            <w:sz w:val="18"/>
            <w:szCs w:val="18"/>
            <w:color w:val="000000"/>
          </w:rPr>
          <w:t>*</w:t>
        </w:r>
      </w:hyperlink>
    </w:p>
    <w:p>
      <w:pPr>
        <w:spacing w:after="0" w:line="30" w:lineRule="exact"/>
        <w:rPr>
          <w:sz w:val="20"/>
          <w:szCs w:val="20"/>
          <w:color w:val="auto"/>
        </w:rPr>
      </w:pPr>
    </w:p>
    <w:p>
      <w:pPr>
        <w:ind w:right="139"/>
        <w:spacing w:after="0" w:line="266" w:lineRule="auto"/>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u w:val="single" w:color="auto"/>
            <w:color w:val="0000FF"/>
          </w:rPr>
          <w:t>Amalgamated Financial Corp. Bonus Deferral and Deferred Stock Unit Program (incorporated by reference to Exhibit</w:t>
        </w:r>
      </w:hyperlink>
      <w:r>
        <w:rPr>
          <w:rFonts w:ascii="Times New Roman" w:cs="Times New Roman" w:eastAsia="Times New Roman" w:hAnsi="Times New Roman"/>
          <w:sz w:val="18"/>
          <w:szCs w:val="18"/>
          <w:u w:val="single" w:color="auto"/>
          <w:color w:val="0000FF"/>
        </w:rPr>
        <w:t xml:space="preserve"> </w:t>
      </w:r>
      <w:hyperlink r:id="rId213">
        <w:r>
          <w:rPr>
            <w:rFonts w:ascii="Times New Roman" w:cs="Times New Roman" w:eastAsia="Times New Roman" w:hAnsi="Times New Roman"/>
            <w:sz w:val="18"/>
            <w:szCs w:val="18"/>
            <w:u w:val="single" w:color="auto"/>
            <w:color w:val="0000FF"/>
          </w:rPr>
          <w:t>10.1 to Amalgamated Financial Corp.’s Current Report on Form 8-K filed with the SEC on March 25, 2025)</w:t>
        </w:r>
        <w:r>
          <w:rPr>
            <w:rFonts w:ascii="Times New Roman" w:cs="Times New Roman" w:eastAsia="Times New Roman" w:hAnsi="Times New Roman"/>
            <w:sz w:val="18"/>
            <w:szCs w:val="18"/>
            <w:color w:val="000000"/>
          </w:rPr>
          <w:t>*</w:t>
        </w:r>
      </w:hyperlink>
    </w:p>
    <w:p>
      <w:pPr>
        <w:ind w:right="99"/>
        <w:spacing w:after="0" w:line="266" w:lineRule="auto"/>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u w:val="single" w:color="auto"/>
            <w:color w:val="0000FF"/>
          </w:rPr>
          <w:t>Form of Deferred Restricted Stock Unit Award Agreement (incorporated by reference to Exhibit 10.2 to Amalgamated</w:t>
        </w:r>
      </w:hyperlink>
      <w:r>
        <w:rPr>
          <w:rFonts w:ascii="Times New Roman" w:cs="Times New Roman" w:eastAsia="Times New Roman" w:hAnsi="Times New Roman"/>
          <w:sz w:val="18"/>
          <w:szCs w:val="18"/>
          <w:u w:val="single" w:color="auto"/>
          <w:color w:val="0000FF"/>
        </w:rPr>
        <w:t xml:space="preserve"> </w:t>
      </w:r>
      <w:hyperlink r:id="rId214">
        <w:r>
          <w:rPr>
            <w:rFonts w:ascii="Times New Roman" w:cs="Times New Roman" w:eastAsia="Times New Roman" w:hAnsi="Times New Roman"/>
            <w:sz w:val="18"/>
            <w:szCs w:val="18"/>
            <w:u w:val="single" w:color="auto"/>
            <w:color w:val="0000FF"/>
          </w:rPr>
          <w:t>Financial Corp.’s Current Report on Form 8-K filed with the SEC on March 25, 2025)</w:t>
        </w:r>
        <w:r>
          <w:rPr>
            <w:rFonts w:ascii="Times New Roman" w:cs="Times New Roman" w:eastAsia="Times New Roman" w:hAnsi="Times New Roman"/>
            <w:sz w:val="18"/>
            <w:szCs w:val="18"/>
            <w:color w:val="000000"/>
          </w:rPr>
          <w:t>*</w:t>
        </w:r>
      </w:hyperlink>
    </w:p>
    <w:p>
      <w:pPr>
        <w:ind w:right="379"/>
        <w:spacing w:after="0" w:line="281" w:lineRule="auto"/>
        <w:rPr>
          <w:rFonts w:ascii="Times New Roman" w:cs="Times New Roman" w:eastAsia="Times New Roman" w:hAnsi="Times New Roman"/>
          <w:sz w:val="17"/>
          <w:szCs w:val="17"/>
          <w:color w:val="0000FF"/>
        </w:rPr>
      </w:pPr>
      <w:hyperlink r:id="rId215">
        <w:r>
          <w:rPr>
            <w:rFonts w:ascii="Times New Roman" w:cs="Times New Roman" w:eastAsia="Times New Roman" w:hAnsi="Times New Roman"/>
            <w:sz w:val="17"/>
            <w:szCs w:val="17"/>
            <w:u w:val="single" w:color="auto"/>
            <w:color w:val="0000FF"/>
          </w:rPr>
          <w:t>Form of Deferred Restricted Stock Unit Award Agreement – Matching Grant (incorporated by reference to Exhibit</w:t>
        </w:r>
      </w:hyperlink>
      <w:r>
        <w:rPr>
          <w:rFonts w:ascii="Times New Roman" w:cs="Times New Roman" w:eastAsia="Times New Roman" w:hAnsi="Times New Roman"/>
          <w:sz w:val="17"/>
          <w:szCs w:val="17"/>
          <w:u w:val="single" w:color="auto"/>
          <w:color w:val="0000FF"/>
        </w:rPr>
        <w:t xml:space="preserve"> </w:t>
      </w:r>
      <w:hyperlink r:id="rId215">
        <w:r>
          <w:rPr>
            <w:rFonts w:ascii="Times New Roman" w:cs="Times New Roman" w:eastAsia="Times New Roman" w:hAnsi="Times New Roman"/>
            <w:sz w:val="17"/>
            <w:szCs w:val="17"/>
            <w:u w:val="single" w:color="auto"/>
            <w:color w:val="0000FF"/>
          </w:rPr>
          <w:t>10.3 to Amalgamated Financial Corp.’s Current Report on Form 8-K filed with the SEC on March 25, 2025)</w:t>
        </w:r>
        <w:r>
          <w:rPr>
            <w:rFonts w:ascii="Times New Roman" w:cs="Times New Roman" w:eastAsia="Times New Roman" w:hAnsi="Times New Roman"/>
            <w:sz w:val="17"/>
            <w:szCs w:val="17"/>
            <w:color w:val="000000"/>
          </w:rPr>
          <w:t>*</w:t>
        </w:r>
      </w:hyperlink>
    </w:p>
    <w:p>
      <w:pPr>
        <w:spacing w:after="0" w:line="1" w:lineRule="exact"/>
        <w:rPr>
          <w:sz w:val="20"/>
          <w:szCs w:val="20"/>
          <w:color w:val="auto"/>
        </w:rPr>
      </w:pPr>
    </w:p>
    <w:p>
      <w:pPr>
        <w:jc w:val="both"/>
        <w:ind w:right="239"/>
        <w:spacing w:after="0" w:line="250" w:lineRule="auto"/>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u w:val="single" w:color="auto"/>
            <w:color w:val="0000FF"/>
          </w:rPr>
          <w:t>Amended &amp; Restated Employment Agreement, dated March 25, 2025, by and among Amalgamated Financial Corp.,</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Amalgamated Bank, and Priscilla Sims Brown (incorporated by reference to Exhibit 10.4 to Amalgamated Financial</w:t>
        </w:r>
      </w:hyperlink>
      <w:r>
        <w:rPr>
          <w:rFonts w:ascii="Times New Roman" w:cs="Times New Roman" w:eastAsia="Times New Roman" w:hAnsi="Times New Roman"/>
          <w:sz w:val="18"/>
          <w:szCs w:val="18"/>
          <w:u w:val="single" w:color="auto"/>
          <w:color w:val="0000FF"/>
        </w:rPr>
        <w:t xml:space="preserve"> </w:t>
      </w:r>
      <w:hyperlink r:id="rId216">
        <w:r>
          <w:rPr>
            <w:rFonts w:ascii="Times New Roman" w:cs="Times New Roman" w:eastAsia="Times New Roman" w:hAnsi="Times New Roman"/>
            <w:sz w:val="18"/>
            <w:szCs w:val="18"/>
            <w:u w:val="single" w:color="auto"/>
            <w:color w:val="0000FF"/>
          </w:rPr>
          <w:t>Corp.’s Current Report on Form 8-K filed with the SEC on March 25, 2025)</w:t>
        </w:r>
        <w:r>
          <w:rPr>
            <w:rFonts w:ascii="Times New Roman" w:cs="Times New Roman" w:eastAsia="Times New Roman" w:hAnsi="Times New Roman"/>
            <w:sz w:val="18"/>
            <w:szCs w:val="18"/>
            <w:color w:val="000000"/>
          </w:rPr>
          <w:t>*</w:t>
        </w:r>
      </w:hyperlink>
    </w:p>
    <w:p>
      <w:pPr>
        <w:spacing w:after="0" w:line="1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Lease Agreement, dated April 4, 2025, by and among Amalgamated Bank, and 99 Park Avenue Associate, L.P.</w:t>
        </w:r>
      </w:hyperlink>
    </w:p>
    <w:p>
      <w:pPr>
        <w:spacing w:after="0" w:line="1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80" w:space="720"/>
            <w:col w:w="8639"/>
          </w:cols>
          <w:pgMar w:left="320" w:top="931" w:right="1440" w:bottom="1440" w:gutter="0" w:footer="0" w:header="0"/>
          <w:type w:val="continuous"/>
        </w:sectPr>
      </w:pPr>
    </w:p>
    <w:p>
      <w:pPr>
        <w:ind w:left="20"/>
        <w:spacing w:after="0"/>
        <w:tabs>
          <w:tab w:leader="none" w:pos="148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10.32</w:t>
      </w:r>
      <w:r>
        <w:rPr>
          <w:sz w:val="20"/>
          <w:szCs w:val="20"/>
          <w:color w:val="auto"/>
        </w:rPr>
        <w:tab/>
      </w:r>
      <w:hyperlink r:id="rId217">
        <w:r>
          <w:rPr>
            <w:rFonts w:ascii="Times New Roman" w:cs="Times New Roman" w:eastAsia="Times New Roman" w:hAnsi="Times New Roman"/>
            <w:sz w:val="17"/>
            <w:szCs w:val="17"/>
            <w:u w:val="single" w:color="auto"/>
            <w:color w:val="0000FF"/>
          </w:rPr>
          <w:t>(incorporated by reference to Exhibit 10.1 to Amalgamated Financial Corp.’s Current Report on Form 8-K filed with</w:t>
        </w:r>
      </w:hyperlink>
    </w:p>
    <w:p>
      <w:pPr>
        <w:sectPr>
          <w:pgSz w:w="11900" w:h="16838" w:orient="portrait"/>
          <w:cols w:equalWidth="0" w:num="1">
            <w:col w:w="10139"/>
          </w:cols>
          <w:pgMar w:left="320" w:top="931" w:right="1440" w:bottom="1440" w:gutter="0" w:footer="0" w:header="0"/>
          <w:type w:val="continuous"/>
        </w:sectPr>
      </w:pPr>
    </w:p>
    <w:p>
      <w:pPr>
        <w:spacing w:after="0" w:line="250"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19.1</w:t>
      </w:r>
    </w:p>
    <w:p>
      <w:pPr>
        <w:spacing w:after="0" w:line="50"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21.1</w:t>
      </w:r>
    </w:p>
    <w:p>
      <w:pPr>
        <w:spacing w:after="0" w:line="36"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23.1</w:t>
      </w:r>
    </w:p>
    <w:p>
      <w:pPr>
        <w:spacing w:after="0" w:line="36"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24.1</w:t>
      </w:r>
    </w:p>
    <w:p>
      <w:pPr>
        <w:spacing w:after="0" w:line="50"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6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63"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144"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97.1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7"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57" w:lineRule="exact"/>
        <w:rPr>
          <w:rFonts w:ascii="Times New Roman" w:cs="Times New Roman" w:eastAsia="Times New Roman" w:hAnsi="Times New Roman"/>
          <w:sz w:val="18"/>
          <w:szCs w:val="18"/>
          <w:u w:val="single" w:color="auto"/>
          <w:color w:val="0000FF"/>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rPr>
          <w:rFonts w:ascii="Times New Roman" w:cs="Times New Roman" w:eastAsia="Times New Roman" w:hAnsi="Times New Roman"/>
          <w:sz w:val="18"/>
          <w:szCs w:val="18"/>
          <w:u w:val="single" w:color="auto"/>
          <w:color w:val="0000FF"/>
        </w:rPr>
      </w:pPr>
      <w:hyperlink r:id="rId217">
        <w:r>
          <w:rPr>
            <w:rFonts w:ascii="Times New Roman" w:cs="Times New Roman" w:eastAsia="Times New Roman" w:hAnsi="Times New Roman"/>
            <w:sz w:val="18"/>
            <w:szCs w:val="18"/>
            <w:u w:val="single" w:color="auto"/>
            <w:color w:val="0000FF"/>
          </w:rPr>
          <w:t>the SEC on April 8, 2025)</w:t>
        </w:r>
      </w:hyperlink>
    </w:p>
    <w:p>
      <w:pPr>
        <w:spacing w:after="0" w:line="4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Insider Trading Policy**</w:t>
      </w:r>
    </w:p>
    <w:p>
      <w:pPr>
        <w:spacing w:after="0" w:line="50"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Subsidiaries of Amalgamated Financial Corp.</w:t>
      </w:r>
      <w:r>
        <w:rPr>
          <w:rFonts w:ascii="Times New Roman" w:cs="Times New Roman" w:eastAsia="Times New Roman" w:hAnsi="Times New Roman"/>
          <w:sz w:val="18"/>
          <w:szCs w:val="18"/>
          <w:color w:val="000000"/>
        </w:rPr>
        <w:t>**</w:t>
      </w:r>
    </w:p>
    <w:p>
      <w:pPr>
        <w:spacing w:after="0" w:line="36" w:lineRule="exact"/>
        <w:rPr>
          <w:rFonts w:ascii="Times New Roman" w:cs="Times New Roman" w:eastAsia="Times New Roman" w:hAnsi="Times New Roman"/>
          <w:sz w:val="18"/>
          <w:szCs w:val="18"/>
          <w:u w:val="single" w:color="auto"/>
          <w:color w:val="0000FF"/>
        </w:rPr>
      </w:pPr>
    </w:p>
    <w:p>
      <w:pPr>
        <w:ind w:right="3099"/>
        <w:spacing w:after="0" w:line="289" w:lineRule="auto"/>
        <w:rPr>
          <w:sz w:val="20"/>
          <w:szCs w:val="20"/>
          <w:color w:val="auto"/>
        </w:rPr>
      </w:pPr>
      <w:r>
        <w:rPr>
          <w:rFonts w:ascii="Times New Roman" w:cs="Times New Roman" w:eastAsia="Times New Roman" w:hAnsi="Times New Roman"/>
          <w:sz w:val="18"/>
          <w:szCs w:val="18"/>
          <w:u w:val="single" w:color="auto"/>
          <w:color w:val="0000FF"/>
        </w:rPr>
        <w:t>Consent of Independent Registered Public Accounting Firm—Crowe LLP.</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Power of Attorney (included on signature page)</w:t>
      </w:r>
      <w:r>
        <w:rPr>
          <w:rFonts w:ascii="Times New Roman" w:cs="Times New Roman" w:eastAsia="Times New Roman" w:hAnsi="Times New Roman"/>
          <w:sz w:val="18"/>
          <w:szCs w:val="18"/>
          <w:color w:val="000000"/>
        </w:rPr>
        <w:t>**</w:t>
      </w:r>
    </w:p>
    <w:p>
      <w:pPr>
        <w:spacing w:after="0" w:line="1"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Executive Officer</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Rule 13a-14(a) Certification of the Chief Financial Officer</w:t>
      </w:r>
      <w:r>
        <w:rPr>
          <w:rFonts w:ascii="Times New Roman" w:cs="Times New Roman" w:eastAsia="Times New Roman" w:hAnsi="Times New Roman"/>
          <w:sz w:val="18"/>
          <w:szCs w:val="18"/>
          <w:color w:val="000000"/>
        </w:rPr>
        <w:t>**</w:t>
      </w:r>
    </w:p>
    <w:p>
      <w:pPr>
        <w:spacing w:after="0" w:line="63"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u w:val="single" w:color="auto"/>
          <w:color w:val="0000FF"/>
        </w:rPr>
        <w:t>Section 1350 Certifications</w:t>
      </w:r>
      <w:r>
        <w:rPr>
          <w:rFonts w:ascii="Times New Roman" w:cs="Times New Roman" w:eastAsia="Times New Roman" w:hAnsi="Times New Roman"/>
          <w:sz w:val="18"/>
          <w:szCs w:val="18"/>
          <w:color w:val="000000"/>
        </w:rPr>
        <w:t>***</w:t>
      </w:r>
    </w:p>
    <w:p>
      <w:pPr>
        <w:spacing w:after="0" w:line="50" w:lineRule="exact"/>
        <w:rPr>
          <w:rFonts w:ascii="Times New Roman" w:cs="Times New Roman" w:eastAsia="Times New Roman" w:hAnsi="Times New Roman"/>
          <w:sz w:val="18"/>
          <w:szCs w:val="18"/>
          <w:u w:val="single" w:color="auto"/>
          <w:color w:val="0000FF"/>
        </w:rPr>
      </w:pPr>
    </w:p>
    <w:p>
      <w:pPr>
        <w:jc w:val="both"/>
        <w:ind w:right="99"/>
        <w:spacing w:after="0" w:line="237" w:lineRule="auto"/>
        <w:rPr>
          <w:sz w:val="20"/>
          <w:szCs w:val="20"/>
          <w:color w:val="auto"/>
        </w:rPr>
      </w:pPr>
      <w:r>
        <w:rPr>
          <w:rFonts w:ascii="Times New Roman" w:cs="Times New Roman" w:eastAsia="Times New Roman" w:hAnsi="Times New Roman"/>
          <w:sz w:val="18"/>
          <w:szCs w:val="18"/>
          <w:u w:val="single" w:color="auto"/>
          <w:color w:val="0000FF"/>
        </w:rPr>
        <w:t>Amalgamated Financial Corp. Incentive Compensation Recovery Policy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(incorporated by reference to Exhibit 97.1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Amalgamated Financial Corp.’s Annual Report on Form 10-K filed with the SEC on March 7, 2024)*</w:t>
      </w:r>
    </w:p>
    <w:p>
      <w:pPr>
        <w:spacing w:after="0" w:line="10" w:lineRule="exact"/>
        <w:rPr>
          <w:rFonts w:ascii="Times New Roman" w:cs="Times New Roman" w:eastAsia="Times New Roman" w:hAnsi="Times New Roman"/>
          <w:sz w:val="18"/>
          <w:szCs w:val="18"/>
          <w:u w:val="single" w:color="auto"/>
          <w:color w:val="0000FF"/>
        </w:rPr>
      </w:pPr>
    </w:p>
    <w:p>
      <w:pPr>
        <w:jc w:val="both"/>
        <w:ind w:right="99"/>
        <w:spacing w:after="0" w:line="236" w:lineRule="auto"/>
        <w:rPr>
          <w:sz w:val="20"/>
          <w:szCs w:val="20"/>
          <w:color w:val="auto"/>
        </w:rPr>
      </w:pPr>
      <w:r>
        <w:rPr>
          <w:rFonts w:ascii="Times New Roman" w:cs="Times New Roman" w:eastAsia="Times New Roman" w:hAnsi="Times New Roman"/>
          <w:sz w:val="17"/>
          <w:szCs w:val="17"/>
          <w:color w:val="auto"/>
        </w:rPr>
        <w:t>The following financial statements from the Annual Report on Form 10-K of Amalgamated Financial Corp., formatted in iXBRL (Inline eXtensible Business Reporting Language): (i) Consolidated Statements of Financial Condition at</w:t>
      </w:r>
    </w:p>
    <w:p>
      <w:pPr>
        <w:spacing w:after="0" w:line="203" w:lineRule="auto"/>
        <w:rPr>
          <w:sz w:val="20"/>
          <w:szCs w:val="20"/>
          <w:color w:val="auto"/>
        </w:rPr>
      </w:pPr>
      <w:r>
        <w:rPr>
          <w:rFonts w:ascii="Times New Roman" w:cs="Times New Roman" w:eastAsia="Times New Roman" w:hAnsi="Times New Roman"/>
          <w:sz w:val="18"/>
          <w:szCs w:val="18"/>
          <w:color w:val="auto"/>
        </w:rPr>
        <w:t>December 31, 2025 and December 31, 2024, (ii) Consolidated Statements of Income for the years ended</w:t>
      </w:r>
    </w:p>
    <w:p>
      <w:pPr>
        <w:spacing w:after="0" w:line="204" w:lineRule="auto"/>
        <w:rPr>
          <w:sz w:val="20"/>
          <w:szCs w:val="20"/>
          <w:color w:val="auto"/>
        </w:rPr>
      </w:pPr>
      <w:r>
        <w:rPr>
          <w:rFonts w:ascii="Times New Roman" w:cs="Times New Roman" w:eastAsia="Times New Roman" w:hAnsi="Times New Roman"/>
          <w:sz w:val="18"/>
          <w:szCs w:val="18"/>
          <w:color w:val="auto"/>
        </w:rPr>
        <w:t>December 31, 2025, 2024, and 2023, (iii) Consolidated Statements of Comprehensive Income for the years ended</w:t>
      </w:r>
    </w:p>
    <w:p>
      <w:pPr>
        <w:spacing w:after="0" w:line="219" w:lineRule="auto"/>
        <w:rPr>
          <w:sz w:val="20"/>
          <w:szCs w:val="20"/>
          <w:color w:val="auto"/>
        </w:rPr>
      </w:pPr>
      <w:r>
        <w:rPr>
          <w:rFonts w:ascii="Times New Roman" w:cs="Times New Roman" w:eastAsia="Times New Roman" w:hAnsi="Times New Roman"/>
          <w:sz w:val="18"/>
          <w:szCs w:val="18"/>
          <w:color w:val="auto"/>
        </w:rPr>
        <w:t>December 31, 2025, 2024, and 2023, (iv) Consolidated Statements of Changes in Stockholders’ Equity for the years</w:t>
      </w:r>
    </w:p>
    <w:p>
      <w:pPr>
        <w:jc w:val="both"/>
        <w:ind w:right="99"/>
        <w:spacing w:after="0" w:line="226" w:lineRule="auto"/>
        <w:rPr>
          <w:sz w:val="20"/>
          <w:szCs w:val="20"/>
          <w:color w:val="auto"/>
        </w:rPr>
      </w:pPr>
      <w:r>
        <w:rPr>
          <w:rFonts w:ascii="Times New Roman" w:cs="Times New Roman" w:eastAsia="Times New Roman" w:hAnsi="Times New Roman"/>
          <w:sz w:val="18"/>
          <w:szCs w:val="18"/>
          <w:color w:val="auto"/>
        </w:rPr>
        <w:t>ended December 31, 2025, 2024, and 2023, (v) Consolidated Statements of Cash Flows for the years ended December 31, 2025, 2024, and 2023 and (vi) Notes to Consolidated Financial Statements.</w:t>
      </w:r>
    </w:p>
    <w:p>
      <w:pPr>
        <w:jc w:val="both"/>
        <w:ind w:right="99"/>
        <w:spacing w:after="0" w:line="234" w:lineRule="auto"/>
        <w:rPr>
          <w:sz w:val="20"/>
          <w:szCs w:val="20"/>
          <w:color w:val="auto"/>
        </w:rPr>
      </w:pPr>
      <w:r>
        <w:rPr>
          <w:rFonts w:ascii="Times New Roman" w:cs="Times New Roman" w:eastAsia="Times New Roman" w:hAnsi="Times New Roman"/>
          <w:sz w:val="18"/>
          <w:szCs w:val="18"/>
          <w:color w:val="auto"/>
        </w:rPr>
        <w:t>The cover page of Amalgamated Financial Corp.’s Form 10-K Report for the year ended December 31, 2025, formatted in iXBRL (included with the Exhibit 101 attachments).**</w:t>
      </w:r>
    </w:p>
    <w:p>
      <w:pPr>
        <w:spacing w:after="0" w:line="200"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780" w:space="720"/>
            <w:col w:w="8639"/>
          </w:cols>
          <w:pgMar w:left="320" w:top="931" w:right="1440"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245" w:lineRule="exact"/>
        <w:rPr>
          <w:rFonts w:ascii="Times New Roman" w:cs="Times New Roman" w:eastAsia="Times New Roman" w:hAnsi="Times New Roman"/>
          <w:sz w:val="18"/>
          <w:szCs w:val="18"/>
          <w:u w:val="single" w:color="auto"/>
          <w:color w:val="0000FF"/>
        </w:rPr>
      </w:pPr>
    </w:p>
    <w:p>
      <w:pPr>
        <w:ind w:right="5639" w:firstLine="8"/>
        <w:spacing w:after="0" w:line="261" w:lineRule="auto"/>
        <w:tabs>
          <w:tab w:leader="none" w:pos="14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 filed herewith.</w:t>
      </w:r>
    </w:p>
    <w:p>
      <w:pPr>
        <w:spacing w:after="0" w:line="200" w:lineRule="exact"/>
        <w:rPr>
          <w:rFonts w:ascii="Times New Roman" w:cs="Times New Roman" w:eastAsia="Times New Roman" w:hAnsi="Times New Roman"/>
          <w:sz w:val="18"/>
          <w:szCs w:val="18"/>
          <w:u w:val="single" w:color="auto"/>
          <w:color w:val="0000FF"/>
        </w:rPr>
      </w:pPr>
    </w:p>
    <w:p>
      <w:pPr>
        <w:spacing w:after="0" w:line="344" w:lineRule="exact"/>
        <w:rPr>
          <w:rFonts w:ascii="Times New Roman" w:cs="Times New Roman" w:eastAsia="Times New Roman" w:hAnsi="Times New Roman"/>
          <w:sz w:val="18"/>
          <w:szCs w:val="18"/>
          <w:u w:val="single" w:color="auto"/>
          <w:color w:val="0000FF"/>
        </w:rPr>
      </w:pPr>
    </w:p>
    <w:p>
      <w:pPr>
        <w:ind w:left="548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type w:val="continuous"/>
        </w:sectPr>
      </w:pPr>
    </w:p>
    <w:bookmarkStart w:id="155" w:name="page156"/>
    <w:bookmarkEnd w:id="155"/>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AMALGAMATED FINANCIAL CORP.</w:t>
      </w:r>
    </w:p>
    <w:p>
      <w:pPr>
        <w:spacing w:after="0" w:line="162" w:lineRule="exact"/>
        <w:rPr>
          <w:sz w:val="20"/>
          <w:szCs w:val="20"/>
          <w:color w:val="auto"/>
        </w:rPr>
      </w:pPr>
    </w:p>
    <w:p>
      <w:pPr>
        <w:ind w:left="2520"/>
        <w:spacing w:after="0"/>
        <w:tabs>
          <w:tab w:leader="none" w:pos="5860" w:val="left"/>
          <w:tab w:leader="none" w:pos="6300" w:val="left"/>
        </w:tabs>
        <w:rPr>
          <w:sz w:val="20"/>
          <w:szCs w:val="20"/>
          <w:color w:val="auto"/>
        </w:rPr>
      </w:pPr>
      <w:r>
        <w:rPr>
          <w:rFonts w:ascii="Times New Roman" w:cs="Times New Roman" w:eastAsia="Times New Roman" w:hAnsi="Times New Roman"/>
          <w:sz w:val="18"/>
          <w:szCs w:val="18"/>
          <w:color w:val="auto"/>
        </w:rPr>
        <w:t>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34290</wp:posOffset>
            </wp:positionV>
            <wp:extent cx="24434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9">
                      <a:extLst>
                        <a:ext uri="{28A0092B-C50C-407E-A947-70E740481C1C}"/>
                      </a:extLst>
                    </a:blip>
                    <a:srcRect/>
                    <a:stretch>
                      <a:fillRect/>
                    </a:stretch>
                  </pic:blipFill>
                  <pic:spPr bwMode="auto">
                    <a:xfrm>
                      <a:off x="0" y="0"/>
                      <a:ext cx="2443480" cy="8255"/>
                    </a:xfrm>
                    <a:prstGeom prst="rect">
                      <a:avLst/>
                    </a:prstGeom>
                    <a:noFill/>
                  </pic:spPr>
                </pic:pic>
              </a:graphicData>
            </a:graphic>
          </wp:anchor>
        </w:drawing>
      </w:r>
    </w:p>
    <w:p>
      <w:pPr>
        <w:spacing w:after="0" w:line="4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Priscilla Sims Brown</w:t>
      </w:r>
    </w:p>
    <w:p>
      <w:pPr>
        <w:spacing w:after="0" w:line="2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each of Priscilla Sims Brown, Jason Darby, and Mandy Tenner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U.S. Securities and Exchange Commission, granting unto such attorney-in-fact and agent full power and authority to do and perform each and every act and thing requisite or necessary to be done in and about the premises, as fully to all intents and purposes as he or she might or could do in person, hereby ratifying and confirming all that such attorney-in-fact and agent, or his or her substitute or substitutes, may lawfully do or cause to be done by virtue hereof.</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Signature</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6"/>
                <w:szCs w:val="16"/>
                <w:b w:val="1"/>
                <w:bCs w:val="1"/>
                <w:color w:val="auto"/>
              </w:rPr>
              <w:t>Title</w:t>
            </w:r>
          </w:p>
        </w:tc>
      </w:tr>
      <w:tr>
        <w:trPr>
          <w:trHeight w:val="27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/s/ Lynne P. Fox</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and Chair of the Board</w:t>
            </w:r>
          </w:p>
        </w:tc>
      </w:tr>
      <w:tr>
        <w:trPr>
          <w:trHeight w:val="224"/>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Lynne P. Fox</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62"/>
        </w:trPr>
        <w:tc>
          <w:tcPr>
            <w:tcW w:w="2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 President and Chief Executive Officer (Principal</w:t>
            </w:r>
          </w:p>
        </w:tc>
      </w:tr>
      <w:tr>
        <w:trPr>
          <w:trHeight w:val="223"/>
        </w:trPr>
        <w:tc>
          <w:tcPr>
            <w:tcW w:w="220" w:type="dxa"/>
            <w:vAlign w:val="bottom"/>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Priscilla Sims Brown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Executive Officer)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Priscilla Sims Brown</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62"/>
        </w:trPr>
        <w:tc>
          <w:tcPr>
            <w:tcW w:w="2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23"/>
        </w:trPr>
        <w:tc>
          <w:tcPr>
            <w:tcW w:w="220" w:type="dxa"/>
            <w:vAlign w:val="bottom"/>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Jason Darby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Financial Officer)</w:t>
            </w:r>
          </w:p>
        </w:tc>
      </w:tr>
      <w:tr>
        <w:trPr>
          <w:trHeight w:val="224"/>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Jason Darby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62"/>
        </w:trPr>
        <w:tc>
          <w:tcPr>
            <w:tcW w:w="220" w:type="dxa"/>
            <w:vAlign w:val="bottom"/>
          </w:tcPr>
          <w:p>
            <w:pPr>
              <w:spacing w:after="0"/>
              <w:rPr>
                <w:sz w:val="22"/>
                <w:szCs w:val="22"/>
                <w:color w:val="auto"/>
              </w:rPr>
            </w:pPr>
          </w:p>
        </w:tc>
        <w:tc>
          <w:tcPr>
            <w:tcW w:w="4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Accounting Officer</w:t>
            </w:r>
          </w:p>
        </w:tc>
      </w:tr>
      <w:tr>
        <w:trPr>
          <w:trHeight w:val="223"/>
        </w:trPr>
        <w:tc>
          <w:tcPr>
            <w:tcW w:w="220" w:type="dxa"/>
            <w:vAlign w:val="bottom"/>
          </w:tcPr>
          <w:p>
            <w:pPr>
              <w:spacing w:after="0"/>
              <w:rPr>
                <w:sz w:val="19"/>
                <w:szCs w:val="19"/>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Leslie Veluswamy</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 Accounting Officer)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Leslie Veluswamy</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6"/>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Maryann Bruce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Maryann Bruce</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6"/>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Mark A. Finser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Mark A. Finser</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Darrell Jackson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Darrell Jackson</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96"/>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Julie Kelly</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Julie Kelly</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JoAnn Lilek</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JoAnn Lilek</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Meredith Miller</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Meredith Miller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Edgar Romney, Sr.</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Edgar Romney, Sr.</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97"/>
        </w:trPr>
        <w:tc>
          <w:tcPr>
            <w:tcW w:w="220" w:type="dxa"/>
            <w:vAlign w:val="bottom"/>
          </w:tcPr>
          <w:p>
            <w:pPr>
              <w:spacing w:after="0"/>
              <w:rPr>
                <w:sz w:val="24"/>
                <w:szCs w:val="24"/>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Julieta Ross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64"/>
        </w:trPr>
        <w:tc>
          <w:tcPr>
            <w:tcW w:w="220" w:type="dxa"/>
            <w:vAlign w:val="bottom"/>
          </w:tcPr>
          <w:p>
            <w:pPr>
              <w:spacing w:after="0"/>
              <w:rPr>
                <w:sz w:val="22"/>
                <w:szCs w:val="22"/>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Julieta Ross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spacing w:after="0"/>
              <w:rPr>
                <w:sz w:val="22"/>
                <w:szCs w:val="22"/>
                <w:color w:val="auto"/>
              </w:rPr>
            </w:pPr>
          </w:p>
        </w:tc>
      </w:tr>
      <w:tr>
        <w:trPr>
          <w:trHeight w:val="256"/>
        </w:trPr>
        <w:tc>
          <w:tcPr>
            <w:tcW w:w="220" w:type="dxa"/>
            <w:vAlign w:val="bottom"/>
          </w:tcPr>
          <w:p>
            <w:pPr>
              <w:spacing w:after="0"/>
              <w:rPr>
                <w:sz w:val="22"/>
                <w:szCs w:val="22"/>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/s/ Royce "Tony" Wells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Royce "Tony" Wells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56"/>
        </w:trPr>
        <w:tc>
          <w:tcPr>
            <w:tcW w:w="220" w:type="dxa"/>
            <w:vAlign w:val="bottom"/>
          </w:tcPr>
          <w:p>
            <w:pPr>
              <w:spacing w:after="0"/>
              <w:rPr>
                <w:sz w:val="22"/>
                <w:szCs w:val="22"/>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Scott Stoll</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Scott Stoll</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r>
        <w:trPr>
          <w:trHeight w:val="256"/>
        </w:trPr>
        <w:tc>
          <w:tcPr>
            <w:tcW w:w="220" w:type="dxa"/>
            <w:vAlign w:val="bottom"/>
          </w:tcPr>
          <w:p>
            <w:pPr>
              <w:spacing w:after="0"/>
              <w:rPr>
                <w:sz w:val="22"/>
                <w:szCs w:val="22"/>
                <w:color w:val="auto"/>
              </w:rPr>
            </w:pPr>
          </w:p>
        </w:tc>
        <w:tc>
          <w:tcPr>
            <w:tcW w:w="4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/s/ Steven SaLoutos</w:t>
            </w: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Director</w:t>
            </w:r>
          </w:p>
        </w:tc>
      </w:tr>
      <w:tr>
        <w:trPr>
          <w:trHeight w:val="223"/>
        </w:trPr>
        <w:tc>
          <w:tcPr>
            <w:tcW w:w="220" w:type="dxa"/>
            <w:vAlign w:val="bottom"/>
          </w:tcPr>
          <w:p>
            <w:pPr>
              <w:spacing w:after="0"/>
              <w:rPr>
                <w:sz w:val="19"/>
                <w:szCs w:val="19"/>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Steven SaLoutos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36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Date</w:t>
      </w:r>
    </w:p>
    <w:p>
      <w:pPr>
        <w:spacing w:after="0" w:line="1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5, 2026</w:t>
      </w:r>
    </w:p>
    <w:p>
      <w:pPr>
        <w:sectPr>
          <w:pgSz w:w="11900" w:h="16838" w:orient="portrait"/>
          <w:cols w:equalWidth="0" w:num="2">
            <w:col w:w="9600" w:space="120"/>
            <w:col w:w="940"/>
          </w:cols>
          <w:pgMar w:left="320" w:top="1440" w:right="919" w:bottom="1440" w:gutter="0" w:footer="0" w:header="0"/>
        </w:sectPr>
      </w:pPr>
    </w:p>
    <w:bookmarkStart w:id="157" w:name="page158"/>
    <w:bookmarkEnd w:id="157"/>
    <w:p>
      <w:pPr>
        <w:jc w:val="center"/>
        <w:spacing w:after="0"/>
        <w:rPr>
          <w:sz w:val="20"/>
          <w:szCs w:val="20"/>
          <w:color w:val="auto"/>
        </w:rPr>
      </w:pPr>
      <w:r>
        <w:rPr>
          <w:rFonts w:ascii="Times New Roman" w:cs="Times New Roman" w:eastAsia="Times New Roman" w:hAnsi="Times New Roman"/>
          <w:sz w:val="20"/>
          <w:szCs w:val="20"/>
          <w:b w:val="1"/>
          <w:bCs w:val="1"/>
          <w:color w:val="auto"/>
        </w:rPr>
        <w:t>AMALGAMATED FINANCIAL CORP. 2023 EQUITY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UNIT AWARD AGREEMENT</w:t>
      </w:r>
    </w:p>
    <w:p>
      <w:pPr>
        <w:spacing w:after="0" w:line="2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Amalgamated Financial Corp. (the “</w:t>
      </w:r>
      <w:r>
        <w:rPr>
          <w:rFonts w:ascii="Times New Roman" w:cs="Times New Roman" w:eastAsia="Times New Roman" w:hAnsi="Times New Roman"/>
          <w:sz w:val="21"/>
          <w:szCs w:val="21"/>
          <w:b w:val="1"/>
          <w:bCs w:val="1"/>
          <w:color w:val="auto"/>
        </w:rPr>
        <w:t>Bank</w:t>
      </w:r>
      <w:r>
        <w:rPr>
          <w:rFonts w:ascii="Times New Roman" w:cs="Times New Roman" w:eastAsia="Times New Roman" w:hAnsi="Times New Roman"/>
          <w:sz w:val="20"/>
          <w:szCs w:val="20"/>
          <w:color w:val="auto"/>
        </w:rPr>
        <w:t>”) hereby grants you restricted stock units through the Amalgamated Financial Corp. 2023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0"/>
          <w:szCs w:val="20"/>
          <w:color w:val="auto"/>
        </w:rPr>
        <w:t>”), subject to certain restrictions as described herein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Performance Restricted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PRSUs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40575" cy="248602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1">
                      <a:extLst>
                        <a:ext uri="{28A0092B-C50C-407E-A947-70E740481C1C}"/>
                      </a:extLst>
                    </a:blip>
                    <a:srcRect/>
                    <a:stretch>
                      <a:fillRect/>
                    </a:stretch>
                  </pic:blipFill>
                  <pic:spPr bwMode="auto">
                    <a:xfrm>
                      <a:off x="0" y="0"/>
                      <a:ext cx="7140575" cy="2486025"/>
                    </a:xfrm>
                    <a:prstGeom prst="rect">
                      <a:avLst/>
                    </a:prstGeom>
                    <a:noFill/>
                  </pic:spPr>
                </pic:pic>
              </a:graphicData>
            </a:graphic>
          </wp:anchor>
        </w:drawing>
      </w:r>
    </w:p>
    <w:p>
      <w:pPr>
        <w:spacing w:after="0" w:line="2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Participant (“you”): _____________________</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Grant: March 1, 2026</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 Restricted Stock Units: _________, which are divided into:</w:t>
      </w:r>
    </w:p>
    <w:p>
      <w:pPr>
        <w:spacing w:after="0" w:line="3" w:lineRule="exact"/>
        <w:rPr>
          <w:sz w:val="20"/>
          <w:szCs w:val="20"/>
          <w:color w:val="auto"/>
        </w:rPr>
      </w:pPr>
    </w:p>
    <w:p>
      <w:pPr>
        <w:ind w:left="1340" w:hanging="329"/>
        <w:spacing w:after="0"/>
        <w:tabs>
          <w:tab w:leader="none" w:pos="1340" w:val="left"/>
        </w:tabs>
        <w:numPr>
          <w:ilvl w:val="0"/>
          <w:numId w:val="50"/>
        </w:numPr>
        <w:rPr>
          <w:rFonts w:ascii="Arial" w:cs="Arial" w:eastAsia="Arial" w:hAnsi="Arial"/>
          <w:sz w:val="22"/>
          <w:szCs w:val="22"/>
          <w:color w:val="auto"/>
        </w:rPr>
      </w:pPr>
      <w:r>
        <w:rPr>
          <w:rFonts w:ascii="Times New Roman" w:cs="Times New Roman" w:eastAsia="Times New Roman" w:hAnsi="Times New Roman"/>
          <w:sz w:val="22"/>
          <w:szCs w:val="22"/>
          <w:color w:val="auto"/>
        </w:rPr>
        <w:t>Book Value Growth RSUs ________ [</w:t>
      </w:r>
      <w:r>
        <w:rPr>
          <w:rFonts w:ascii="Times New Roman" w:cs="Times New Roman" w:eastAsia="Times New Roman" w:hAnsi="Times New Roman"/>
          <w:sz w:val="22"/>
          <w:szCs w:val="22"/>
          <w:i w:val="1"/>
          <w:iCs w:val="1"/>
          <w:color w:val="auto"/>
        </w:rPr>
        <w:t>50% of FMV of award value, rounded down</w:t>
      </w:r>
      <w:r>
        <w:rPr>
          <w:rFonts w:ascii="Times New Roman" w:cs="Times New Roman" w:eastAsia="Times New Roman" w:hAnsi="Times New Roman"/>
          <w:sz w:val="22"/>
          <w:szCs w:val="22"/>
          <w:color w:val="auto"/>
        </w:rPr>
        <w:t>]</w:t>
      </w:r>
    </w:p>
    <w:p>
      <w:pPr>
        <w:ind w:left="1340" w:hanging="329"/>
        <w:spacing w:after="0"/>
        <w:tabs>
          <w:tab w:leader="none" w:pos="134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Relative TSR RSUs ________ </w:t>
      </w:r>
      <w:r>
        <w:rPr>
          <w:rFonts w:ascii="Times New Roman" w:cs="Times New Roman" w:eastAsia="Times New Roman" w:hAnsi="Times New Roman"/>
          <w:sz w:val="22"/>
          <w:szCs w:val="22"/>
          <w:i w:val="1"/>
          <w:iCs w:val="1"/>
          <w:color w:val="auto"/>
        </w:rPr>
        <w:t>[remaining Share</w:t>
      </w:r>
      <w:r>
        <w:rPr>
          <w:rFonts w:ascii="Times New Roman" w:cs="Times New Roman" w:eastAsia="Times New Roman" w:hAnsi="Times New Roman"/>
          <w:sz w:val="22"/>
          <w:szCs w:val="22"/>
          <w:color w:val="auto"/>
        </w:rPr>
        <w:t>s</w:t>
      </w:r>
    </w:p>
    <w:p>
      <w:pPr>
        <w:spacing w:after="0" w:line="209" w:lineRule="exact"/>
        <w:rPr>
          <w:sz w:val="20"/>
          <w:szCs w:val="20"/>
          <w:color w:val="auto"/>
        </w:rPr>
      </w:pPr>
    </w:p>
    <w:p>
      <w:pPr>
        <w:ind w:left="40" w:right="1800"/>
        <w:spacing w:after="0" w:line="282" w:lineRule="auto"/>
        <w:rPr>
          <w:sz w:val="20"/>
          <w:szCs w:val="20"/>
          <w:color w:val="auto"/>
        </w:rPr>
      </w:pPr>
      <w:r>
        <w:rPr>
          <w:rFonts w:ascii="Times New Roman" w:cs="Times New Roman" w:eastAsia="Times New Roman" w:hAnsi="Times New Roman"/>
          <w:sz w:val="21"/>
          <w:szCs w:val="21"/>
          <w:color w:val="auto"/>
        </w:rPr>
        <w:t>Book Value Growth RSUs will be priced using the closing price on the immediately preceding business day Relative TSR RSUs will be priced using a “Monte Carlo” price determined by a third-party valuation expert.</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Vest: March 1, 2029</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*subject to performance achievements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subject to the Compensation &amp; Human Resources Committee approval</w:t>
      </w:r>
    </w:p>
    <w:p>
      <w:pPr>
        <w:spacing w:after="0" w:line="200" w:lineRule="exact"/>
        <w:rPr>
          <w:sz w:val="20"/>
          <w:szCs w:val="20"/>
          <w:color w:val="auto"/>
        </w:rPr>
      </w:pPr>
    </w:p>
    <w:p>
      <w:pPr>
        <w:spacing w:after="0" w:line="3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The vesting and forfeiture provisions that apply to your Restricted Stock Units are described in the Plan and the attached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You will vest in your Restricted Stock Units (in whole Shares, rounded down) based on the Bank’s achievement of the following Performance Measures during the designated Performance Periods so long as the following conditions are met as of the end of the applicable Performance Period: (a) you have not Separated from Service, (b) you have not provided notice to us of your resignation, and (c) we have not provided notice to you of your termination for Cause. Determination of the number of RSUs that vest based on achievement of each of the following Performance Measures is mutually exclusive.</w:t>
      </w:r>
    </w:p>
    <w:p>
      <w:pPr>
        <w:spacing w:after="0" w:line="223" w:lineRule="exact"/>
        <w:rPr>
          <w:sz w:val="20"/>
          <w:szCs w:val="20"/>
          <w:color w:val="auto"/>
        </w:rPr>
      </w:pPr>
    </w:p>
    <w:p>
      <w:pPr>
        <w:jc w:val="both"/>
        <w:ind w:left="660" w:hanging="328"/>
        <w:spacing w:after="0" w:line="243" w:lineRule="auto"/>
        <w:tabs>
          <w:tab w:leader="none" w:pos="657"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Book Value Growth RSUs.</w:t>
      </w:r>
      <w:r>
        <w:rPr>
          <w:rFonts w:ascii="Times New Roman" w:cs="Times New Roman" w:eastAsia="Times New Roman" w:hAnsi="Times New Roman"/>
          <w:sz w:val="20"/>
          <w:szCs w:val="20"/>
          <w:color w:val="auto"/>
        </w:rPr>
        <w:t xml:space="preserve"> RSUs (rounded down to the nearest whole Share) representing fifty percent (50%) of the total Fair Market Value of your Award on its Date of Grant (</w:t>
      </w:r>
      <w:r>
        <w:rPr>
          <w:rFonts w:ascii="Times New Roman" w:cs="Times New Roman" w:eastAsia="Times New Roman" w:hAnsi="Times New Roman"/>
          <w:sz w:val="21"/>
          <w:szCs w:val="21"/>
          <w:b w:val="1"/>
          <w:bCs w:val="1"/>
          <w:color w:val="auto"/>
        </w:rPr>
        <w:t>“Book Value Growth RSUs”</w:t>
      </w:r>
      <w:r>
        <w:rPr>
          <w:rFonts w:ascii="Times New Roman" w:cs="Times New Roman" w:eastAsia="Times New Roman" w:hAnsi="Times New Roman"/>
          <w:sz w:val="20"/>
          <w:szCs w:val="20"/>
          <w:color w:val="auto"/>
        </w:rPr>
        <w:t>) shall vest based on Adjusted Tangible Book Value Growth per Share over the Performance Period as follows:</w:t>
      </w:r>
    </w:p>
    <w:tbl>
      <w:tblPr>
        <w:tblLayout w:type="fixed"/>
        <w:tblInd w:w="10" w:type="dxa"/>
        <w:tblCellMar>
          <w:top w:w="0" w:type="dxa"/>
          <w:left w:w="0" w:type="dxa"/>
          <w:bottom w:w="0" w:type="dxa"/>
          <w:right w:w="0" w:type="dxa"/>
        </w:tblCellMar>
      </w:tblPr>
      <w:tr>
        <w:trPr>
          <w:trHeight w:val="265"/>
        </w:trPr>
        <w:tc>
          <w:tcPr>
            <w:tcW w:w="286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900" w:type="dxa"/>
            <w:vAlign w:val="bottom"/>
            <w:tcBorders>
              <w:top w:val="single" w:sz="8" w:color="auto"/>
              <w:bottom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Threshold Goal</w:t>
            </w:r>
          </w:p>
        </w:tc>
        <w:tc>
          <w:tcPr>
            <w:tcW w:w="2200" w:type="dxa"/>
            <w:vAlign w:val="bottom"/>
            <w:tcBorders>
              <w:top w:val="single" w:sz="8" w:color="auto"/>
              <w:bottom w:val="single" w:sz="8" w:color="auto"/>
              <w:right w:val="single" w:sz="8" w:color="auto"/>
            </w:tcBorders>
          </w:tcPr>
          <w:p>
            <w:pPr>
              <w:jc w:val="right"/>
              <w:ind w:right="521"/>
              <w:spacing w:after="0"/>
              <w:rPr>
                <w:sz w:val="20"/>
                <w:szCs w:val="20"/>
                <w:color w:val="auto"/>
              </w:rPr>
            </w:pPr>
            <w:r>
              <w:rPr>
                <w:rFonts w:ascii="Times New Roman" w:cs="Times New Roman" w:eastAsia="Times New Roman" w:hAnsi="Times New Roman"/>
                <w:sz w:val="20"/>
                <w:szCs w:val="20"/>
                <w:b w:val="1"/>
                <w:bCs w:val="1"/>
                <w:color w:val="auto"/>
              </w:rPr>
              <w:t>Target Goal</w:t>
            </w:r>
          </w:p>
        </w:tc>
        <w:tc>
          <w:tcPr>
            <w:tcW w:w="1940" w:type="dxa"/>
            <w:vAlign w:val="bottom"/>
            <w:tcBorders>
              <w:top w:val="single" w:sz="8" w:color="auto"/>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Maximum Goal</w:t>
            </w:r>
          </w:p>
        </w:tc>
      </w:tr>
      <w:tr>
        <w:trPr>
          <w:trHeight w:val="209"/>
        </w:trPr>
        <w:tc>
          <w:tcPr>
            <w:tcW w:w="2860" w:type="dxa"/>
            <w:vAlign w:val="bottom"/>
            <w:tcBorders>
              <w:left w:val="single" w:sz="8" w:color="auto"/>
              <w:right w:val="single" w:sz="8" w:color="auto"/>
            </w:tcBorders>
          </w:tcPr>
          <w:p>
            <w:pPr>
              <w:ind w:left="40"/>
              <w:spacing w:after="0" w:line="208" w:lineRule="exact"/>
              <w:rPr>
                <w:sz w:val="20"/>
                <w:szCs w:val="20"/>
                <w:color w:val="auto"/>
              </w:rPr>
            </w:pPr>
            <w:r>
              <w:rPr>
                <w:rFonts w:ascii="Times New Roman" w:cs="Times New Roman" w:eastAsia="Times New Roman" w:hAnsi="Times New Roman"/>
                <w:sz w:val="20"/>
                <w:szCs w:val="20"/>
                <w:b w:val="1"/>
                <w:bCs w:val="1"/>
                <w:color w:val="auto"/>
              </w:rPr>
              <w:t>1/1/26 – 12/31/28</w:t>
            </w:r>
          </w:p>
        </w:tc>
        <w:tc>
          <w:tcPr>
            <w:tcW w:w="1900" w:type="dxa"/>
            <w:vAlign w:val="bottom"/>
            <w:tcBorders>
              <w:right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7.18%</w:t>
            </w:r>
          </w:p>
        </w:tc>
        <w:tc>
          <w:tcPr>
            <w:tcW w:w="2200" w:type="dxa"/>
            <w:vAlign w:val="bottom"/>
            <w:tcBorders>
              <w:right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10.25%</w:t>
            </w:r>
          </w:p>
        </w:tc>
        <w:tc>
          <w:tcPr>
            <w:tcW w:w="1940" w:type="dxa"/>
            <w:vAlign w:val="bottom"/>
            <w:tcBorders>
              <w:right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13.33%</w:t>
            </w:r>
          </w:p>
        </w:tc>
      </w:tr>
      <w:tr>
        <w:trPr>
          <w:trHeight w:val="295"/>
        </w:trPr>
        <w:tc>
          <w:tcPr>
            <w:tcW w:w="286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70% of target</w:t>
            </w:r>
            <w:r>
              <w:rPr>
                <w:rFonts w:ascii="Times New Roman" w:cs="Times New Roman" w:eastAsia="Times New Roman" w:hAnsi="Times New Roman"/>
                <w:sz w:val="20"/>
                <w:szCs w:val="20"/>
                <w:color w:val="auto"/>
              </w:rPr>
              <w:t>)</w:t>
            </w:r>
          </w:p>
        </w:tc>
        <w:tc>
          <w:tcPr>
            <w:tcW w:w="220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130% of target</w:t>
            </w:r>
            <w:r>
              <w:rPr>
                <w:rFonts w:ascii="Times New Roman" w:cs="Times New Roman" w:eastAsia="Times New Roman" w:hAnsi="Times New Roman"/>
                <w:sz w:val="20"/>
                <w:szCs w:val="20"/>
                <w:color w:val="auto"/>
              </w:rPr>
              <w:t>)</w:t>
            </w:r>
          </w:p>
        </w:tc>
      </w:tr>
      <w:tr>
        <w:trPr>
          <w:trHeight w:val="266"/>
        </w:trPr>
        <w:tc>
          <w:tcPr>
            <w:tcW w:w="28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Payout Level</w:t>
            </w:r>
          </w:p>
        </w:tc>
        <w:tc>
          <w:tcPr>
            <w:tcW w:w="1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2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1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r>
    </w:tbl>
    <w:p>
      <w:pPr>
        <w:spacing w:after="0" w:line="30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1"/>
          <w:szCs w:val="21"/>
          <w:b w:val="1"/>
          <w:bCs w:val="1"/>
          <w:color w:val="auto"/>
        </w:rPr>
        <w:t>Adjusted Tangible Book Value Growth</w:t>
      </w:r>
      <w:r>
        <w:rPr>
          <w:rFonts w:ascii="Times New Roman" w:cs="Times New Roman" w:eastAsia="Times New Roman" w:hAnsi="Times New Roman"/>
          <w:sz w:val="20"/>
          <w:szCs w:val="20"/>
          <w:color w:val="auto"/>
        </w:rPr>
        <w:t>” means stockholders’ equity, excluding minority interests, preferred stock, goodwill, core deposit intangibles, mergers and acquisitions, share repurchases, non-core items (such as tax adjustments), dividends paid on Bank stock,</w:t>
      </w:r>
    </w:p>
    <w:p>
      <w:pPr>
        <w:sectPr>
          <w:pgSz w:w="11900" w:h="16838" w:orient="portrait"/>
          <w:cols w:equalWidth="0" w:num="1">
            <w:col w:w="11240"/>
          </w:cols>
          <w:pgMar w:left="320" w:top="1409" w:right="339" w:bottom="1440" w:gutter="0" w:footer="0" w:header="0"/>
        </w:sectPr>
      </w:pPr>
    </w:p>
    <w:bookmarkStart w:id="158" w:name="page159"/>
    <w:bookmarkEnd w:id="158"/>
    <w:p>
      <w:pPr>
        <w:ind w:right="20"/>
        <w:spacing w:after="0" w:line="255" w:lineRule="auto"/>
        <w:rPr>
          <w:sz w:val="20"/>
          <w:szCs w:val="20"/>
          <w:color w:val="auto"/>
        </w:rPr>
      </w:pPr>
      <w:r>
        <w:rPr>
          <w:rFonts w:ascii="Times New Roman" w:cs="Times New Roman" w:eastAsia="Times New Roman" w:hAnsi="Times New Roman"/>
          <w:sz w:val="20"/>
          <w:szCs w:val="20"/>
          <w:color w:val="auto"/>
        </w:rPr>
        <w:t>stock-based compensation expense, and other comprehensive income. The Performance Period for this measure will be 1/1/26 to 12/31/28 to align with the Bank’s fiscal year.</w:t>
      </w:r>
    </w:p>
    <w:p>
      <w:pPr>
        <w:spacing w:after="0" w:line="191" w:lineRule="exact"/>
        <w:rPr>
          <w:sz w:val="20"/>
          <w:szCs w:val="20"/>
          <w:color w:val="auto"/>
        </w:rPr>
      </w:pPr>
    </w:p>
    <w:p>
      <w:pPr>
        <w:ind w:left="660" w:right="1060" w:hanging="328"/>
        <w:spacing w:after="0" w:line="263" w:lineRule="auto"/>
        <w:tabs>
          <w:tab w:leader="none" w:pos="64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Relative TSR RSUs</w:t>
      </w:r>
      <w:r>
        <w:rPr>
          <w:rFonts w:ascii="Times New Roman" w:cs="Times New Roman" w:eastAsia="Times New Roman" w:hAnsi="Times New Roman"/>
          <w:sz w:val="20"/>
          <w:szCs w:val="20"/>
          <w:color w:val="auto"/>
        </w:rPr>
        <w:t>. The remainder of your RSUs (</w:t>
      </w:r>
      <w:r>
        <w:rPr>
          <w:rFonts w:ascii="Times New Roman" w:cs="Times New Roman" w:eastAsia="Times New Roman" w:hAnsi="Times New Roman"/>
          <w:sz w:val="21"/>
          <w:szCs w:val="21"/>
          <w:b w:val="1"/>
          <w:bCs w:val="1"/>
          <w:color w:val="auto"/>
        </w:rPr>
        <w:t>“Relative TSR RSUs”</w:t>
      </w:r>
      <w:r>
        <w:rPr>
          <w:rFonts w:ascii="Times New Roman" w:cs="Times New Roman" w:eastAsia="Times New Roman" w:hAnsi="Times New Roman"/>
          <w:sz w:val="20"/>
          <w:szCs w:val="20"/>
          <w:color w:val="auto"/>
        </w:rPr>
        <w:t>) shall vest based on Relative TSR over the Performance Period as follows:</w:t>
      </w:r>
    </w:p>
    <w:tbl>
      <w:tblPr>
        <w:tblLayout w:type="fixed"/>
        <w:tblInd w:w="10" w:type="dxa"/>
        <w:tblCellMar>
          <w:top w:w="0" w:type="dxa"/>
          <w:left w:w="0" w:type="dxa"/>
          <w:bottom w:w="0" w:type="dxa"/>
          <w:right w:w="0" w:type="dxa"/>
        </w:tblCellMar>
      </w:tblPr>
      <w:tr>
        <w:trPr>
          <w:trHeight w:val="248"/>
        </w:trPr>
        <w:tc>
          <w:tcPr>
            <w:tcW w:w="284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940" w:type="dxa"/>
            <w:vAlign w:val="bottom"/>
            <w:tcBorders>
              <w:top w:val="single" w:sz="8" w:color="auto"/>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Threshold Goal</w:t>
            </w:r>
          </w:p>
        </w:tc>
        <w:tc>
          <w:tcPr>
            <w:tcW w:w="2040" w:type="dxa"/>
            <w:vAlign w:val="bottom"/>
            <w:tcBorders>
              <w:top w:val="single" w:sz="8" w:color="auto"/>
              <w:bottom w:val="single" w:sz="8" w:color="auto"/>
              <w:right w:val="single" w:sz="8" w:color="auto"/>
            </w:tcBorders>
          </w:tcPr>
          <w:p>
            <w:pPr>
              <w:jc w:val="right"/>
              <w:ind w:right="421"/>
              <w:spacing w:after="0"/>
              <w:rPr>
                <w:sz w:val="20"/>
                <w:szCs w:val="20"/>
                <w:color w:val="auto"/>
              </w:rPr>
            </w:pPr>
            <w:r>
              <w:rPr>
                <w:rFonts w:ascii="Times New Roman" w:cs="Times New Roman" w:eastAsia="Times New Roman" w:hAnsi="Times New Roman"/>
                <w:sz w:val="20"/>
                <w:szCs w:val="20"/>
                <w:b w:val="1"/>
                <w:bCs w:val="1"/>
                <w:color w:val="auto"/>
              </w:rPr>
              <w:t>Target Goal</w:t>
            </w:r>
          </w:p>
        </w:tc>
        <w:tc>
          <w:tcPr>
            <w:tcW w:w="2000" w:type="dxa"/>
            <w:vAlign w:val="bottom"/>
            <w:tcBorders>
              <w:top w:val="single" w:sz="8" w:color="auto"/>
              <w:bottom w:val="single" w:sz="8" w:color="auto"/>
              <w:right w:val="single" w:sz="8" w:color="auto"/>
            </w:tcBorders>
          </w:tcPr>
          <w:p>
            <w:pPr>
              <w:jc w:val="right"/>
              <w:ind w:right="241"/>
              <w:spacing w:after="0"/>
              <w:rPr>
                <w:sz w:val="20"/>
                <w:szCs w:val="20"/>
                <w:color w:val="auto"/>
              </w:rPr>
            </w:pPr>
            <w:r>
              <w:rPr>
                <w:rFonts w:ascii="Times New Roman" w:cs="Times New Roman" w:eastAsia="Times New Roman" w:hAnsi="Times New Roman"/>
                <w:sz w:val="20"/>
                <w:szCs w:val="20"/>
                <w:b w:val="1"/>
                <w:bCs w:val="1"/>
                <w:color w:val="auto"/>
              </w:rPr>
              <w:t>Maximum Goal</w:t>
            </w:r>
          </w:p>
        </w:tc>
      </w:tr>
      <w:tr>
        <w:trPr>
          <w:trHeight w:val="231"/>
        </w:trPr>
        <w:tc>
          <w:tcPr>
            <w:tcW w:w="284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1/1/26 – 12/31/28</w:t>
            </w:r>
          </w:p>
        </w:tc>
        <w:tc>
          <w:tcPr>
            <w:tcW w:w="1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Percentile of Peers</w:t>
            </w:r>
          </w:p>
        </w:tc>
        <w:tc>
          <w:tcPr>
            <w:tcW w:w="20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Percentile</w:t>
            </w:r>
          </w:p>
        </w:tc>
        <w:tc>
          <w:tcPr>
            <w:tcW w:w="200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Percentile</w:t>
            </w:r>
          </w:p>
        </w:tc>
      </w:tr>
      <w:tr>
        <w:trPr>
          <w:trHeight w:val="262"/>
        </w:trPr>
        <w:tc>
          <w:tcPr>
            <w:tcW w:w="2840" w:type="dxa"/>
            <w:vAlign w:val="bottom"/>
            <w:tcBorders>
              <w:left w:val="single" w:sz="8" w:color="auto"/>
              <w:bottom w:val="single" w:sz="8" w:color="auto"/>
              <w:right w:val="single" w:sz="8" w:color="auto"/>
            </w:tcBorders>
          </w:tcPr>
          <w:p>
            <w:pPr>
              <w:spacing w:after="0"/>
              <w:rPr>
                <w:sz w:val="22"/>
                <w:szCs w:val="22"/>
                <w:color w:val="auto"/>
              </w:rPr>
            </w:pPr>
          </w:p>
        </w:tc>
        <w:tc>
          <w:tcPr>
            <w:tcW w:w="1940" w:type="dxa"/>
            <w:vAlign w:val="bottom"/>
            <w:tcBorders>
              <w:bottom w:val="single" w:sz="8" w:color="auto"/>
              <w:right w:val="single" w:sz="8" w:color="auto"/>
            </w:tcBorders>
          </w:tcPr>
          <w:p>
            <w:pPr>
              <w:spacing w:after="0"/>
              <w:rPr>
                <w:sz w:val="22"/>
                <w:szCs w:val="22"/>
                <w:color w:val="auto"/>
              </w:rPr>
            </w:pPr>
          </w:p>
        </w:tc>
        <w:tc>
          <w:tcPr>
            <w:tcW w:w="2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of Peers</w:t>
            </w:r>
          </w:p>
        </w:tc>
        <w:tc>
          <w:tcPr>
            <w:tcW w:w="2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of Peers</w:t>
            </w:r>
          </w:p>
        </w:tc>
      </w:tr>
      <w:tr>
        <w:trPr>
          <w:trHeight w:val="263"/>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Award Payout Level</w:t>
            </w:r>
          </w:p>
        </w:tc>
        <w:tc>
          <w:tcPr>
            <w:tcW w:w="19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204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r>
    </w:tbl>
    <w:p>
      <w:pPr>
        <w:spacing w:after="0" w:line="3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1"/>
          <w:szCs w:val="21"/>
          <w:b w:val="1"/>
          <w:bCs w:val="1"/>
          <w:color w:val="auto"/>
        </w:rPr>
        <w:t>Relative TSR</w:t>
      </w:r>
      <w:r>
        <w:rPr>
          <w:rFonts w:ascii="Times New Roman" w:cs="Times New Roman" w:eastAsia="Times New Roman" w:hAnsi="Times New Roman"/>
          <w:sz w:val="20"/>
          <w:szCs w:val="20"/>
          <w:color w:val="auto"/>
        </w:rPr>
        <w:t xml:space="preserve">” means TSR (Share price appreciation plus accumulated dividends) measured relative to the S&amp;P’s Global Industry Classification Standard (GICS) industry code of “Banks” (industry code 401010) with total assets between $5B and $15B, including all of the compensation peers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0"/>
          <w:szCs w:val="20"/>
          <w:color w:val="auto"/>
        </w:rPr>
        <w:t xml:space="preserve"> to this Award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if any such compensation peer is acquired, declares bankruptcy or becomes subject to a regulatory takeover during the Performance Period, such compensation peer shall be assumed to have the lowest TSR of all compensation peers during the Performance Period). The end-price for TSR will the average closing price during the 30-day period ending on the last day of the Performance Period. The starting price will be the closing price on the last business day immediately preceding the start of the Performance Period. The Performance Period for this measure will begin on 1/1/26 and end on 12/31/28 in order to align the accounting value, grant value, and starting price for Participants.</w:t>
      </w:r>
    </w:p>
    <w:p>
      <w:pPr>
        <w:spacing w:after="0" w:line="199" w:lineRule="exact"/>
        <w:rPr>
          <w:sz w:val="20"/>
          <w:szCs w:val="20"/>
          <w:color w:val="auto"/>
        </w:rPr>
      </w:pPr>
    </w:p>
    <w:p>
      <w:pPr>
        <w:jc w:val="both"/>
        <w:ind w:firstLine="65"/>
        <w:spacing w:after="0" w:line="247" w:lineRule="auto"/>
        <w:rPr>
          <w:sz w:val="20"/>
          <w:szCs w:val="20"/>
          <w:color w:val="auto"/>
        </w:rPr>
      </w:pPr>
      <w:r>
        <w:rPr>
          <w:rFonts w:ascii="Times New Roman" w:cs="Times New Roman" w:eastAsia="Times New Roman" w:hAnsi="Times New Roman"/>
          <w:sz w:val="20"/>
          <w:szCs w:val="20"/>
          <w:color w:val="auto"/>
        </w:rPr>
        <w:t>The final number of Shares to be paid under your Award will be based on the extent to which each of the Performance Measures is achieved, with pro rata adjustment of Shares if achievement of Performance Measures exceeds the Threshold Goal and falls between the Threshold, Target and Maximum Goals.</w:t>
      </w:r>
    </w:p>
    <w:p>
      <w:pPr>
        <w:spacing w:after="0" w:line="204" w:lineRule="exact"/>
        <w:rPr>
          <w:sz w:val="20"/>
          <w:szCs w:val="20"/>
          <w:color w:val="auto"/>
        </w:rPr>
      </w:pPr>
    </w:p>
    <w:p>
      <w:pPr>
        <w:jc w:val="both"/>
        <w:ind w:firstLine="65"/>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Effect of Separation from Service. </w:t>
      </w:r>
      <w:r>
        <w:rPr>
          <w:rFonts w:ascii="Times New Roman" w:cs="Times New Roman" w:eastAsia="Times New Roman" w:hAnsi="Times New Roman"/>
          <w:sz w:val="20"/>
          <w:szCs w:val="20"/>
          <w:color w:val="auto"/>
        </w:rPr>
        <w:t>If you Separate from Service before the end of the Performance Periods for any reason you will forfeit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RSUs in which you have not yet vested as of your Separation from Service, unless:</w:t>
      </w:r>
    </w:p>
    <w:p>
      <w:pPr>
        <w:spacing w:after="0" w:line="196" w:lineRule="exact"/>
        <w:rPr>
          <w:sz w:val="20"/>
          <w:szCs w:val="20"/>
          <w:color w:val="auto"/>
        </w:rPr>
      </w:pPr>
    </w:p>
    <w:p>
      <w:pPr>
        <w:jc w:val="both"/>
        <w:ind w:left="660" w:hanging="328"/>
        <w:spacing w:after="0" w:line="235" w:lineRule="auto"/>
        <w:tabs>
          <w:tab w:leader="none" w:pos="655" w:val="left"/>
        </w:tabs>
        <w:numPr>
          <w:ilvl w:val="0"/>
          <w:numId w:val="53"/>
        </w:numPr>
        <w:rPr>
          <w:rFonts w:ascii="Arial" w:cs="Arial" w:eastAsia="Arial" w:hAnsi="Arial"/>
          <w:sz w:val="22"/>
          <w:szCs w:val="22"/>
          <w:color w:val="auto"/>
        </w:rPr>
      </w:pPr>
      <w:r>
        <w:rPr>
          <w:rFonts w:ascii="Times New Roman" w:cs="Times New Roman" w:eastAsia="Times New Roman" w:hAnsi="Times New Roman"/>
          <w:sz w:val="20"/>
          <w:szCs w:val="20"/>
          <w:color w:val="auto"/>
        </w:rPr>
        <w:t>Your Separation from Service is due to Disability or retirement (defined as age 65 with 5 continuous years of service with the Bank or its affiliates), and no Cause exists, in which case the unvested portion of your RSUs will continue to vest based on actual achievement of Performance Measures at the end of the applicable Performance Period as if you had not Separated from Service, subject to pro-ration based on the number of full months that you worked during each Performance Period prior to your Separation from Service as a percentage of the total Performance Period.</w:t>
      </w:r>
    </w:p>
    <w:p>
      <w:pPr>
        <w:spacing w:after="0" w:line="215" w:lineRule="exact"/>
        <w:rPr>
          <w:rFonts w:ascii="Arial" w:cs="Arial" w:eastAsia="Arial" w:hAnsi="Arial"/>
          <w:sz w:val="22"/>
          <w:szCs w:val="22"/>
          <w:color w:val="auto"/>
        </w:rPr>
      </w:pPr>
    </w:p>
    <w:p>
      <w:pPr>
        <w:jc w:val="both"/>
        <w:ind w:left="660" w:hanging="328"/>
        <w:spacing w:after="0" w:line="237" w:lineRule="auto"/>
        <w:tabs>
          <w:tab w:leader="none" w:pos="6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You die and no Cause exists, or you Separate from Service due to an involuntary termination by the Bank without Cause or due to your voluntary resignation for Good Reason, in which case your RSUs will immediately vest based on target achievement of Performance Measures, subject to pro-ration based on the number of full months that you worked during each Performance Period prior to your Separation from Service as a percentage of the total Performance Period.</w:t>
      </w:r>
    </w:p>
    <w:p>
      <w:pPr>
        <w:spacing w:after="0" w:line="229" w:lineRule="exact"/>
        <w:rPr>
          <w:rFonts w:ascii="Times New Roman" w:cs="Times New Roman" w:eastAsia="Times New Roman" w:hAnsi="Times New Roman"/>
          <w:sz w:val="22"/>
          <w:szCs w:val="22"/>
          <w:color w:val="auto"/>
        </w:rPr>
      </w:pPr>
    </w:p>
    <w:p>
      <w:pPr>
        <w:jc w:val="both"/>
        <w:ind w:left="660" w:hanging="328"/>
        <w:spacing w:after="0" w:line="236" w:lineRule="auto"/>
        <w:tabs>
          <w:tab w:leader="none" w:pos="6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You Separate from Service within one year following a Change in Control due to a Qualifying Termination (as defined in the Plan), in which case your RSUs will vest based on the Committee’s determination of actual performance and the Performance Measures will be determined as of (a) the most recent-completed fiscal quarter, for Adjusted Tangible Book Value Growth, and (b) as of the date of the Change in Control, for Relative TSR. </w:t>
      </w:r>
      <w:r>
        <w:rPr>
          <w:rFonts w:ascii="Times New Roman" w:cs="Times New Roman" w:eastAsia="Times New Roman" w:hAnsi="Times New Roman"/>
          <w:sz w:val="21"/>
          <w:szCs w:val="21"/>
          <w:color w:val="auto"/>
        </w:rPr>
        <w:t>If actual</w:t>
      </w:r>
    </w:p>
    <w:p>
      <w:pPr>
        <w:sectPr>
          <w:pgSz w:w="11900" w:h="16838" w:orient="portrait"/>
          <w:cols w:equalWidth="0" w:num="1">
            <w:col w:w="11240"/>
          </w:cols>
          <w:pgMar w:left="320" w:top="1413" w:right="339" w:bottom="1440" w:gutter="0" w:footer="0" w:header="0"/>
        </w:sectPr>
      </w:pPr>
    </w:p>
    <w:bookmarkStart w:id="159" w:name="page160"/>
    <w:bookmarkEnd w:id="159"/>
    <w:p>
      <w:pPr>
        <w:jc w:val="both"/>
        <w:ind w:left="660"/>
        <w:spacing w:after="0" w:line="244" w:lineRule="auto"/>
        <w:rPr>
          <w:sz w:val="20"/>
          <w:szCs w:val="20"/>
          <w:color w:val="auto"/>
        </w:rPr>
      </w:pPr>
      <w:r>
        <w:rPr>
          <w:rFonts w:ascii="Times New Roman" w:cs="Times New Roman" w:eastAsia="Times New Roman" w:hAnsi="Times New Roman"/>
          <w:sz w:val="22"/>
          <w:szCs w:val="22"/>
          <w:color w:val="auto"/>
        </w:rPr>
        <w:t>performance cannot be determined, your RSUs will vest based on achievement of Performance Measures at Target Goal, subject to pro-ration based on the number of full months that you worked during each Performance Period prior to your Separation from Service as a percentage of the total Performance Period.</w:t>
      </w:r>
    </w:p>
    <w:p>
      <w:pPr>
        <w:spacing w:after="0" w:line="205" w:lineRule="exact"/>
        <w:rPr>
          <w:sz w:val="20"/>
          <w:szCs w:val="20"/>
          <w:color w:val="auto"/>
        </w:rPr>
      </w:pPr>
    </w:p>
    <w:p>
      <w:pPr>
        <w:jc w:val="both"/>
        <w:ind w:firstLine="65"/>
        <w:spacing w:after="0" w:line="243" w:lineRule="auto"/>
        <w:rPr>
          <w:sz w:val="20"/>
          <w:szCs w:val="20"/>
          <w:color w:val="auto"/>
        </w:rPr>
      </w:pPr>
      <w:r>
        <w:rPr>
          <w:rFonts w:ascii="Times New Roman" w:cs="Times New Roman" w:eastAsia="Times New Roman" w:hAnsi="Times New Roman"/>
          <w:sz w:val="20"/>
          <w:szCs w:val="20"/>
          <w:color w:val="auto"/>
        </w:rPr>
        <w:t>If the Committee determines, at any time, that Cause exists at the time of your Separation from Service, all of your rights under this RSU Award will terminate immediately, you will forfeit all RSUs that have not yet vested as of the date of your Separation from Service, and the Bank shall have the right to repurchase any Shares that you have already received as a result of RSUs that have already vested, at the lower of Fair Market Value or the price paid by you, all as described in the Plan. The existence of “Cause” will be determined in the sole discretion of the Committee (or if the Board has chosen to reserve such power, the Board).</w:t>
      </w:r>
    </w:p>
    <w:p>
      <w:pPr>
        <w:spacing w:after="0" w:line="199" w:lineRule="exact"/>
        <w:rPr>
          <w:sz w:val="20"/>
          <w:szCs w:val="20"/>
          <w:color w:val="auto"/>
        </w:rPr>
      </w:pPr>
    </w:p>
    <w:p>
      <w:pPr>
        <w:jc w:val="both"/>
        <w:ind w:right="20" w:firstLine="65"/>
        <w:spacing w:after="0" w:line="269" w:lineRule="auto"/>
        <w:rPr>
          <w:sz w:val="20"/>
          <w:szCs w:val="20"/>
          <w:color w:val="auto"/>
        </w:rPr>
      </w:pPr>
      <w:r>
        <w:rPr>
          <w:rFonts w:ascii="Times New Roman" w:cs="Times New Roman" w:eastAsia="Times New Roman" w:hAnsi="Times New Roman"/>
          <w:sz w:val="20"/>
          <w:szCs w:val="20"/>
          <w:color w:val="auto"/>
        </w:rPr>
        <w:t>Note, however, that except where there is a Change in Control, or you die or become Disabled, you will not vest in any portion of your Award prior to the first anniversary after its Date of Grant.</w:t>
      </w:r>
    </w:p>
    <w:p>
      <w:pPr>
        <w:spacing w:after="0" w:line="173" w:lineRule="exact"/>
        <w:rPr>
          <w:sz w:val="20"/>
          <w:szCs w:val="20"/>
          <w:color w:val="auto"/>
        </w:rPr>
      </w:pPr>
    </w:p>
    <w:p>
      <w:pPr>
        <w:jc w:val="both"/>
        <w:ind w:firstLine="65"/>
        <w:spacing w:after="0" w:line="269" w:lineRule="auto"/>
        <w:rPr>
          <w:sz w:val="20"/>
          <w:szCs w:val="20"/>
          <w:color w:val="auto"/>
        </w:rPr>
      </w:pPr>
      <w:r>
        <w:rPr>
          <w:rFonts w:ascii="Times New Roman" w:cs="Times New Roman" w:eastAsia="Times New Roman" w:hAnsi="Times New Roman"/>
          <w:sz w:val="20"/>
          <w:szCs w:val="20"/>
          <w:color w:val="auto"/>
        </w:rPr>
        <w:t>To the extent dividends are paid on Shares covered by your RSUs prior to the date they become vested, you will be entitled to receive those dividends upon the vesting of the applicable RSU.</w:t>
      </w:r>
    </w:p>
    <w:p>
      <w:pPr>
        <w:spacing w:after="0" w:line="169" w:lineRule="exact"/>
        <w:rPr>
          <w:sz w:val="20"/>
          <w:szCs w:val="20"/>
          <w:color w:val="auto"/>
        </w:rPr>
      </w:pPr>
    </w:p>
    <w:p>
      <w:pPr>
        <w:jc w:val="both"/>
        <w:ind w:right="20" w:firstLine="65"/>
        <w:spacing w:after="0" w:line="249" w:lineRule="auto"/>
        <w:rPr>
          <w:sz w:val="20"/>
          <w:szCs w:val="20"/>
          <w:color w:val="auto"/>
        </w:rPr>
      </w:pPr>
      <w:r>
        <w:rPr>
          <w:rFonts w:ascii="Times New Roman" w:cs="Times New Roman" w:eastAsia="Times New Roman" w:hAnsi="Times New Roman"/>
          <w:sz w:val="20"/>
          <w:szCs w:val="20"/>
          <w:b w:val="1"/>
          <w:bCs w:val="1"/>
          <w:color w:val="auto"/>
        </w:rPr>
        <w:t>Additional Terms</w:t>
      </w:r>
      <w:r>
        <w:rPr>
          <w:rFonts w:ascii="Times New Roman" w:cs="Times New Roman" w:eastAsia="Times New Roman" w:hAnsi="Times New Roman"/>
          <w:sz w:val="20"/>
          <w:szCs w:val="20"/>
          <w:color w:val="auto"/>
        </w:rPr>
        <w:t>: Your rights and duties and those of the Bank under your Award are governed by the provisions of this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attached Terms and Conditions and Plan document, both of which are incorporated into this Award Agreement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 If there is any discrepancy between these documents, the Plan document will always govern.</w:t>
      </w:r>
    </w:p>
    <w:p>
      <w:pPr>
        <w:spacing w:after="0" w:line="227" w:lineRule="exact"/>
        <w:rPr>
          <w:sz w:val="20"/>
          <w:szCs w:val="20"/>
          <w:color w:val="auto"/>
        </w:rPr>
      </w:pPr>
    </w:p>
    <w:p>
      <w:pPr>
        <w:jc w:val="both"/>
        <w:ind w:firstLine="65"/>
        <w:spacing w:after="0" w:line="260" w:lineRule="auto"/>
        <w:rPr>
          <w:sz w:val="20"/>
          <w:szCs w:val="20"/>
          <w:color w:val="auto"/>
        </w:rPr>
      </w:pPr>
      <w:r>
        <w:rPr>
          <w:rFonts w:ascii="Times New Roman" w:cs="Times New Roman" w:eastAsia="Times New Roman" w:hAnsi="Times New Roman"/>
          <w:sz w:val="19"/>
          <w:szCs w:val="19"/>
          <w:color w:val="auto"/>
        </w:rPr>
        <w:t>This Award is designated as incentive compensation that is in addition to your regular cash wages. No amount of Common Stock or income received by you pursuant to this Award will be considered compensation for purposes of any severance or any pension, retirement, insurance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other employee benefit plan or program of the Bank or its Subsidiaries. It will not be included in calculating any employment-related</w:t>
      </w:r>
    </w:p>
    <w:p>
      <w:pPr>
        <w:spacing w:after="0" w:line="13"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9"/>
          <w:szCs w:val="19"/>
          <w:color w:val="auto"/>
        </w:rPr>
        <w:t>benefits to which you may be entitled from the Bank or any Subsidiary. Participation in the Plan is discretionary and voluntary, and the Plan can be terminated at any time. This Award does not create a right or entitlement to future awards, whether pursuant to the Plan or otherwise.</w:t>
      </w:r>
    </w:p>
    <w:p>
      <w:pPr>
        <w:spacing w:after="0" w:line="193" w:lineRule="exact"/>
        <w:rPr>
          <w:sz w:val="20"/>
          <w:szCs w:val="20"/>
          <w:color w:val="auto"/>
        </w:rPr>
      </w:pPr>
    </w:p>
    <w:p>
      <w:pPr>
        <w:jc w:val="both"/>
        <w:ind w:firstLine="65"/>
        <w:spacing w:after="0" w:line="254" w:lineRule="auto"/>
        <w:rPr>
          <w:sz w:val="20"/>
          <w:szCs w:val="20"/>
          <w:color w:val="auto"/>
        </w:rPr>
      </w:pPr>
      <w:r>
        <w:rPr>
          <w:rFonts w:ascii="Times New Roman" w:cs="Times New Roman" w:eastAsia="Times New Roman" w:hAnsi="Times New Roman"/>
          <w:sz w:val="20"/>
          <w:szCs w:val="20"/>
          <w:color w:val="auto"/>
        </w:rPr>
        <w:t>The governing law for purposes of resolving any issue relating to this Award or the Plan shall be United States federal law and, where appropriate, the laws of the State of New York. Any dispute regarding this Award or the Plan shall be resolved by a court of law in the City of New York, State of New York.</w:t>
      </w:r>
    </w:p>
    <w:p>
      <w:pPr>
        <w:spacing w:after="0" w:line="197" w:lineRule="exact"/>
        <w:rPr>
          <w:sz w:val="20"/>
          <w:szCs w:val="20"/>
          <w:color w:val="auto"/>
        </w:rPr>
      </w:pPr>
    </w:p>
    <w:p>
      <w:pPr>
        <w:jc w:val="both"/>
        <w:ind w:firstLine="65"/>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any questions regarding your Award, please see the enclosed Terms and Conditions and Plan document, or contact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Human Resources department.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AMALGAMATED FINANCIAL CORP.</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______________________________</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Priscilla Sims Brown</w:t>
      </w: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AMALGAMATED FINANCIAL CORP. 2023 EQUITY INCENTIVE PLAN</w:t>
      </w:r>
    </w:p>
    <w:p>
      <w:pPr>
        <w:sectPr>
          <w:pgSz w:w="11900" w:h="16838" w:orient="portrait"/>
          <w:cols w:equalWidth="0" w:num="1">
            <w:col w:w="11240"/>
          </w:cols>
          <w:pgMar w:left="320" w:top="1408" w:right="339" w:bottom="1440" w:gutter="0" w:footer="0" w:header="0"/>
        </w:sectPr>
      </w:pPr>
    </w:p>
    <w:bookmarkStart w:id="160" w:name="page161"/>
    <w:bookmarkEnd w:id="160"/>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UNIT TERMS AND CONDITIONS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This document is intended to provide you some background on the Amalgamated Financial Corp. 2023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0"/>
          <w:szCs w:val="20"/>
          <w:color w:val="auto"/>
        </w:rPr>
        <w:t>”) and to help you better understand the terms and conditions of the Restricted Stock Unit award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0"/>
          <w:szCs w:val="20"/>
          <w:color w:val="auto"/>
        </w:rPr>
        <w:t>”) granted to you under the Plan. References in this document to “</w:t>
      </w:r>
      <w:r>
        <w:rPr>
          <w:rFonts w:ascii="Times New Roman" w:cs="Times New Roman" w:eastAsia="Times New Roman" w:hAnsi="Times New Roman"/>
          <w:sz w:val="21"/>
          <w:szCs w:val="21"/>
          <w:b w:val="1"/>
          <w:bCs w:val="1"/>
          <w:color w:val="auto"/>
        </w:rPr>
        <w:t>our</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1"/>
          <w:szCs w:val="21"/>
          <w:b w:val="1"/>
          <w:bCs w:val="1"/>
          <w:color w:val="auto"/>
        </w:rPr>
        <w:t>Bank</w:t>
      </w:r>
      <w:r>
        <w:rPr>
          <w:rFonts w:ascii="Times New Roman" w:cs="Times New Roman" w:eastAsia="Times New Roman" w:hAnsi="Times New Roman"/>
          <w:sz w:val="20"/>
          <w:szCs w:val="20"/>
          <w:color w:val="auto"/>
        </w:rPr>
        <w:t>” are intended to refer to Amalgamated Financial Corp.</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243"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How are Award recipients chosen?</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Under our current process, the Compensation Committee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0"/>
          <w:szCs w:val="20"/>
          <w:color w:val="auto"/>
        </w:rPr>
        <w:t>”) approves executive equity awards, although the Committee may delegate the power to make non-officer awards to an officer of the Bank and the Board has the authority to reserve these powers to the full Board with respect to some or all eligible individuals.</w:t>
      </w:r>
    </w:p>
    <w:p>
      <w:pPr>
        <w:spacing w:after="0" w:line="213"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is the value of my Award?</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value of each Share covered by your RSU Award is equal to the market price of one Share of Bank Common Stock, and will have the same value as established on the exchange on which the Shares are traded.</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Under current tax laws, you will be taxed on the market price of the Share(s) vesting under your RSU Award at the time the Shares (or in certain cases, their cash equivalent) are paid to you in settlement of your Award. We recommend that you consult your personal tax advisor to discuss the potential tax consequences to you of receiving this Award.</w:t>
      </w:r>
    </w:p>
    <w:p>
      <w:pPr>
        <w:spacing w:after="0" w:line="18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Note that no amount of cash or Common Stock received by you pursuant to your Award will be considered compensation for purposes of any severance or any pension, retirement, insurance or other employee benefit plan of the Bank or its Subsidiaries.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43" w:lineRule="exact"/>
        <w:rPr>
          <w:sz w:val="20"/>
          <w:szCs w:val="20"/>
          <w:color w:val="auto"/>
        </w:rPr>
      </w:pPr>
    </w:p>
    <w:p>
      <w:pPr>
        <w:ind w:left="660" w:hanging="328"/>
        <w:spacing w:after="0"/>
        <w:tabs>
          <w:tab w:leader="none" w:pos="660"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When will my Restricted Stock Units vest?</w:t>
      </w:r>
    </w:p>
    <w:p>
      <w:pPr>
        <w:spacing w:after="0" w:line="22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Generally, your Restricted Stock Units will vest (in whole Shares, rounded down) based on achievement of the Performance Measures during the Performance Periods, as set forth in your Award Agreement.</w:t>
      </w:r>
    </w:p>
    <w:p>
      <w:pPr>
        <w:spacing w:after="0" w:line="18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Your Award Agreement may provide for earlier vesting dates upon specific events. Please refer to your Award Agreement to see if special early vesting dates apply to your Restricted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may, in its sole discretion, choose to accelerate or extend the vesting of Awards in special circumstances.</w:t>
      </w:r>
    </w:p>
    <w:p>
      <w:pPr>
        <w:spacing w:after="0" w:line="252" w:lineRule="exact"/>
        <w:rPr>
          <w:sz w:val="20"/>
          <w:szCs w:val="20"/>
          <w:color w:val="auto"/>
        </w:rPr>
      </w:pPr>
    </w:p>
    <w:p>
      <w:pPr>
        <w:ind w:left="660" w:hanging="328"/>
        <w:spacing w:after="0"/>
        <w:tabs>
          <w:tab w:leader="none" w:pos="660"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When do I receive payment?</w:t>
      </w:r>
    </w:p>
    <w:p>
      <w:pPr>
        <w:sectPr>
          <w:pgSz w:w="11900" w:h="16838" w:orient="portrait"/>
          <w:cols w:equalWidth="0" w:num="1">
            <w:col w:w="11240"/>
          </w:cols>
          <w:pgMar w:left="320" w:top="1440" w:right="339" w:bottom="1440" w:gutter="0" w:footer="0" w:header="0"/>
        </w:sectPr>
      </w:pPr>
    </w:p>
    <w:bookmarkStart w:id="161" w:name="page162"/>
    <w:bookmarkEnd w:id="161"/>
    <w:p>
      <w:pPr>
        <w:jc w:val="both"/>
        <w:spacing w:after="0" w:line="254" w:lineRule="auto"/>
        <w:rPr>
          <w:sz w:val="20"/>
          <w:szCs w:val="20"/>
          <w:color w:val="auto"/>
        </w:rPr>
      </w:pPr>
      <w:r>
        <w:rPr>
          <w:rFonts w:ascii="Times New Roman" w:cs="Times New Roman" w:eastAsia="Times New Roman" w:hAnsi="Times New Roman"/>
          <w:sz w:val="20"/>
          <w:szCs w:val="20"/>
          <w:color w:val="auto"/>
        </w:rPr>
        <w:t>As soon as administratively practical after the date the Performance Period applicable to your RSUs ends, as specified in your Award Agreement, the specified number of Shares of our Common Stock will be delivered to you for each RSU that vests. Delivery of Shares, either electronically or in certificate form (as we determine), will usually be made within approximately 30 days after such Performance Period end. Fractional shares will not be paid. In some cases, the Bank may instead pay the cash equivalent of Shares to you.</w:t>
      </w:r>
    </w:p>
    <w:p>
      <w:pPr>
        <w:spacing w:after="0" w:line="20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By accepting this Award, you acknowledge that, except as may otherwise be provided in your Award Agreement, if you Separate from Service prior to the end of the Performance Periods, you will forfeit all of your unvested RSUs and any other rights associated with your unvested RSUs under the Plan.</w:t>
      </w:r>
    </w:p>
    <w:p>
      <w:pPr>
        <w:spacing w:after="0" w:line="204" w:lineRule="exact"/>
        <w:rPr>
          <w:sz w:val="20"/>
          <w:szCs w:val="20"/>
          <w:color w:val="auto"/>
        </w:rPr>
      </w:pPr>
    </w:p>
    <w:p>
      <w:pPr>
        <w:ind w:left="660" w:hanging="328"/>
        <w:spacing w:after="0"/>
        <w:tabs>
          <w:tab w:leader="none" w:pos="6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Do I have to pay any tax in connection with this RSU Award?</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Yes, you are subject to federal (and in some cases, state and local) income taxes on the fair market value of your Restricted Stock Units in the year that you are paid Shares of Common Stock (or in certain cases, their cash equivalent) in settlement of your Award. If you are an employee, we are required under current federal (and some state and local) tax laws to withhold taxes from you. This may be accomplished by withholding whole Shares of Common Stock with an equivalent value. We will round down to the nearest whole Share. To the extent this Share withholding is not sufficient, or is prohibited or limited by applicable law, you will ultimately be responsible for any additional taxes due. If withholding is determined by us to be not possible or inadequate, we will have the right to require cash payment and/or make deductions from other payments due to you that are sufficient to satisfy these requirements.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may not rely on the Bank or any of its officers, directors or employees for tax or legal advice regarding this Award. We make no representations with respect to and hereby disclaim all responsibility as to the tax treatment of your Award.</w:t>
      </w:r>
    </w:p>
    <w:p>
      <w:pPr>
        <w:spacing w:after="0" w:line="182" w:lineRule="exact"/>
        <w:rPr>
          <w:sz w:val="20"/>
          <w:szCs w:val="20"/>
          <w:color w:val="auto"/>
        </w:rPr>
      </w:pPr>
    </w:p>
    <w:p>
      <w:pPr>
        <w:ind w:left="660" w:hanging="328"/>
        <w:spacing w:after="0"/>
        <w:tabs>
          <w:tab w:leader="none" w:pos="66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are my rights as a stockholder with respect to my Restricted Stock Units?</w:t>
      </w:r>
    </w:p>
    <w:p>
      <w:pPr>
        <w:spacing w:after="0" w:line="224" w:lineRule="exact"/>
        <w:rPr>
          <w:sz w:val="20"/>
          <w:szCs w:val="20"/>
          <w:color w:val="auto"/>
        </w:rPr>
      </w:pPr>
    </w:p>
    <w:p>
      <w:pPr>
        <w:ind w:right="340"/>
        <w:spacing w:after="0" w:line="247" w:lineRule="auto"/>
        <w:rPr>
          <w:sz w:val="20"/>
          <w:szCs w:val="20"/>
          <w:color w:val="auto"/>
        </w:rPr>
      </w:pPr>
      <w:r>
        <w:rPr>
          <w:rFonts w:ascii="Times New Roman" w:cs="Times New Roman" w:eastAsia="Times New Roman" w:hAnsi="Times New Roman"/>
          <w:sz w:val="20"/>
          <w:szCs w:val="20"/>
          <w:color w:val="auto"/>
        </w:rPr>
        <w:t>Until you actually receive Shares (if any) in settlement of your Award, you will generally have no rights as a stockholder with respect to those Shares, such as the right to vote the Shares or the right to receive dividends, unless the Board has specifically provided otherwise in your Award Agreement.</w:t>
      </w:r>
    </w:p>
    <w:p>
      <w:pPr>
        <w:spacing w:after="0" w:line="204" w:lineRule="exact"/>
        <w:rPr>
          <w:sz w:val="20"/>
          <w:szCs w:val="20"/>
          <w:color w:val="auto"/>
        </w:rPr>
      </w:pPr>
    </w:p>
    <w:p>
      <w:pPr>
        <w:ind w:left="660" w:hanging="328"/>
        <w:spacing w:after="0"/>
        <w:tabs>
          <w:tab w:leader="none" w:pos="66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Are there restrictions on the transfer of my Restricted Stock Units?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may not sell, transfer, pledge, assign, or otherwise alienate or hypothecate your RSUs, whether voluntarily or involuntarily, by operation of law or otherwise, except upon your death or as otherwise specifically provided in the Plan. If you die, your beneficiary or the personal representative of your estate can act on your behalf. Once you receive any Share, you will normally be entitled to all rights of ownership to such Share. Under certain circumstances described in the Plan, however, these rights may be delayed or subject to additional limitations or restrictions.</w:t>
      </w:r>
    </w:p>
    <w:p>
      <w:pPr>
        <w:spacing w:after="0" w:line="21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How do I designate my beneficiary or beneficiaries?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must obtain and file a completed beneficiary designation form with our Human Resources department. Each time you file a beneficiary</w:t>
      </w:r>
    </w:p>
    <w:p>
      <w:pPr>
        <w:spacing w:after="0" w:line="28"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designation form, all previously-filed beneficiary designation forms will be revoked and of no further force or effect. If you want to name multiple beneficiaries, all beneficiaries must be listed on a single beneficiary designation form (including</w:t>
      </w:r>
    </w:p>
    <w:p>
      <w:pPr>
        <w:sectPr>
          <w:pgSz w:w="11900" w:h="16838" w:orient="portrait"/>
          <w:cols w:equalWidth="0" w:num="1">
            <w:col w:w="11240"/>
          </w:cols>
          <w:pgMar w:left="320" w:top="1413" w:right="339" w:bottom="1440" w:gutter="0" w:footer="0" w:header="0"/>
        </w:sectPr>
      </w:pPr>
    </w:p>
    <w:bookmarkStart w:id="162" w:name="page163"/>
    <w:bookmarkEnd w:id="162"/>
    <w:p>
      <w:pPr>
        <w:spacing w:after="0" w:line="269" w:lineRule="auto"/>
        <w:rPr>
          <w:sz w:val="20"/>
          <w:szCs w:val="20"/>
          <w:color w:val="auto"/>
        </w:rPr>
      </w:pPr>
      <w:r>
        <w:rPr>
          <w:rFonts w:ascii="Times New Roman" w:cs="Times New Roman" w:eastAsia="Times New Roman" w:hAnsi="Times New Roman"/>
          <w:sz w:val="20"/>
          <w:szCs w:val="20"/>
          <w:color w:val="auto"/>
        </w:rPr>
        <w:t>attachments, if necessary). If you do not file a beneficiary designation form, benefits remaining unpaid at your death will be paid to your estate.</w:t>
      </w:r>
    </w:p>
    <w:p>
      <w:pPr>
        <w:spacing w:after="0" w:line="182"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Are there restrictions on the delivery and sale of Shares?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Shares issued to you upon the vesting of Restricted Stock Units are subject to federal securities laws. In some cases, state or local securities laws may also apply. If the Board determines that certain registrations or filings are needed or desired to comply with these various securities laws, then we may delay the delivery of your Shares until the necessary approvals or filings are obtained. In order for us to meet an exemption from securities registration requirements, we may also require you to provide us with certain information, representations and warranties before we will issue Shares to you.</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Where applicable, the certificates evidencing any Shares may contain wording (or otherwise as appropriate in electronic format) indicating that conditions, restrictions, rights and obligations apply.</w:t>
      </w:r>
    </w:p>
    <w:p>
      <w:pPr>
        <w:spacing w:after="0" w:line="209" w:lineRule="exact"/>
        <w:rPr>
          <w:sz w:val="20"/>
          <w:szCs w:val="20"/>
          <w:color w:val="auto"/>
        </w:rPr>
      </w:pPr>
    </w:p>
    <w:p>
      <w:pPr>
        <w:ind w:left="660" w:hanging="328"/>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Does the receipt of my Award guarantee continued service with the Bank?</w:t>
      </w:r>
    </w:p>
    <w:p>
      <w:pPr>
        <w:spacing w:after="0" w:line="23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No. Neither the establishment of the Plan, your Award of RSUs, nor the issuance of Shares or other consideration in connection with your Award, gives you the right to continued employment or service with the Bank (or any of our Subsidiaries).</w:t>
      </w:r>
    </w:p>
    <w:p>
      <w:pPr>
        <w:spacing w:after="0" w:line="209"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events can trigger forfeiture of my Restricted Stock Units?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Except as may otherwise be specifically provided in your Award Agreement, your unvested RSUs will normally be cancelled and forfeited upon your Separation from Service.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In addition, your RSUs and any cash or Shares paid to you in settlement of your RSUs, and any profits from sale of such Shares, are subject to clawback, recoupment or repayment if you commit certain bad acts, you engage in certain practices injurious to the Bank or its Subsidiaries, or if the Bank experiences regulatory or capital issues. These clawback, recoupment and repayment provisions are set forth in detail in Section 8(j) of the Plan.</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Committee may, in its discretion, accelerate the vesting of your Award in special circumstances, subject to certain provisions of the Plan and the law.</w:t>
      </w:r>
    </w:p>
    <w:p>
      <w:pPr>
        <w:spacing w:after="0" w:line="209" w:lineRule="exact"/>
        <w:rPr>
          <w:sz w:val="20"/>
          <w:szCs w:val="20"/>
          <w:color w:val="auto"/>
        </w:rPr>
      </w:pPr>
    </w:p>
    <w:p>
      <w:pPr>
        <w:ind w:left="660" w:hanging="328"/>
        <w:spacing w:after="0"/>
        <w:tabs>
          <w:tab w:leader="none" w:pos="66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documents govern my Restricted Stock Units?</w:t>
      </w:r>
    </w:p>
    <w:p>
      <w:pPr>
        <w:spacing w:after="0" w:line="2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Plan, your Award Agreement, and these Terms and Conditions express the entire understanding between you and the Bank with respect to your Restricted Stock Units. In the event of any conflict between these documents, the terms of the Plan will always govern. You should never rely on any oral description of the Plan or your Award Agreement because the written terms of the Plan will always govern. The Committee has the sole authority to interpret this document and the Plan. Any such interpretation will be binding on you, us, and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Relative TSR Comparator Group List (n=79)</w:t>
      </w:r>
    </w:p>
    <w:p>
      <w:pPr>
        <w:sectPr>
          <w:pgSz w:w="11900" w:h="16838" w:orient="portrait"/>
          <w:cols w:equalWidth="0" w:num="1">
            <w:col w:w="11240"/>
          </w:cols>
          <w:pgMar w:left="320" w:top="1426" w:right="339" w:bottom="1440" w:gutter="0" w:footer="0" w:header="0"/>
        </w:sectPr>
      </w:pPr>
    </w:p>
    <w:bookmarkStart w:id="163" w:name="page164"/>
    <w:bookmarkEnd w:id="16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4000" w:type="dxa"/>
            <w:vAlign w:val="bottom"/>
            <w:tcBorders>
              <w:top w:val="single" w:sz="8" w:color="808080"/>
              <w:left w:val="single" w:sz="8" w:color="808080"/>
              <w:bottom w:val="single" w:sz="8" w:color="808080"/>
              <w:right w:val="single" w:sz="8" w:color="808080"/>
            </w:tcBorders>
            <w:shd w:val="clear" w:color="auto" w:fill="DAE9F8"/>
          </w:tcPr>
          <w:p>
            <w:pPr>
              <w:ind w:left="40"/>
              <w:spacing w:after="0"/>
              <w:rPr>
                <w:sz w:val="20"/>
                <w:szCs w:val="20"/>
                <w:color w:val="auto"/>
              </w:rPr>
            </w:pPr>
            <w:r>
              <w:rPr>
                <w:rFonts w:ascii="Arial" w:cs="Arial" w:eastAsia="Arial" w:hAnsi="Arial"/>
                <w:sz w:val="20"/>
                <w:szCs w:val="20"/>
                <w:b w:val="1"/>
                <w:bCs w:val="1"/>
                <w:color w:val="auto"/>
              </w:rPr>
              <w:t>Name</w:t>
            </w:r>
          </w:p>
        </w:tc>
        <w:tc>
          <w:tcPr>
            <w:tcW w:w="1680" w:type="dxa"/>
            <w:vAlign w:val="bottom"/>
            <w:tcBorders>
              <w:top w:val="single" w:sz="8" w:color="808080"/>
              <w:bottom w:val="single" w:sz="8" w:color="808080"/>
              <w:right w:val="single" w:sz="8" w:color="808080"/>
            </w:tcBorders>
            <w:shd w:val="clear" w:color="auto" w:fill="DAE9F8"/>
          </w:tcPr>
          <w:p>
            <w:pPr>
              <w:spacing w:after="0"/>
              <w:rPr>
                <w:sz w:val="20"/>
                <w:szCs w:val="20"/>
                <w:color w:val="auto"/>
              </w:rPr>
            </w:pPr>
            <w:r>
              <w:rPr>
                <w:rFonts w:ascii="Arial" w:cs="Arial" w:eastAsia="Arial" w:hAnsi="Arial"/>
                <w:sz w:val="20"/>
                <w:szCs w:val="20"/>
                <w:b w:val="1"/>
                <w:bCs w:val="1"/>
                <w:color w:val="auto"/>
              </w:rPr>
              <w:t>Ticker</w:t>
            </w:r>
          </w:p>
        </w:tc>
      </w:tr>
      <w:tr>
        <w:trPr>
          <w:trHeight w:val="262"/>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BancFirst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BANF</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OceanFirst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OCFC</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ConnectOne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CNOB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Bancorp/Southern Pines N</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FBNC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OFG Bancorp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OFG</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Commonwealth Financial 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FCF</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Foundation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FFWM</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Farmers &amp; Merchants Bank of Lo</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FMBL</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Columbia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CLBK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Stellar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STEL</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WTB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WTBFA</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Eagle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EGBN</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National Bank Holdings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NBHC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S&amp;T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STBA</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TriCo Bancshares</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TCBK</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Park National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PRK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Capitol Federal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CFFN</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Amerant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AMTB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Origin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Byline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BY</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Peoples Bancorp Inc/OH</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PEBO</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QCR Holdings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QCRH</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Stock Yards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SYBT</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Bancorp Inc/The</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TBBK</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Nicolet Bankshares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NIC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1st Source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SRCE</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Flushing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FFIC</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Tompkins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TMP</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Southside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SBSI</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Univest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UVSP</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CNB Financial Corp/PA</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CCNE</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German American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GABC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Metropolitan Bank Holding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MCB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Business First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BFST</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Mid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FMBH</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Hanmi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HAFC</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Kearny Financial Corp/MD</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KRNY</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Preferred Bank/Los Angeles CA</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PFBC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Pathward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CASH</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Peapack-Gladstone Financial Co</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PGC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Central Pacific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CPF</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Northpointe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NPB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Republic Bancorp Inc/KY</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RBCAA</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NB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NBBK</w:t>
            </w:r>
          </w:p>
        </w:tc>
      </w:tr>
    </w:tbl>
    <w:p>
      <w:pPr>
        <w:sectPr>
          <w:pgSz w:w="11900" w:h="16838" w:orient="portrait"/>
          <w:cols w:equalWidth="0" w:num="1">
            <w:col w:w="10139"/>
          </w:cols>
          <w:pgMar w:left="320" w:top="1440" w:right="1440" w:bottom="1440" w:gutter="0" w:footer="0" w:header="0"/>
        </w:sectPr>
      </w:pPr>
    </w:p>
    <w:bookmarkStart w:id="164" w:name="page165"/>
    <w:bookmarkEnd w:id="16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00" w:type="dxa"/>
            <w:vAlign w:val="bottom"/>
            <w:tcBorders>
              <w:top w:val="single" w:sz="8" w:color="808080"/>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Lakeland Financial Corp</w:t>
            </w:r>
          </w:p>
        </w:tc>
        <w:tc>
          <w:tcPr>
            <w:tcW w:w="1680" w:type="dxa"/>
            <w:vAlign w:val="bottom"/>
            <w:tcBorders>
              <w:top w:val="single" w:sz="8" w:color="808080"/>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LKFN</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Camden National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CAC</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Heritage Financial Corp/WA</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HFWA</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Old Second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OSBC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Mercantile Bank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MBWM</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City Holding Co</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CHCO</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Community Trust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CTBI</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Washington Trust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WASH</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Midland States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MSBI</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TrustCo Bank Corp NY</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TRST</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Horizon Bancorp Inc/IN</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HBNC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Triumph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TFIN</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Equity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EQBK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Financial Institutions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FISI</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MidWestOne Financial Group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MOFG</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Shore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SHBI</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Mid Penn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MPB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Westamerica BanCorp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WABC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SmartFinancial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SMBK</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Heritage Commerce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HTBK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THFF</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Northfield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NFBK</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Farmers &amp; Merchants Bancorp/Lo</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FMCB</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Great Southern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GSBC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Internet Bancorp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INBK</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Orrstown Financial Services In</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ORRF</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Independent Bank Corp/MI</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IBCP</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Bridgewater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BWB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Third Coast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TCBX</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Peoples Financial Services Cor</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PFIS</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Farmers National Banc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FMNB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National Bank Alaska</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FBAK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Southern Missouri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SMBC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HBT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HBT</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Canandaigua National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CNND</w:t>
            </w:r>
          </w:p>
        </w:tc>
      </w:tr>
    </w:tbl>
    <w:p>
      <w:pPr>
        <w:sectPr>
          <w:pgSz w:w="11900" w:h="16838" w:orient="portrait"/>
          <w:cols w:equalWidth="0" w:num="1">
            <w:col w:w="10139"/>
          </w:cols>
          <w:pgMar w:left="320" w:top="1440" w:right="1440" w:bottom="1440" w:gutter="0" w:footer="0" w:header="0"/>
        </w:sectPr>
      </w:pPr>
    </w:p>
    <w:bookmarkStart w:id="165" w:name="page166"/>
    <w:bookmarkEnd w:id="165"/>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AMALGAMATED FINANCIAL CORP. 2023 EQUITY INCENTIVE PLAN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UNIT AWARD AGREEMENT</w:t>
      </w:r>
    </w:p>
    <w:p>
      <w:pPr>
        <w:spacing w:after="0" w:line="2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auto"/>
        </w:rPr>
        <w:t>Amalgamated Financial Corp. (the “</w:t>
      </w:r>
      <w:r>
        <w:rPr>
          <w:rFonts w:ascii="Times New Roman" w:cs="Times New Roman" w:eastAsia="Times New Roman" w:hAnsi="Times New Roman"/>
          <w:sz w:val="21"/>
          <w:szCs w:val="21"/>
          <w:b w:val="1"/>
          <w:bCs w:val="1"/>
          <w:color w:val="auto"/>
        </w:rPr>
        <w:t>Bank</w:t>
      </w:r>
      <w:r>
        <w:rPr>
          <w:rFonts w:ascii="Times New Roman" w:cs="Times New Roman" w:eastAsia="Times New Roman" w:hAnsi="Times New Roman"/>
          <w:sz w:val="20"/>
          <w:szCs w:val="20"/>
          <w:color w:val="auto"/>
        </w:rPr>
        <w:t>”) hereby grants you restricted stock units through the Amalgamated Financial Corp. 2023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0"/>
          <w:szCs w:val="20"/>
          <w:color w:val="auto"/>
        </w:rPr>
        <w:t>”), subject to certain restrictions as described herein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Performance Restricted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PRSUs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40575" cy="248602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2">
                      <a:extLst>
                        <a:ext uri="{28A0092B-C50C-407E-A947-70E740481C1C}"/>
                      </a:extLst>
                    </a:blip>
                    <a:srcRect/>
                    <a:stretch>
                      <a:fillRect/>
                    </a:stretch>
                  </pic:blipFill>
                  <pic:spPr bwMode="auto">
                    <a:xfrm>
                      <a:off x="0" y="0"/>
                      <a:ext cx="7140575" cy="248602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Grant: March 1, 2026</w:t>
      </w:r>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 Restricted Stock Units: _________, which are divided into:</w:t>
      </w:r>
    </w:p>
    <w:p>
      <w:pPr>
        <w:spacing w:after="0" w:line="3" w:lineRule="exact"/>
        <w:rPr>
          <w:sz w:val="20"/>
          <w:szCs w:val="20"/>
          <w:color w:val="auto"/>
        </w:rPr>
      </w:pPr>
    </w:p>
    <w:p>
      <w:pPr>
        <w:ind w:left="1340" w:hanging="329"/>
        <w:spacing w:after="0"/>
        <w:tabs>
          <w:tab w:leader="none" w:pos="1340" w:val="left"/>
        </w:tabs>
        <w:numPr>
          <w:ilvl w:val="0"/>
          <w:numId w:val="66"/>
        </w:numPr>
        <w:rPr>
          <w:rFonts w:ascii="Arial" w:cs="Arial" w:eastAsia="Arial" w:hAnsi="Arial"/>
          <w:sz w:val="22"/>
          <w:szCs w:val="22"/>
          <w:color w:val="auto"/>
        </w:rPr>
      </w:pPr>
      <w:r>
        <w:rPr>
          <w:rFonts w:ascii="Times New Roman" w:cs="Times New Roman" w:eastAsia="Times New Roman" w:hAnsi="Times New Roman"/>
          <w:sz w:val="22"/>
          <w:szCs w:val="22"/>
          <w:color w:val="auto"/>
        </w:rPr>
        <w:t>Book Value Growth RSUs ________ [</w:t>
      </w:r>
      <w:r>
        <w:rPr>
          <w:rFonts w:ascii="Times New Roman" w:cs="Times New Roman" w:eastAsia="Times New Roman" w:hAnsi="Times New Roman"/>
          <w:sz w:val="22"/>
          <w:szCs w:val="22"/>
          <w:i w:val="1"/>
          <w:iCs w:val="1"/>
          <w:color w:val="auto"/>
        </w:rPr>
        <w:t>50% of FMV of award value, rounded down</w:t>
      </w:r>
      <w:r>
        <w:rPr>
          <w:rFonts w:ascii="Times New Roman" w:cs="Times New Roman" w:eastAsia="Times New Roman" w:hAnsi="Times New Roman"/>
          <w:sz w:val="22"/>
          <w:szCs w:val="22"/>
          <w:color w:val="auto"/>
        </w:rPr>
        <w:t>]</w:t>
      </w:r>
    </w:p>
    <w:p>
      <w:pPr>
        <w:ind w:left="1340" w:hanging="329"/>
        <w:spacing w:after="0"/>
        <w:tabs>
          <w:tab w:leader="none" w:pos="134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Relative TSR RSUs ________ </w:t>
      </w:r>
      <w:r>
        <w:rPr>
          <w:rFonts w:ascii="Times New Roman" w:cs="Times New Roman" w:eastAsia="Times New Roman" w:hAnsi="Times New Roman"/>
          <w:sz w:val="22"/>
          <w:szCs w:val="22"/>
          <w:i w:val="1"/>
          <w:iCs w:val="1"/>
          <w:color w:val="auto"/>
        </w:rPr>
        <w:t>[remaining Share</w:t>
      </w:r>
      <w:r>
        <w:rPr>
          <w:rFonts w:ascii="Times New Roman" w:cs="Times New Roman" w:eastAsia="Times New Roman" w:hAnsi="Times New Roman"/>
          <w:sz w:val="22"/>
          <w:szCs w:val="22"/>
          <w:color w:val="auto"/>
        </w:rPr>
        <w:t>s</w:t>
      </w: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Book Value Growth RSUs will be priced using the closing price on the immediately preceding business day</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Relative TSR RSUs will be priced using a “Monte Carlo” price determined by a third-party valuation expert.</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Vest: March 1, 2029</w:t>
      </w:r>
    </w:p>
    <w:p>
      <w:pPr>
        <w:spacing w:after="0" w:line="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*subject to performance achievements</w:t>
      </w:r>
    </w:p>
    <w:p>
      <w:pPr>
        <w:spacing w:after="0" w:line="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17"/>
          <w:szCs w:val="17"/>
          <w:color w:val="auto"/>
        </w:rPr>
        <w:t>subject to the Compensation &amp; Human Resources Committee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auto"/>
        </w:rPr>
        <w:t xml:space="preserve">Vesting Schedule: </w:t>
      </w:r>
      <w:r>
        <w:rPr>
          <w:rFonts w:ascii="Times New Roman" w:cs="Times New Roman" w:eastAsia="Times New Roman" w:hAnsi="Times New Roman"/>
          <w:sz w:val="20"/>
          <w:szCs w:val="20"/>
          <w:color w:val="auto"/>
        </w:rPr>
        <w:t>The vesting and forfeiture provisions that apply to your Restricted Stock Units are described in the Plan and the attached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and Conditions. You will vest in your Restricted Stock Units (in whole Shares, rounded down) based on the Bank’s achievement of the following Performance Measures during the designated Performance Periods so long as the following conditions are met as of the end of the applicable Performance Period: (a) you have not Separated from Service, (b) you have not provided notice to us of your resignation, and (c) we have not provided notice to you of your termination for Cause. Determination of the number of RSUs that vest based on achievement of each of the following Performance Measures is mutually exclusive.</w:t>
      </w:r>
    </w:p>
    <w:p>
      <w:pPr>
        <w:spacing w:after="0" w:line="223" w:lineRule="exact"/>
        <w:rPr>
          <w:sz w:val="20"/>
          <w:szCs w:val="20"/>
          <w:color w:val="auto"/>
        </w:rPr>
      </w:pPr>
    </w:p>
    <w:p>
      <w:pPr>
        <w:jc w:val="both"/>
        <w:ind w:left="660" w:hanging="328"/>
        <w:spacing w:after="0" w:line="243" w:lineRule="auto"/>
        <w:tabs>
          <w:tab w:leader="none" w:pos="657"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Book Value Growth RSUs.</w:t>
      </w:r>
      <w:r>
        <w:rPr>
          <w:rFonts w:ascii="Times New Roman" w:cs="Times New Roman" w:eastAsia="Times New Roman" w:hAnsi="Times New Roman"/>
          <w:sz w:val="20"/>
          <w:szCs w:val="20"/>
          <w:color w:val="auto"/>
        </w:rPr>
        <w:t xml:space="preserve"> RSUs (rounded down to the nearest whole Share) representing fifty percent (50%) of the total Fair Market Value of your Award on its Date of Grant (</w:t>
      </w:r>
      <w:r>
        <w:rPr>
          <w:rFonts w:ascii="Times New Roman" w:cs="Times New Roman" w:eastAsia="Times New Roman" w:hAnsi="Times New Roman"/>
          <w:sz w:val="21"/>
          <w:szCs w:val="21"/>
          <w:b w:val="1"/>
          <w:bCs w:val="1"/>
          <w:color w:val="auto"/>
        </w:rPr>
        <w:t>“Book Value Growth RSUs”</w:t>
      </w:r>
      <w:r>
        <w:rPr>
          <w:rFonts w:ascii="Times New Roman" w:cs="Times New Roman" w:eastAsia="Times New Roman" w:hAnsi="Times New Roman"/>
          <w:sz w:val="20"/>
          <w:szCs w:val="20"/>
          <w:color w:val="auto"/>
        </w:rPr>
        <w:t>) shall vest based on Adjusted Tangible Book Value Growth per Share over the Performance Period as follows:</w:t>
      </w:r>
    </w:p>
    <w:tbl>
      <w:tblPr>
        <w:tblLayout w:type="fixed"/>
        <w:tblInd w:w="10" w:type="dxa"/>
        <w:tblCellMar>
          <w:top w:w="0" w:type="dxa"/>
          <w:left w:w="0" w:type="dxa"/>
          <w:bottom w:w="0" w:type="dxa"/>
          <w:right w:w="0" w:type="dxa"/>
        </w:tblCellMar>
      </w:tblPr>
      <w:tr>
        <w:trPr>
          <w:trHeight w:val="265"/>
        </w:trPr>
        <w:tc>
          <w:tcPr>
            <w:tcW w:w="2840" w:type="dxa"/>
            <w:vAlign w:val="bottom"/>
            <w:tcBorders>
              <w:top w:val="single" w:sz="8" w:color="auto"/>
              <w:left w:val="single" w:sz="8" w:color="auto"/>
              <w:bottom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900" w:type="dxa"/>
            <w:vAlign w:val="bottom"/>
            <w:tcBorders>
              <w:top w:val="single" w:sz="8" w:color="auto"/>
              <w:bottom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Threshold Goal</w:t>
            </w:r>
          </w:p>
        </w:tc>
        <w:tc>
          <w:tcPr>
            <w:tcW w:w="1600" w:type="dxa"/>
            <w:vAlign w:val="bottom"/>
            <w:tcBorders>
              <w:top w:val="single" w:sz="8" w:color="auto"/>
              <w:bottom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Target Goal</w:t>
            </w:r>
          </w:p>
        </w:tc>
        <w:tc>
          <w:tcPr>
            <w:tcW w:w="2080" w:type="dxa"/>
            <w:vAlign w:val="bottom"/>
            <w:tcBorders>
              <w:top w:val="single" w:sz="8" w:color="auto"/>
              <w:bottom w:val="single" w:sz="8" w:color="auto"/>
              <w:right w:val="single" w:sz="8" w:color="auto"/>
            </w:tcBorders>
          </w:tcPr>
          <w:p>
            <w:pPr>
              <w:jc w:val="right"/>
              <w:ind w:right="281"/>
              <w:spacing w:after="0"/>
              <w:rPr>
                <w:sz w:val="20"/>
                <w:szCs w:val="20"/>
                <w:color w:val="auto"/>
              </w:rPr>
            </w:pPr>
            <w:r>
              <w:rPr>
                <w:rFonts w:ascii="Times New Roman" w:cs="Times New Roman" w:eastAsia="Times New Roman" w:hAnsi="Times New Roman"/>
                <w:sz w:val="20"/>
                <w:szCs w:val="20"/>
                <w:b w:val="1"/>
                <w:bCs w:val="1"/>
                <w:color w:val="auto"/>
              </w:rPr>
              <w:t>Maximum Goal</w:t>
            </w:r>
          </w:p>
        </w:tc>
      </w:tr>
      <w:tr>
        <w:trPr>
          <w:trHeight w:val="209"/>
        </w:trPr>
        <w:tc>
          <w:tcPr>
            <w:tcW w:w="2840" w:type="dxa"/>
            <w:vAlign w:val="bottom"/>
            <w:tcBorders>
              <w:left w:val="single" w:sz="8" w:color="auto"/>
              <w:right w:val="single" w:sz="8" w:color="auto"/>
            </w:tcBorders>
          </w:tcPr>
          <w:p>
            <w:pPr>
              <w:ind w:left="40"/>
              <w:spacing w:after="0" w:line="208" w:lineRule="exact"/>
              <w:rPr>
                <w:sz w:val="20"/>
                <w:szCs w:val="20"/>
                <w:color w:val="auto"/>
              </w:rPr>
            </w:pPr>
            <w:r>
              <w:rPr>
                <w:rFonts w:ascii="Times New Roman" w:cs="Times New Roman" w:eastAsia="Times New Roman" w:hAnsi="Times New Roman"/>
                <w:sz w:val="20"/>
                <w:szCs w:val="20"/>
                <w:b w:val="1"/>
                <w:bCs w:val="1"/>
                <w:color w:val="auto"/>
              </w:rPr>
              <w:t>1/1/26 – 12/31/28</w:t>
            </w:r>
          </w:p>
        </w:tc>
        <w:tc>
          <w:tcPr>
            <w:tcW w:w="1900" w:type="dxa"/>
            <w:vAlign w:val="bottom"/>
            <w:tcBorders>
              <w:right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7.18%</w:t>
            </w:r>
          </w:p>
        </w:tc>
        <w:tc>
          <w:tcPr>
            <w:tcW w:w="1600" w:type="dxa"/>
            <w:vAlign w:val="bottom"/>
            <w:tcBorders>
              <w:right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10.25%</w:t>
            </w:r>
          </w:p>
        </w:tc>
        <w:tc>
          <w:tcPr>
            <w:tcW w:w="2080" w:type="dxa"/>
            <w:vAlign w:val="bottom"/>
            <w:tcBorders>
              <w:right w:val="single" w:sz="8" w:color="auto"/>
            </w:tcBorders>
          </w:tcPr>
          <w:p>
            <w:pPr>
              <w:jc w:val="right"/>
              <w:spacing w:after="0" w:line="208" w:lineRule="exact"/>
              <w:rPr>
                <w:sz w:val="20"/>
                <w:szCs w:val="20"/>
                <w:color w:val="auto"/>
              </w:rPr>
            </w:pPr>
            <w:r>
              <w:rPr>
                <w:rFonts w:ascii="Times New Roman" w:cs="Times New Roman" w:eastAsia="Times New Roman" w:hAnsi="Times New Roman"/>
                <w:sz w:val="20"/>
                <w:szCs w:val="20"/>
                <w:color w:val="auto"/>
              </w:rPr>
              <w:t>13.33%</w:t>
            </w:r>
          </w:p>
        </w:tc>
      </w:tr>
      <w:tr>
        <w:trPr>
          <w:trHeight w:val="295"/>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70% of target</w:t>
            </w:r>
            <w:r>
              <w:rPr>
                <w:rFonts w:ascii="Times New Roman" w:cs="Times New Roman" w:eastAsia="Times New Roman" w:hAnsi="Times New Roman"/>
                <w:sz w:val="20"/>
                <w:szCs w:val="20"/>
                <w:color w:val="auto"/>
              </w:rPr>
              <w:t>)</w:t>
            </w:r>
          </w:p>
        </w:tc>
        <w:tc>
          <w:tcPr>
            <w:tcW w:w="1600" w:type="dxa"/>
            <w:vAlign w:val="bottom"/>
            <w:tcBorders>
              <w:bottom w:val="single" w:sz="8" w:color="auto"/>
              <w:right w:val="single" w:sz="8" w:color="auto"/>
            </w:tcBorders>
          </w:tcPr>
          <w:p>
            <w:pPr>
              <w:spacing w:after="0"/>
              <w:rPr>
                <w:sz w:val="24"/>
                <w:szCs w:val="24"/>
                <w:color w:val="auto"/>
              </w:rPr>
            </w:pPr>
          </w:p>
        </w:tc>
        <w:tc>
          <w:tcPr>
            <w:tcW w:w="2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i w:val="1"/>
                <w:iCs w:val="1"/>
                <w:color w:val="auto"/>
              </w:rPr>
              <w:t>130% of target</w:t>
            </w:r>
            <w:r>
              <w:rPr>
                <w:rFonts w:ascii="Times New Roman" w:cs="Times New Roman" w:eastAsia="Times New Roman" w:hAnsi="Times New Roman"/>
                <w:sz w:val="20"/>
                <w:szCs w:val="20"/>
                <w:color w:val="auto"/>
              </w:rPr>
              <w:t>)</w:t>
            </w:r>
          </w:p>
        </w:tc>
      </w:tr>
      <w:tr>
        <w:trPr>
          <w:trHeight w:val="266"/>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Payout Level</w:t>
            </w:r>
          </w:p>
        </w:tc>
        <w:tc>
          <w:tcPr>
            <w:tcW w:w="19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6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r>
    </w:tbl>
    <w:p>
      <w:pPr>
        <w:spacing w:after="0" w:line="306" w:lineRule="exact"/>
        <w:rPr>
          <w:sz w:val="20"/>
          <w:szCs w:val="20"/>
          <w:color w:val="auto"/>
        </w:rPr>
      </w:pPr>
    </w:p>
    <w:p>
      <w:pPr>
        <w:ind w:firstLine="648"/>
        <w:spacing w:after="0" w:line="280"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1"/>
          <w:szCs w:val="21"/>
          <w:b w:val="1"/>
          <w:bCs w:val="1"/>
          <w:color w:val="auto"/>
        </w:rPr>
        <w:t>Adjusted Tangible Book Value Growth</w:t>
      </w:r>
      <w:r>
        <w:rPr>
          <w:rFonts w:ascii="Times New Roman" w:cs="Times New Roman" w:eastAsia="Times New Roman" w:hAnsi="Times New Roman"/>
          <w:sz w:val="20"/>
          <w:szCs w:val="20"/>
          <w:color w:val="auto"/>
        </w:rPr>
        <w:t>” means stockholders’ equity, excluding minority interests, preferred stock, goodwill, core deposit intangibles, mergers and</w:t>
      </w:r>
    </w:p>
    <w:p>
      <w:pPr>
        <w:sectPr>
          <w:pgSz w:w="11900" w:h="16838" w:orient="portrait"/>
          <w:cols w:equalWidth="0" w:num="1">
            <w:col w:w="11240"/>
          </w:cols>
          <w:pgMar w:left="320" w:top="1409" w:right="339" w:bottom="1440" w:gutter="0" w:footer="0" w:header="0"/>
        </w:sectPr>
      </w:pPr>
    </w:p>
    <w:bookmarkStart w:id="166" w:name="page167"/>
    <w:bookmarkEnd w:id="166"/>
    <w:p>
      <w:pPr>
        <w:ind w:right="20"/>
        <w:spacing w:after="0" w:line="281" w:lineRule="auto"/>
        <w:rPr>
          <w:sz w:val="20"/>
          <w:szCs w:val="20"/>
          <w:color w:val="auto"/>
        </w:rPr>
      </w:pPr>
      <w:r>
        <w:rPr>
          <w:rFonts w:ascii="Times New Roman" w:cs="Times New Roman" w:eastAsia="Times New Roman" w:hAnsi="Times New Roman"/>
          <w:sz w:val="19"/>
          <w:szCs w:val="19"/>
          <w:color w:val="auto"/>
        </w:rPr>
        <w:t>acquisitions, share repurchases, non-core items (such as tax adjustments), dividends paid on Bank stock, stock-based compensation expense, and other comprehensive income. The Performance Period for this measure will be 1/1/26 to 12/31/28 to align with the Bank’s fiscal year.</w:t>
      </w:r>
    </w:p>
    <w:p>
      <w:pPr>
        <w:spacing w:after="0" w:line="168" w:lineRule="exact"/>
        <w:rPr>
          <w:sz w:val="20"/>
          <w:szCs w:val="20"/>
          <w:color w:val="auto"/>
        </w:rPr>
      </w:pPr>
    </w:p>
    <w:p>
      <w:pPr>
        <w:ind w:left="660" w:right="1060" w:hanging="328"/>
        <w:spacing w:after="0" w:line="263" w:lineRule="auto"/>
        <w:tabs>
          <w:tab w:leader="none" w:pos="648"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u w:val="single" w:color="auto"/>
          <w:color w:val="auto"/>
        </w:rPr>
        <w:t>Relative TSR RSUs</w:t>
      </w:r>
      <w:r>
        <w:rPr>
          <w:rFonts w:ascii="Times New Roman" w:cs="Times New Roman" w:eastAsia="Times New Roman" w:hAnsi="Times New Roman"/>
          <w:sz w:val="20"/>
          <w:szCs w:val="20"/>
          <w:color w:val="auto"/>
        </w:rPr>
        <w:t>. The remainder of your RSUs (</w:t>
      </w:r>
      <w:r>
        <w:rPr>
          <w:rFonts w:ascii="Times New Roman" w:cs="Times New Roman" w:eastAsia="Times New Roman" w:hAnsi="Times New Roman"/>
          <w:sz w:val="21"/>
          <w:szCs w:val="21"/>
          <w:b w:val="1"/>
          <w:bCs w:val="1"/>
          <w:color w:val="auto"/>
        </w:rPr>
        <w:t>“Relative TSR RSUs”</w:t>
      </w:r>
      <w:r>
        <w:rPr>
          <w:rFonts w:ascii="Times New Roman" w:cs="Times New Roman" w:eastAsia="Times New Roman" w:hAnsi="Times New Roman"/>
          <w:sz w:val="20"/>
          <w:szCs w:val="20"/>
          <w:color w:val="auto"/>
        </w:rPr>
        <w:t>) shall vest based on Relative TSR over the Performance Period as follows:</w:t>
      </w:r>
    </w:p>
    <w:tbl>
      <w:tblPr>
        <w:tblLayout w:type="fixed"/>
        <w:tblInd w:w="10" w:type="dxa"/>
        <w:tblCellMar>
          <w:top w:w="0" w:type="dxa"/>
          <w:left w:w="0" w:type="dxa"/>
          <w:bottom w:w="0" w:type="dxa"/>
          <w:right w:w="0" w:type="dxa"/>
        </w:tblCellMar>
      </w:tblPr>
      <w:tr>
        <w:trPr>
          <w:trHeight w:val="248"/>
        </w:trPr>
        <w:tc>
          <w:tcPr>
            <w:tcW w:w="2760" w:type="dxa"/>
            <w:vAlign w:val="bottom"/>
            <w:tcBorders>
              <w:top w:val="single" w:sz="8" w:color="auto"/>
              <w:left w:val="single" w:sz="8" w:color="auto"/>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20"/>
                <w:szCs w:val="20"/>
                <w:b w:val="1"/>
                <w:bCs w:val="1"/>
                <w:color w:val="auto"/>
              </w:rPr>
              <w:t>Performance Period</w:t>
            </w:r>
          </w:p>
        </w:tc>
        <w:tc>
          <w:tcPr>
            <w:tcW w:w="1880" w:type="dxa"/>
            <w:vAlign w:val="bottom"/>
            <w:tcBorders>
              <w:top w:val="single" w:sz="8" w:color="auto"/>
              <w:bottom w:val="single" w:sz="8" w:color="auto"/>
              <w:right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Threshold Goal</w:t>
            </w:r>
          </w:p>
        </w:tc>
        <w:tc>
          <w:tcPr>
            <w:tcW w:w="1620" w:type="dxa"/>
            <w:vAlign w:val="bottom"/>
            <w:tcBorders>
              <w:top w:val="single" w:sz="8" w:color="auto"/>
              <w:bottom w:val="single" w:sz="8" w:color="auto"/>
              <w:right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Target Goal</w:t>
            </w:r>
          </w:p>
        </w:tc>
        <w:tc>
          <w:tcPr>
            <w:tcW w:w="2080" w:type="dxa"/>
            <w:vAlign w:val="bottom"/>
            <w:tcBorders>
              <w:top w:val="single" w:sz="8" w:color="auto"/>
              <w:bottom w:val="single" w:sz="8" w:color="auto"/>
              <w:right w:val="single" w:sz="8" w:color="auto"/>
            </w:tcBorders>
          </w:tcPr>
          <w:p>
            <w:pPr>
              <w:jc w:val="right"/>
              <w:ind w:right="301"/>
              <w:spacing w:after="0"/>
              <w:rPr>
                <w:sz w:val="20"/>
                <w:szCs w:val="20"/>
                <w:color w:val="auto"/>
              </w:rPr>
            </w:pPr>
            <w:r>
              <w:rPr>
                <w:rFonts w:ascii="Times New Roman" w:cs="Times New Roman" w:eastAsia="Times New Roman" w:hAnsi="Times New Roman"/>
                <w:sz w:val="20"/>
                <w:szCs w:val="20"/>
                <w:b w:val="1"/>
                <w:bCs w:val="1"/>
                <w:color w:val="auto"/>
              </w:rPr>
              <w:t>Maximum Goal</w:t>
            </w:r>
          </w:p>
        </w:tc>
      </w:tr>
      <w:tr>
        <w:trPr>
          <w:trHeight w:val="231"/>
        </w:trPr>
        <w:tc>
          <w:tcPr>
            <w:tcW w:w="276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1/1/26 – 12/31/28</w:t>
            </w:r>
          </w:p>
        </w:tc>
        <w:tc>
          <w:tcPr>
            <w:tcW w:w="18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25</w:t>
            </w:r>
            <w:r>
              <w:rPr>
                <w:rFonts w:ascii="Times New Roman" w:cs="Times New Roman" w:eastAsia="Times New Roman" w:hAnsi="Times New Roman"/>
                <w:sz w:val="11"/>
                <w:szCs w:val="11"/>
                <w:color w:val="auto"/>
                <w:w w:val="99"/>
              </w:rPr>
              <w:t>th</w:t>
            </w:r>
            <w:r>
              <w:rPr>
                <w:rFonts w:ascii="Times New Roman" w:cs="Times New Roman" w:eastAsia="Times New Roman" w:hAnsi="Times New Roman"/>
                <w:sz w:val="20"/>
                <w:szCs w:val="20"/>
                <w:color w:val="auto"/>
                <w:w w:val="99"/>
              </w:rPr>
              <w:t xml:space="preserve"> Percentile of Peers</w:t>
            </w:r>
          </w:p>
        </w:tc>
        <w:tc>
          <w:tcPr>
            <w:tcW w:w="16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Percentile</w:t>
            </w:r>
          </w:p>
        </w:tc>
        <w:tc>
          <w:tcPr>
            <w:tcW w:w="20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Percentile</w:t>
            </w:r>
          </w:p>
        </w:tc>
      </w:tr>
      <w:tr>
        <w:trPr>
          <w:trHeight w:val="262"/>
        </w:trPr>
        <w:tc>
          <w:tcPr>
            <w:tcW w:w="2760" w:type="dxa"/>
            <w:vAlign w:val="bottom"/>
            <w:tcBorders>
              <w:left w:val="single" w:sz="8" w:color="auto"/>
              <w:bottom w:val="single" w:sz="8" w:color="auto"/>
              <w:right w:val="single" w:sz="8" w:color="auto"/>
            </w:tcBorders>
          </w:tcPr>
          <w:p>
            <w:pPr>
              <w:spacing w:after="0"/>
              <w:rPr>
                <w:sz w:val="22"/>
                <w:szCs w:val="22"/>
                <w:color w:val="auto"/>
              </w:rPr>
            </w:pPr>
          </w:p>
        </w:tc>
        <w:tc>
          <w:tcPr>
            <w:tcW w:w="1880" w:type="dxa"/>
            <w:vAlign w:val="bottom"/>
            <w:tcBorders>
              <w:bottom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of Peers</w:t>
            </w:r>
          </w:p>
        </w:tc>
        <w:tc>
          <w:tcPr>
            <w:tcW w:w="2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of Peers</w:t>
            </w:r>
          </w:p>
        </w:tc>
      </w:tr>
      <w:tr>
        <w:trPr>
          <w:trHeight w:val="263"/>
        </w:trPr>
        <w:tc>
          <w:tcPr>
            <w:tcW w:w="276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Award Payout Level</w:t>
            </w:r>
          </w:p>
        </w:tc>
        <w:tc>
          <w:tcPr>
            <w:tcW w:w="18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w:t>
            </w:r>
          </w:p>
        </w:tc>
        <w:tc>
          <w:tcPr>
            <w:tcW w:w="16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20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w:t>
            </w:r>
          </w:p>
        </w:tc>
      </w:tr>
    </w:tbl>
    <w:p>
      <w:pPr>
        <w:spacing w:after="0" w:line="30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rPr>
        <w:t>For purposes of this Award, “</w:t>
      </w:r>
      <w:r>
        <w:rPr>
          <w:rFonts w:ascii="Times New Roman" w:cs="Times New Roman" w:eastAsia="Times New Roman" w:hAnsi="Times New Roman"/>
          <w:sz w:val="21"/>
          <w:szCs w:val="21"/>
          <w:b w:val="1"/>
          <w:bCs w:val="1"/>
          <w:color w:val="auto"/>
        </w:rPr>
        <w:t>Relative TSR</w:t>
      </w:r>
      <w:r>
        <w:rPr>
          <w:rFonts w:ascii="Times New Roman" w:cs="Times New Roman" w:eastAsia="Times New Roman" w:hAnsi="Times New Roman"/>
          <w:sz w:val="20"/>
          <w:szCs w:val="20"/>
          <w:color w:val="auto"/>
        </w:rPr>
        <w:t xml:space="preserve">” means TSR (Share price appreciation plus accumulated dividends) measured relative to the S&amp;P’s Global Industry Classification Standard (GICS) industry code of “Banks” (industry code 401010) with total assets between $5B and $15B, including all of the compensation peers set forth on </w:t>
      </w:r>
      <w:r>
        <w:rPr>
          <w:rFonts w:ascii="Times New Roman" w:cs="Times New Roman" w:eastAsia="Times New Roman" w:hAnsi="Times New Roman"/>
          <w:sz w:val="21"/>
          <w:szCs w:val="21"/>
          <w:u w:val="single" w:color="auto"/>
          <w:color w:val="auto"/>
        </w:rPr>
        <w:t>Appendix A</w:t>
      </w:r>
      <w:r>
        <w:rPr>
          <w:rFonts w:ascii="Times New Roman" w:cs="Times New Roman" w:eastAsia="Times New Roman" w:hAnsi="Times New Roman"/>
          <w:sz w:val="20"/>
          <w:szCs w:val="20"/>
          <w:color w:val="auto"/>
        </w:rPr>
        <w:t xml:space="preserve"> to this Award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that if any such compensation peer is acquired, declares bankruptcy or becomes subject to a regulatory takeover during the Performance Period, such compensation peer shall be assumed to have the lowest TSR of all compensation peers during the Performance Period). The end-price for TSR will the average closing price during the 30-day period ending on the last day of the Performance Period. The starting price will be the closing price on the last business day immediately preceding the start of the Performance Period. </w:t>
      </w:r>
      <w:r>
        <w:rPr>
          <w:rFonts w:ascii="Times New Roman" w:cs="Times New Roman" w:eastAsia="Times New Roman" w:hAnsi="Times New Roman"/>
          <w:sz w:val="21"/>
          <w:szCs w:val="21"/>
          <w:color w:val="auto"/>
        </w:rPr>
        <w:t>The Performance Period for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measure will begin on 1/1/26 and end on 12/31/28 in order to align the accounting value, grant value, and starting price for Participants.</w:t>
      </w:r>
    </w:p>
    <w:p>
      <w:pPr>
        <w:spacing w:after="0" w:line="204" w:lineRule="exact"/>
        <w:rPr>
          <w:sz w:val="20"/>
          <w:szCs w:val="20"/>
          <w:color w:val="auto"/>
        </w:rPr>
      </w:pPr>
    </w:p>
    <w:p>
      <w:pPr>
        <w:jc w:val="both"/>
        <w:ind w:firstLine="65"/>
        <w:spacing w:after="0" w:line="247" w:lineRule="auto"/>
        <w:rPr>
          <w:sz w:val="20"/>
          <w:szCs w:val="20"/>
          <w:color w:val="auto"/>
        </w:rPr>
      </w:pPr>
      <w:r>
        <w:rPr>
          <w:rFonts w:ascii="Times New Roman" w:cs="Times New Roman" w:eastAsia="Times New Roman" w:hAnsi="Times New Roman"/>
          <w:sz w:val="20"/>
          <w:szCs w:val="20"/>
          <w:color w:val="auto"/>
        </w:rPr>
        <w:t>The final number of Shares to be paid under your Award will be based on the extent to which each of the Performance Measures is achieved, with pro rata adjustment of Shares if achievement of Performance Measures exceeds the Threshold Goal and falls between the Threshold, Target and Maximum Goals.</w:t>
      </w:r>
    </w:p>
    <w:p>
      <w:pPr>
        <w:spacing w:after="0" w:line="204" w:lineRule="exact"/>
        <w:rPr>
          <w:sz w:val="20"/>
          <w:szCs w:val="20"/>
          <w:color w:val="auto"/>
        </w:rPr>
      </w:pPr>
    </w:p>
    <w:p>
      <w:pPr>
        <w:jc w:val="both"/>
        <w:ind w:firstLine="65"/>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Effect of Separation from Service. </w:t>
      </w:r>
      <w:r>
        <w:rPr>
          <w:rFonts w:ascii="Times New Roman" w:cs="Times New Roman" w:eastAsia="Times New Roman" w:hAnsi="Times New Roman"/>
          <w:sz w:val="20"/>
          <w:szCs w:val="20"/>
          <w:color w:val="auto"/>
        </w:rPr>
        <w:t>If you Separate from Service before the end of the Performance Periods for any reason you will forfeit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RSUs in which you have not yet vested as of your Separation from Service, unless:</w:t>
      </w:r>
    </w:p>
    <w:p>
      <w:pPr>
        <w:spacing w:after="0" w:line="196" w:lineRule="exact"/>
        <w:rPr>
          <w:sz w:val="20"/>
          <w:szCs w:val="20"/>
          <w:color w:val="auto"/>
        </w:rPr>
      </w:pPr>
    </w:p>
    <w:p>
      <w:pPr>
        <w:jc w:val="both"/>
        <w:ind w:left="660" w:hanging="328"/>
        <w:spacing w:after="0" w:line="234" w:lineRule="auto"/>
        <w:tabs>
          <w:tab w:leader="none" w:pos="655" w:val="left"/>
        </w:tabs>
        <w:numPr>
          <w:ilvl w:val="0"/>
          <w:numId w:val="69"/>
        </w:numPr>
        <w:rPr>
          <w:rFonts w:ascii="Arial" w:cs="Arial" w:eastAsia="Arial" w:hAnsi="Arial"/>
          <w:sz w:val="22"/>
          <w:szCs w:val="22"/>
          <w:color w:val="auto"/>
        </w:rPr>
      </w:pPr>
      <w:r>
        <w:rPr>
          <w:rFonts w:ascii="Times New Roman" w:cs="Times New Roman" w:eastAsia="Times New Roman" w:hAnsi="Times New Roman"/>
          <w:sz w:val="20"/>
          <w:szCs w:val="20"/>
          <w:color w:val="auto"/>
        </w:rPr>
        <w:t>Your Separation from Service is due to Disability, and no Cause exists, in which case the unvested portion of your RSUs will continue to vest based on actual achievement of Performance Measures at the end of the applicable Performance Period as if you had not Separated from Service, subject to pro-ration based on the number of full months that you worked during each Performance Period prior to your Separation from Service as a percentage of the total Performance Period.</w:t>
      </w:r>
    </w:p>
    <w:p>
      <w:pPr>
        <w:spacing w:after="0" w:line="228" w:lineRule="exact"/>
        <w:rPr>
          <w:rFonts w:ascii="Arial" w:cs="Arial" w:eastAsia="Arial" w:hAnsi="Arial"/>
          <w:sz w:val="22"/>
          <w:szCs w:val="22"/>
          <w:color w:val="auto"/>
        </w:rPr>
      </w:pPr>
    </w:p>
    <w:p>
      <w:pPr>
        <w:jc w:val="both"/>
        <w:ind w:left="660" w:hanging="328"/>
        <w:spacing w:after="0" w:line="233" w:lineRule="auto"/>
        <w:tabs>
          <w:tab w:leader="none" w:pos="655"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Your Separation from Service is due to retirement (defined as age 65 with 5 continuous years of service with the Bank or its affiliates), and no Cause exists, in which case the unvested portion of your RSUs will continue to vest based on actual achievement of Performance Measures at the end of the applicable Performance Period as if you had not Separated from Service, but only if (i) you provide the Bank with at least 6 months’ written notice of your retirement (which notice period the Bank may shorten in its sole discretion and which shall not be deemed a termination without Cause) and (ii) for 12 months after the effective date of your retirement, you continue to consult with the Bank, at no additional cost to the Bank, with regard to any matters which relate to or arise out of the Bank’s business during the period and which the Board or the Bank’s Chief Executive Officer requests your assistance.</w:t>
      </w:r>
    </w:p>
    <w:p>
      <w:pPr>
        <w:sectPr>
          <w:pgSz w:w="11900" w:h="16838" w:orient="portrait"/>
          <w:cols w:equalWidth="0" w:num="1">
            <w:col w:w="11240"/>
          </w:cols>
          <w:pgMar w:left="320" w:top="1413" w:right="339" w:bottom="1440" w:gutter="0" w:footer="0" w:header="0"/>
        </w:sectPr>
      </w:pPr>
    </w:p>
    <w:bookmarkStart w:id="167" w:name="page168"/>
    <w:bookmarkEnd w:id="167"/>
    <w:p>
      <w:pPr>
        <w:jc w:val="both"/>
        <w:ind w:left="660" w:hanging="328"/>
        <w:spacing w:after="0" w:line="237" w:lineRule="auto"/>
        <w:tabs>
          <w:tab w:leader="none" w:pos="65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You die and no Cause exists, or you Separate from Service due to an involuntary termination by the Bank without Cause or due to your voluntary resignation for Good Reason, in which case your RSUs will immediately vest based on target achievement of Performance Measures, subject to pro-ration based on the number of full months that you worked during each Performance Period prior to your Separation from Service as a percentage of the total Performance Period.</w:t>
      </w:r>
    </w:p>
    <w:p>
      <w:pPr>
        <w:spacing w:after="0" w:line="216" w:lineRule="exact"/>
        <w:rPr>
          <w:rFonts w:ascii="Times New Roman" w:cs="Times New Roman" w:eastAsia="Times New Roman" w:hAnsi="Times New Roman"/>
          <w:sz w:val="22"/>
          <w:szCs w:val="22"/>
          <w:color w:val="auto"/>
        </w:rPr>
      </w:pPr>
    </w:p>
    <w:p>
      <w:pPr>
        <w:jc w:val="both"/>
        <w:ind w:left="660" w:hanging="328"/>
        <w:spacing w:after="0"/>
        <w:tabs>
          <w:tab w:leader="none" w:pos="655"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You Separate from Service within one year following a Change in Control due to a Qualifying Termination (as defined in the Plan), in which case your RSUs will vest based on the Committee’s determination of actual performance and the Performance Measures will be determined as of (a) the most recent-completed fiscal quarter, for Adjusted Tangible Book Value Growth, and (b) as of the date of the Change in Control, for Relative TSR. </w:t>
      </w:r>
      <w:r>
        <w:rPr>
          <w:rFonts w:ascii="Times New Roman" w:cs="Times New Roman" w:eastAsia="Times New Roman" w:hAnsi="Times New Roman"/>
          <w:sz w:val="21"/>
          <w:szCs w:val="21"/>
          <w:color w:val="auto"/>
        </w:rPr>
        <w:t>If actual performance cannot be determined, your RSUs will vest based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achievement of Performance Measures at Target Goal, subject to pro-ration based on the number of full months that you worked during each Performance Period prior to your Separation from Service as a percentage of the total Performance Period.</w:t>
      </w:r>
    </w:p>
    <w:p>
      <w:pPr>
        <w:spacing w:after="0" w:line="211" w:lineRule="exact"/>
        <w:rPr>
          <w:sz w:val="20"/>
          <w:szCs w:val="20"/>
          <w:color w:val="auto"/>
        </w:rPr>
      </w:pPr>
    </w:p>
    <w:p>
      <w:pPr>
        <w:jc w:val="both"/>
        <w:ind w:firstLine="65"/>
        <w:spacing w:after="0"/>
        <w:rPr>
          <w:sz w:val="20"/>
          <w:szCs w:val="20"/>
          <w:color w:val="auto"/>
        </w:rPr>
      </w:pPr>
      <w:r>
        <w:rPr>
          <w:rFonts w:ascii="Times New Roman" w:cs="Times New Roman" w:eastAsia="Times New Roman" w:hAnsi="Times New Roman"/>
          <w:sz w:val="20"/>
          <w:szCs w:val="20"/>
          <w:color w:val="auto"/>
        </w:rPr>
        <w:t>If the Committee determines, at any time, that Cause exists at the time of your Separation from Service, all of your rights under this RSU Award will terminate immediately, you will forfeit all RSUs that have not yet vested as of the date of your Separation from Service, and the Bank shall have the right to repurchase any Shares that you have already received as a result of RSUs that have already vested, at the lower</w:t>
      </w:r>
    </w:p>
    <w:p>
      <w:pPr>
        <w:jc w:val="both"/>
        <w:spacing w:after="0" w:line="253" w:lineRule="auto"/>
        <w:rPr>
          <w:sz w:val="20"/>
          <w:szCs w:val="20"/>
          <w:color w:val="auto"/>
        </w:rPr>
      </w:pPr>
      <w:r>
        <w:rPr>
          <w:rFonts w:ascii="Times New Roman" w:cs="Times New Roman" w:eastAsia="Times New Roman" w:hAnsi="Times New Roman"/>
          <w:sz w:val="20"/>
          <w:szCs w:val="20"/>
          <w:color w:val="auto"/>
        </w:rPr>
        <w:t>of Fair Market Value or the price paid by you, all as described in the Plan. The existence of “Cause” will be determined in the sole discretion of the Committee (or if the Board has chosen to reserve such power, the Board).</w:t>
      </w:r>
    </w:p>
    <w:p>
      <w:pPr>
        <w:spacing w:after="0" w:line="188" w:lineRule="exact"/>
        <w:rPr>
          <w:sz w:val="20"/>
          <w:szCs w:val="20"/>
          <w:color w:val="auto"/>
        </w:rPr>
      </w:pPr>
    </w:p>
    <w:p>
      <w:pPr>
        <w:jc w:val="both"/>
        <w:ind w:right="20" w:firstLine="65"/>
        <w:spacing w:after="0" w:line="269" w:lineRule="auto"/>
        <w:rPr>
          <w:sz w:val="20"/>
          <w:szCs w:val="20"/>
          <w:color w:val="auto"/>
        </w:rPr>
      </w:pPr>
      <w:r>
        <w:rPr>
          <w:rFonts w:ascii="Times New Roman" w:cs="Times New Roman" w:eastAsia="Times New Roman" w:hAnsi="Times New Roman"/>
          <w:sz w:val="20"/>
          <w:szCs w:val="20"/>
          <w:color w:val="auto"/>
        </w:rPr>
        <w:t>Note, however, that except where there is a Change in Control, or you die or become Disabled, you will not vest in any portion of your Award prior to the first anniversary after its Date of Grant.</w:t>
      </w:r>
    </w:p>
    <w:p>
      <w:pPr>
        <w:spacing w:after="0" w:line="173" w:lineRule="exact"/>
        <w:rPr>
          <w:sz w:val="20"/>
          <w:szCs w:val="20"/>
          <w:color w:val="auto"/>
        </w:rPr>
      </w:pPr>
    </w:p>
    <w:p>
      <w:pPr>
        <w:jc w:val="both"/>
        <w:ind w:firstLine="65"/>
        <w:spacing w:after="0" w:line="255" w:lineRule="auto"/>
        <w:rPr>
          <w:sz w:val="20"/>
          <w:szCs w:val="20"/>
          <w:color w:val="auto"/>
        </w:rPr>
      </w:pPr>
      <w:r>
        <w:rPr>
          <w:rFonts w:ascii="Times New Roman" w:cs="Times New Roman" w:eastAsia="Times New Roman" w:hAnsi="Times New Roman"/>
          <w:sz w:val="20"/>
          <w:szCs w:val="20"/>
          <w:color w:val="auto"/>
        </w:rPr>
        <w:t>To the extent dividends are paid on Shares covered by your RSUs prior to the date they become vested, you will be entitled to receive those dividends upon the vesting of the applicable RSU.</w:t>
      </w:r>
    </w:p>
    <w:p>
      <w:pPr>
        <w:spacing w:after="0" w:line="196" w:lineRule="exact"/>
        <w:rPr>
          <w:sz w:val="20"/>
          <w:szCs w:val="20"/>
          <w:color w:val="auto"/>
        </w:rPr>
      </w:pPr>
    </w:p>
    <w:p>
      <w:pPr>
        <w:jc w:val="both"/>
        <w:ind w:right="20" w:firstLine="65"/>
        <w:spacing w:after="0" w:line="249" w:lineRule="auto"/>
        <w:rPr>
          <w:sz w:val="20"/>
          <w:szCs w:val="20"/>
          <w:color w:val="auto"/>
        </w:rPr>
      </w:pPr>
      <w:r>
        <w:rPr>
          <w:rFonts w:ascii="Times New Roman" w:cs="Times New Roman" w:eastAsia="Times New Roman" w:hAnsi="Times New Roman"/>
          <w:sz w:val="20"/>
          <w:szCs w:val="20"/>
          <w:b w:val="1"/>
          <w:bCs w:val="1"/>
          <w:color w:val="auto"/>
        </w:rPr>
        <w:t>Additional Terms</w:t>
      </w:r>
      <w:r>
        <w:rPr>
          <w:rFonts w:ascii="Times New Roman" w:cs="Times New Roman" w:eastAsia="Times New Roman" w:hAnsi="Times New Roman"/>
          <w:sz w:val="20"/>
          <w:szCs w:val="20"/>
          <w:color w:val="auto"/>
        </w:rPr>
        <w:t>: Your rights and duties and those of the Bank under your Award are governed by the provisions of this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and the attached Terms and Conditions and Plan document, both of which are incorporated into this Award Agreement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reference. If there is any discrepancy between these documents, the Plan document will always govern.</w:t>
      </w:r>
    </w:p>
    <w:p>
      <w:pPr>
        <w:spacing w:after="0" w:line="227" w:lineRule="exact"/>
        <w:rPr>
          <w:sz w:val="20"/>
          <w:szCs w:val="20"/>
          <w:color w:val="auto"/>
        </w:rPr>
      </w:pPr>
    </w:p>
    <w:p>
      <w:pPr>
        <w:jc w:val="both"/>
        <w:ind w:firstLine="65"/>
        <w:spacing w:after="0" w:line="263" w:lineRule="auto"/>
        <w:rPr>
          <w:sz w:val="20"/>
          <w:szCs w:val="20"/>
          <w:color w:val="auto"/>
        </w:rPr>
      </w:pPr>
      <w:r>
        <w:rPr>
          <w:rFonts w:ascii="Times New Roman" w:cs="Times New Roman" w:eastAsia="Times New Roman" w:hAnsi="Times New Roman"/>
          <w:sz w:val="19"/>
          <w:szCs w:val="19"/>
          <w:color w:val="auto"/>
        </w:rPr>
        <w:t>This Award is designated as incentive compensation that is in addition to your regular cash wages. No amount of Common Stock or income received by you pursuant to this Award will be considered compensation for purposes of any severance or any pension, retirement, insurance or other employee benefit plan or program of the Bank or its Subsidiaries. It will not be included in calculating any employment-related benefits to which you may be entitled from the Bank or any Subsidiary. Participation in the Plan is discretionary and voluntary, and the Plan can be terminated at any time. This Award does not create a right or entitlement to future awards, whether pursuant to the Plan or otherwise.</w:t>
      </w:r>
    </w:p>
    <w:p>
      <w:pPr>
        <w:spacing w:after="0" w:line="193" w:lineRule="exact"/>
        <w:rPr>
          <w:sz w:val="20"/>
          <w:szCs w:val="20"/>
          <w:color w:val="auto"/>
        </w:rPr>
      </w:pPr>
    </w:p>
    <w:p>
      <w:pPr>
        <w:jc w:val="both"/>
        <w:ind w:firstLine="65"/>
        <w:spacing w:after="0" w:line="254" w:lineRule="auto"/>
        <w:rPr>
          <w:sz w:val="20"/>
          <w:szCs w:val="20"/>
          <w:color w:val="auto"/>
        </w:rPr>
      </w:pPr>
      <w:r>
        <w:rPr>
          <w:rFonts w:ascii="Times New Roman" w:cs="Times New Roman" w:eastAsia="Times New Roman" w:hAnsi="Times New Roman"/>
          <w:sz w:val="20"/>
          <w:szCs w:val="20"/>
          <w:color w:val="auto"/>
        </w:rPr>
        <w:t>The governing law for purposes of resolving any issue relating to this Award or the Plan shall be United States federal law and, where appropriate, the laws of the State of New York. Any dispute regarding this Award or the Plan shall be resolved by a court of law in the City of New York, State of New York.</w:t>
      </w:r>
    </w:p>
    <w:p>
      <w:pPr>
        <w:spacing w:after="0" w:line="184" w:lineRule="exact"/>
        <w:rPr>
          <w:sz w:val="20"/>
          <w:szCs w:val="20"/>
          <w:color w:val="auto"/>
        </w:rPr>
      </w:pPr>
    </w:p>
    <w:p>
      <w:pPr>
        <w:jc w:val="both"/>
        <w:ind w:firstLine="65"/>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any questions regarding your Award, please see the enclosed Terms and Conditions and Plan document, or contact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our Human Resources department.</w:t>
      </w:r>
    </w:p>
    <w:p>
      <w:pPr>
        <w:sectPr>
          <w:pgSz w:w="11900" w:h="16838" w:orient="portrait"/>
          <w:cols w:equalWidth="0" w:num="1">
            <w:col w:w="11240"/>
          </w:cols>
          <w:pgMar w:left="320" w:top="1426" w:right="339" w:bottom="1440" w:gutter="0" w:footer="0" w:header="0"/>
        </w:sectPr>
      </w:pPr>
    </w:p>
    <w:bookmarkStart w:id="168" w:name="page169"/>
    <w:bookmarkEnd w:id="168"/>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BY: AMALGAMATED FINANCIAL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AMALGAMATED FINANCIAL CORP. 2023 EQUITY INCENTIVE PLAN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PERFORMANCE UNIT TERMS AND CONDITIONS</w:t>
      </w:r>
    </w:p>
    <w:p>
      <w:pPr>
        <w:spacing w:after="0" w:line="23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document is intended to provide you some background on the Amalgamated Financial Corp. 2023 Equity Incentive Plan (the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0"/>
          <w:szCs w:val="20"/>
          <w:color w:val="auto"/>
        </w:rPr>
        <w:t>”) and to help you better understand the terms and conditions of the Restricted Stock Unit award (the “</w:t>
      </w:r>
      <w:r>
        <w:rPr>
          <w:rFonts w:ascii="Times New Roman" w:cs="Times New Roman" w:eastAsia="Times New Roman" w:hAnsi="Times New Roman"/>
          <w:sz w:val="21"/>
          <w:szCs w:val="21"/>
          <w:b w:val="1"/>
          <w:bCs w:val="1"/>
          <w:color w:val="auto"/>
        </w:rPr>
        <w:t>Award,</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Restricted Stock Units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1"/>
          <w:szCs w:val="21"/>
          <w:b w:val="1"/>
          <w:bCs w:val="1"/>
          <w:color w:val="auto"/>
        </w:rPr>
        <w:t>RSUs</w:t>
      </w:r>
      <w:r>
        <w:rPr>
          <w:rFonts w:ascii="Times New Roman" w:cs="Times New Roman" w:eastAsia="Times New Roman" w:hAnsi="Times New Roman"/>
          <w:sz w:val="20"/>
          <w:szCs w:val="20"/>
          <w:color w:val="auto"/>
        </w:rPr>
        <w:t>”) granted to you under the Plan. References in this document to “</w:t>
      </w:r>
      <w:r>
        <w:rPr>
          <w:rFonts w:ascii="Times New Roman" w:cs="Times New Roman" w:eastAsia="Times New Roman" w:hAnsi="Times New Roman"/>
          <w:sz w:val="21"/>
          <w:szCs w:val="21"/>
          <w:b w:val="1"/>
          <w:bCs w:val="1"/>
          <w:color w:val="auto"/>
        </w:rPr>
        <w:t>our</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us</w:t>
      </w:r>
      <w:r>
        <w:rPr>
          <w:rFonts w:ascii="Times New Roman" w:cs="Times New Roman" w:eastAsia="Times New Roman" w:hAnsi="Times New Roman"/>
          <w:sz w:val="20"/>
          <w:szCs w:val="20"/>
          <w:color w:val="auto"/>
        </w:rPr>
        <w:t>,” “</w:t>
      </w:r>
      <w:r>
        <w:rPr>
          <w:rFonts w:ascii="Times New Roman" w:cs="Times New Roman" w:eastAsia="Times New Roman" w:hAnsi="Times New Roman"/>
          <w:sz w:val="21"/>
          <w:szCs w:val="21"/>
          <w:b w:val="1"/>
          <w:bCs w:val="1"/>
          <w:color w:val="auto"/>
        </w:rPr>
        <w:t>we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1"/>
          <w:szCs w:val="21"/>
          <w:b w:val="1"/>
          <w:bCs w:val="1"/>
          <w:color w:val="auto"/>
        </w:rPr>
        <w:t>Bank</w:t>
      </w:r>
      <w:r>
        <w:rPr>
          <w:rFonts w:ascii="Times New Roman" w:cs="Times New Roman" w:eastAsia="Times New Roman" w:hAnsi="Times New Roman"/>
          <w:sz w:val="20"/>
          <w:szCs w:val="20"/>
          <w:color w:val="auto"/>
        </w:rPr>
        <w:t>” are intended to refer to Amalgamated Financial Corp.</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Background</w:t>
      </w:r>
    </w:p>
    <w:p>
      <w:pPr>
        <w:spacing w:after="0" w:line="243" w:lineRule="exact"/>
        <w:rPr>
          <w:sz w:val="20"/>
          <w:szCs w:val="20"/>
          <w:color w:val="auto"/>
        </w:rPr>
      </w:pPr>
    </w:p>
    <w:p>
      <w:pPr>
        <w:ind w:left="660" w:hanging="328"/>
        <w:spacing w:after="0"/>
        <w:tabs>
          <w:tab w:leader="none" w:pos="6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How are Award recipients chosen?</w:t>
      </w:r>
    </w:p>
    <w:p>
      <w:pPr>
        <w:spacing w:after="0" w:line="21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Under our current process, the Compensation Committee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0"/>
          <w:szCs w:val="20"/>
          <w:color w:val="auto"/>
        </w:rPr>
        <w:t>”) approves executive equity awards, although the Committee may delegate the power to make non-officer awards to an officer of the Bank and the Board has the authority to reserve these powers to the full Board with respect to some or all eligible individuals.</w:t>
      </w:r>
    </w:p>
    <w:p>
      <w:pPr>
        <w:spacing w:after="0" w:line="193" w:lineRule="exact"/>
        <w:rPr>
          <w:sz w:val="20"/>
          <w:szCs w:val="20"/>
          <w:color w:val="auto"/>
        </w:rPr>
      </w:pPr>
    </w:p>
    <w:p>
      <w:pPr>
        <w:ind w:left="660" w:hanging="328"/>
        <w:spacing w:after="0"/>
        <w:tabs>
          <w:tab w:leader="none" w:pos="6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is the value of my Award?</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value of each Share covered by your RSU Award is equal to the market price of one Share of Bank Common Stock, and will have the same value as established on the exchange on which the Shares are traded.</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Under current tax laws, you will be taxed on the market price of the Share(s) vesting under your RSU Award at the time the Shares (or in certain cases, their cash equivalent) are paid to you in settlement of your Award. We recommend that you consult your personal tax advisor to discuss the potential tax consequences to you of receiving this Award.</w:t>
      </w:r>
    </w:p>
    <w:p>
      <w:pPr>
        <w:spacing w:after="0" w:line="18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Note that no amount of cash or Common Stock received by you pursuant to your Award will be considered compensation for purposes of any severance or any pension, retirement, insurance or other employee benefit plan of the Bank or its Subsidiaries.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Terms and Conditions</w:t>
      </w:r>
    </w:p>
    <w:p>
      <w:pPr>
        <w:spacing w:after="0" w:line="256" w:lineRule="exact"/>
        <w:rPr>
          <w:sz w:val="20"/>
          <w:szCs w:val="20"/>
          <w:color w:val="auto"/>
        </w:rPr>
      </w:pPr>
    </w:p>
    <w:p>
      <w:pPr>
        <w:ind w:left="660" w:hanging="328"/>
        <w:spacing w:after="0"/>
        <w:tabs>
          <w:tab w:leader="none" w:pos="66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When will my Restricted Stock Units vest?</w:t>
      </w:r>
    </w:p>
    <w:p>
      <w:pPr>
        <w:spacing w:after="0" w:line="22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Generally, your Restricted Stock Units will vest (in whole Shares, rounded down) based on achievement of the Performance Measures during the Performance Periods, as set forth in your Award Agreement.</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269" w:lineRule="auto"/>
        <w:rPr>
          <w:sz w:val="20"/>
          <w:szCs w:val="20"/>
          <w:color w:val="auto"/>
        </w:rPr>
      </w:pPr>
      <w:r>
        <w:rPr>
          <w:rFonts w:ascii="Times New Roman" w:cs="Times New Roman" w:eastAsia="Times New Roman" w:hAnsi="Times New Roman"/>
          <w:sz w:val="20"/>
          <w:szCs w:val="20"/>
          <w:color w:val="auto"/>
        </w:rPr>
        <w:t>Your Award Agreement may provide for earlier vesting dates upon specific events. Please refer to your Award Agreement to see if special early vesting dates apply to your Restricted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Committee may, in its sole discretion, choose to accelerate or extend the vesting of Awards in special circumstances.</w:t>
      </w:r>
    </w:p>
    <w:p>
      <w:pPr>
        <w:spacing w:after="0" w:line="252" w:lineRule="exact"/>
        <w:rPr>
          <w:sz w:val="20"/>
          <w:szCs w:val="20"/>
          <w:color w:val="auto"/>
        </w:rPr>
      </w:pPr>
    </w:p>
    <w:p>
      <w:pPr>
        <w:ind w:left="660" w:hanging="328"/>
        <w:spacing w:after="0"/>
        <w:tabs>
          <w:tab w:leader="none" w:pos="660"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When do I receive payment?</w:t>
      </w:r>
    </w:p>
    <w:p>
      <w:pPr>
        <w:spacing w:after="0" w:line="2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As soon as administratively practical after the date the Performance Period applicable to your RSUs ends, as specified in your Award Agreement, the specified number of Shares of our Common Stock will be delivered to you for each RSU that vests. Delivery of Shares, either electronically or in certificate form (as we determine), will usually be made within approximately 30 days after such Performance Period end. Fractional shares will not be paid. In some cases, the Bank may instead pay the cash equivalent of Shares to you.</w:t>
      </w:r>
    </w:p>
    <w:p>
      <w:pPr>
        <w:spacing w:after="0" w:line="20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By accepting this Award, you acknowledge that, except as may otherwise be provided in your Award Agreement, if you Separate from Service prior to the end of the Performance Periods, you will forfeit all of your unvested RSUs and any other rights associated with your unvested RSUs under the Plan.</w:t>
      </w:r>
    </w:p>
    <w:p>
      <w:pPr>
        <w:spacing w:after="0" w:line="217" w:lineRule="exact"/>
        <w:rPr>
          <w:sz w:val="20"/>
          <w:szCs w:val="20"/>
          <w:color w:val="auto"/>
        </w:rPr>
      </w:pPr>
    </w:p>
    <w:p>
      <w:pPr>
        <w:ind w:left="660" w:hanging="328"/>
        <w:spacing w:after="0"/>
        <w:tabs>
          <w:tab w:leader="none" w:pos="66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Do I have to pay any tax in connection with this RSU Award?</w:t>
      </w:r>
    </w:p>
    <w:p>
      <w:pPr>
        <w:spacing w:after="0" w:line="21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Yes, you are subject to federal (and in some cases, state and local) income taxes on the fair market value of your Restricted Stock Units in the year that you are paid Shares of Common Stock (or in certain cases, their cash equivalent) in settlement of your Award. If you are an employee, we are required under current federal (and some state and local) tax laws to withhold taxes from you. This may be accomplished by withholding whole Shares of Common Stock with an equivalent value. We will round down to the nearest whole Share. To the extent this Share withholding is not sufficient, or is prohibited or limited by applicable law, you will ultimately be responsible for any additional taxes due. If withholding is determined by us to be not possible or inadequate, we will have the right to require cash payment and/or make deductions from other payments due to you that are sufficient to satisfy these requirements.</w:t>
      </w:r>
    </w:p>
    <w:p>
      <w:pPr>
        <w:spacing w:after="0" w:line="2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You may not rely on the Bank or any of its officers, directors or employees for tax or legal advice regarding this Award. We make no representations with respect to and hereby disclaim all responsibility as to the tax treatment of your Award.</w:t>
      </w:r>
    </w:p>
    <w:p>
      <w:pPr>
        <w:spacing w:after="0" w:line="196" w:lineRule="exact"/>
        <w:rPr>
          <w:sz w:val="20"/>
          <w:szCs w:val="20"/>
          <w:color w:val="auto"/>
        </w:rPr>
      </w:pPr>
    </w:p>
    <w:p>
      <w:pPr>
        <w:ind w:left="660" w:hanging="328"/>
        <w:spacing w:after="0"/>
        <w:tabs>
          <w:tab w:leader="none" w:pos="66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are my rights as a stockholder with respect to my Restricted Stock Units?</w:t>
      </w:r>
    </w:p>
    <w:p>
      <w:pPr>
        <w:spacing w:after="0" w:line="224" w:lineRule="exact"/>
        <w:rPr>
          <w:sz w:val="20"/>
          <w:szCs w:val="20"/>
          <w:color w:val="auto"/>
        </w:rPr>
      </w:pPr>
    </w:p>
    <w:p>
      <w:pPr>
        <w:ind w:right="340"/>
        <w:spacing w:after="0"/>
        <w:rPr>
          <w:sz w:val="20"/>
          <w:szCs w:val="20"/>
          <w:color w:val="auto"/>
        </w:rPr>
      </w:pPr>
      <w:r>
        <w:rPr>
          <w:rFonts w:ascii="Times New Roman" w:cs="Times New Roman" w:eastAsia="Times New Roman" w:hAnsi="Times New Roman"/>
          <w:sz w:val="20"/>
          <w:szCs w:val="20"/>
          <w:color w:val="auto"/>
        </w:rPr>
        <w:t>Until you actually receive Shares (if any) in settlement of your Award, you will generally have no rights as a stockholder with respect to those Shares, such as the right to vote the Shares or the right to receive dividends, unless the Board has specifically provided otherwise in your Award Agreement.</w:t>
      </w:r>
    </w:p>
    <w:p>
      <w:pPr>
        <w:spacing w:after="0" w:line="224" w:lineRule="exact"/>
        <w:rPr>
          <w:sz w:val="20"/>
          <w:szCs w:val="20"/>
          <w:color w:val="auto"/>
        </w:rPr>
      </w:pPr>
    </w:p>
    <w:p>
      <w:pPr>
        <w:ind w:left="660" w:hanging="328"/>
        <w:spacing w:after="0"/>
        <w:tabs>
          <w:tab w:leader="none" w:pos="66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Are there restrictions on the transfer of my Restricted Stock Units?</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You may not sell, transfer, pledge, assign, or otherwise alienate or hypothecate your RSUs, whether voluntarily or involuntarily, by operation of law or otherwise, except upon your death or as otherwise specifically provided in the Plan. If you die, your beneficiary or the personal representative of your estate can act on your behalf. Once you receive any Share, you will normally be entitled to all rights of ownership to such Share. Under certain circumstances described in the Plan, however, these rights may be delayed or subject to additional limitations or restrictions.</w:t>
      </w:r>
    </w:p>
    <w:p>
      <w:pPr>
        <w:sectPr>
          <w:pgSz w:w="11900" w:h="16838" w:orient="portrait"/>
          <w:cols w:equalWidth="0" w:num="1">
            <w:col w:w="11240"/>
          </w:cols>
          <w:pgMar w:left="320" w:top="1426" w:right="339" w:bottom="1440" w:gutter="0" w:footer="0" w:header="0"/>
        </w:sectPr>
      </w:pPr>
    </w:p>
    <w:bookmarkStart w:id="170" w:name="page171"/>
    <w:bookmarkEnd w:id="170"/>
    <w:p>
      <w:pPr>
        <w:spacing w:after="0" w:line="226" w:lineRule="exact"/>
        <w:rPr>
          <w:sz w:val="20"/>
          <w:szCs w:val="20"/>
          <w:color w:val="auto"/>
        </w:rPr>
      </w:pPr>
    </w:p>
    <w:p>
      <w:pPr>
        <w:ind w:left="660" w:hanging="328"/>
        <w:spacing w:after="0"/>
        <w:tabs>
          <w:tab w:leader="none" w:pos="660"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How do I designate my beneficiary or beneficiaries?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You must obtain and file a completed beneficiary designation form with our Human Resources department. Each time you file a beneficiary designation form, all previously-filed beneficiary designation forms will be revoked and of no further force or effect. If you want to name multiple beneficiaries, all beneficiaries must be listed on a single beneficiary designation form (including attachments, if necessary). If you do not file a beneficiary designation form, benefits remaining unpaid at your death will be paid to your estate.</w:t>
      </w:r>
    </w:p>
    <w:p>
      <w:pPr>
        <w:spacing w:after="0" w:line="195" w:lineRule="exact"/>
        <w:rPr>
          <w:sz w:val="20"/>
          <w:szCs w:val="20"/>
          <w:color w:val="auto"/>
        </w:rPr>
      </w:pPr>
    </w:p>
    <w:p>
      <w:pPr>
        <w:ind w:left="660" w:hanging="328"/>
        <w:spacing w:after="0"/>
        <w:tabs>
          <w:tab w:leader="none" w:pos="660"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Are there restrictions on the delivery and sale of Shares?</w:t>
      </w:r>
    </w:p>
    <w:p>
      <w:pPr>
        <w:spacing w:after="0" w:line="23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Shares issued to you upon the vesting of Restricted Stock Units are subject to federal securities laws. In some cases, state or local securities laws may also apply. If the Board determines that certain registrations or filings are needed or desired to comply with these various securities laws, then we may delay the delivery of your Shares until the necessary approvals or filings are obtained. In order for us to meet an exemption from securities registration requirements, we may also require you to provide us with certain information, representations and warranties before we will issue Shares to you.</w:t>
      </w: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Where applicable, the certificates evidencing any Shares may contain wording (or otherwise as appropriate in electronic format) indicating that conditions, restrictions, rights and obligations apply.</w:t>
      </w:r>
    </w:p>
    <w:p>
      <w:pPr>
        <w:spacing w:after="0" w:line="196" w:lineRule="exact"/>
        <w:rPr>
          <w:sz w:val="20"/>
          <w:szCs w:val="20"/>
          <w:color w:val="auto"/>
        </w:rPr>
      </w:pPr>
    </w:p>
    <w:p>
      <w:pPr>
        <w:ind w:left="660" w:hanging="328"/>
        <w:spacing w:after="0"/>
        <w:tabs>
          <w:tab w:leader="none" w:pos="660"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Does the receipt of my Award guarantee continued service with the Bank?</w:t>
      </w:r>
    </w:p>
    <w:p>
      <w:pPr>
        <w:spacing w:after="0" w:line="23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No. Neither the establishment of the Plan, your Award of RSUs, nor the issuance of Shares or other consideration in connection with your Award, gives you the right to continued employment or service with the Bank (or any of our Subsidiaries).</w:t>
      </w:r>
    </w:p>
    <w:p>
      <w:pPr>
        <w:spacing w:after="0" w:line="196" w:lineRule="exact"/>
        <w:rPr>
          <w:sz w:val="20"/>
          <w:szCs w:val="20"/>
          <w:color w:val="auto"/>
        </w:rPr>
      </w:pPr>
    </w:p>
    <w:p>
      <w:pPr>
        <w:ind w:left="660" w:hanging="328"/>
        <w:spacing w:after="0"/>
        <w:tabs>
          <w:tab w:leader="none" w:pos="660"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events can trigger forfeiture of my Restricted Stock Units?</w:t>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Except as may otherwise be specifically provided in your Award Agreement, your unvested RSUs will normally be cancelled and forfeited upon your Separation from Service.</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addition, your RSUs and any cash or Shares paid to you in settlement of your RSUs, and any profits from sale of such Shares, are subject to clawback, recoupment or repayment if you commit certain bad acts, you engage in certain practices injurious to the Bank or its Subsidiaries, or if the Bank experiences regulatory or capital issues. These clawback, recoupment and repayment provisions are set forth in detail in Section 8(j) of the Plan.</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The Committee may, in its discretion, accelerate the vesting of your Award in special circumstances, subject to certain provisions of the Plan and the law.</w:t>
      </w:r>
    </w:p>
    <w:p>
      <w:pPr>
        <w:spacing w:after="0" w:line="196" w:lineRule="exact"/>
        <w:rPr>
          <w:sz w:val="20"/>
          <w:szCs w:val="20"/>
          <w:color w:val="auto"/>
        </w:rPr>
      </w:pPr>
    </w:p>
    <w:p>
      <w:pPr>
        <w:ind w:left="660" w:hanging="328"/>
        <w:spacing w:after="0"/>
        <w:tabs>
          <w:tab w:leader="none" w:pos="66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b w:val="1"/>
          <w:bCs w:val="1"/>
          <w:color w:val="auto"/>
        </w:rPr>
        <w:t>What documents govern my Restricted Stock Units?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Plan, your Award Agreement, and these Terms and Conditions express the entire understanding between you and the Bank with respect to your Restricted Stock Units. In the event of any conflict between these documents, the terms of the Plan will always govern. You should never rely on any oral description of the Plan or your Award Agreement because the written terms of the Plan will always</w:t>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269" w:lineRule="auto"/>
        <w:rPr>
          <w:sz w:val="20"/>
          <w:szCs w:val="20"/>
          <w:color w:val="auto"/>
        </w:rPr>
      </w:pPr>
      <w:r>
        <w:rPr>
          <w:rFonts w:ascii="Times New Roman" w:cs="Times New Roman" w:eastAsia="Times New Roman" w:hAnsi="Times New Roman"/>
          <w:sz w:val="20"/>
          <w:szCs w:val="20"/>
          <w:color w:val="auto"/>
        </w:rPr>
        <w:t>govern. The Committee has the sole authority to interpret this document and the Plan. Any such interpretation will be binding on you, us, and other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540" w:type="dxa"/>
            <w:vAlign w:val="bottom"/>
            <w:gridSpan w:val="2"/>
          </w:tcPr>
          <w:p>
            <w:pPr>
              <w:ind w:left="1020"/>
              <w:spacing w:after="0"/>
              <w:rPr>
                <w:sz w:val="20"/>
                <w:szCs w:val="20"/>
                <w:color w:val="auto"/>
              </w:rPr>
            </w:pPr>
            <w:r>
              <w:rPr>
                <w:rFonts w:ascii="Times New Roman" w:cs="Times New Roman" w:eastAsia="Times New Roman" w:hAnsi="Times New Roman"/>
                <w:sz w:val="20"/>
                <w:szCs w:val="20"/>
                <w:b w:val="1"/>
                <w:bCs w:val="1"/>
                <w:color w:val="auto"/>
              </w:rPr>
              <w:t>APPENDIX A</w:t>
            </w:r>
          </w:p>
        </w:tc>
      </w:tr>
      <w:tr>
        <w:trPr>
          <w:trHeight w:val="262"/>
        </w:trPr>
        <w:tc>
          <w:tcPr>
            <w:tcW w:w="3320" w:type="dxa"/>
            <w:vAlign w:val="bottom"/>
          </w:tcPr>
          <w:p>
            <w:pPr>
              <w:spacing w:after="0"/>
              <w:rPr>
                <w:sz w:val="22"/>
                <w:szCs w:val="22"/>
                <w:color w:val="auto"/>
              </w:rPr>
            </w:pPr>
          </w:p>
        </w:tc>
        <w:tc>
          <w:tcPr>
            <w:tcW w:w="422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w w:val="98"/>
              </w:rPr>
              <w:t>Relative TSR Comparator Group List (n=79)</w:t>
            </w:r>
          </w:p>
        </w:tc>
      </w:tr>
      <w:tr>
        <w:trPr>
          <w:trHeight w:val="493"/>
        </w:trPr>
        <w:tc>
          <w:tcPr>
            <w:tcW w:w="332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1860" w:type="dxa"/>
            <w:vAlign w:val="bottom"/>
          </w:tcPr>
          <w:p>
            <w:pPr>
              <w:spacing w:after="0"/>
              <w:rPr>
                <w:sz w:val="24"/>
                <w:szCs w:val="24"/>
                <w:color w:val="auto"/>
              </w:rPr>
            </w:pPr>
          </w:p>
        </w:tc>
      </w:tr>
      <w:tr>
        <w:trPr>
          <w:trHeight w:val="264"/>
        </w:trPr>
        <w:tc>
          <w:tcPr>
            <w:tcW w:w="3320" w:type="dxa"/>
            <w:vAlign w:val="bottom"/>
            <w:tcBorders>
              <w:left w:val="single" w:sz="8" w:color="808080"/>
              <w:bottom w:val="single" w:sz="8" w:color="808080"/>
            </w:tcBorders>
            <w:shd w:val="clear" w:color="auto" w:fill="DAE9F8"/>
          </w:tcPr>
          <w:p>
            <w:pPr>
              <w:ind w:left="40"/>
              <w:spacing w:after="0"/>
              <w:rPr>
                <w:sz w:val="20"/>
                <w:szCs w:val="20"/>
                <w:color w:val="auto"/>
              </w:rPr>
            </w:pPr>
            <w:r>
              <w:rPr>
                <w:rFonts w:ascii="Arial" w:cs="Arial" w:eastAsia="Arial" w:hAnsi="Arial"/>
                <w:sz w:val="20"/>
                <w:szCs w:val="20"/>
                <w:b w:val="1"/>
                <w:bCs w:val="1"/>
                <w:color w:val="auto"/>
              </w:rPr>
              <w:t>Name</w:t>
            </w:r>
          </w:p>
        </w:tc>
        <w:tc>
          <w:tcPr>
            <w:tcW w:w="680" w:type="dxa"/>
            <w:vAlign w:val="bottom"/>
            <w:tcBorders>
              <w:bottom w:val="single" w:sz="8" w:color="808080"/>
              <w:right w:val="single" w:sz="8" w:color="808080"/>
            </w:tcBorders>
            <w:shd w:val="clear" w:color="auto" w:fill="DAE9F8"/>
          </w:tcPr>
          <w:p>
            <w:pPr>
              <w:spacing w:after="0"/>
              <w:rPr>
                <w:sz w:val="22"/>
                <w:szCs w:val="22"/>
                <w:color w:val="auto"/>
              </w:rPr>
            </w:pPr>
          </w:p>
        </w:tc>
        <w:tc>
          <w:tcPr>
            <w:tcW w:w="1680" w:type="dxa"/>
            <w:vAlign w:val="bottom"/>
            <w:tcBorders>
              <w:bottom w:val="single" w:sz="8" w:color="808080"/>
              <w:right w:val="single" w:sz="8" w:color="808080"/>
            </w:tcBorders>
            <w:shd w:val="clear" w:color="auto" w:fill="DAE9F8"/>
          </w:tcPr>
          <w:p>
            <w:pPr>
              <w:spacing w:after="0"/>
              <w:rPr>
                <w:sz w:val="20"/>
                <w:szCs w:val="20"/>
                <w:color w:val="auto"/>
              </w:rPr>
            </w:pPr>
            <w:r>
              <w:rPr>
                <w:rFonts w:ascii="Arial" w:cs="Arial" w:eastAsia="Arial" w:hAnsi="Arial"/>
                <w:sz w:val="20"/>
                <w:szCs w:val="20"/>
                <w:b w:val="1"/>
                <w:bCs w:val="1"/>
                <w:color w:val="auto"/>
              </w:rPr>
              <w:t>Ticker</w:t>
            </w:r>
          </w:p>
        </w:tc>
        <w:tc>
          <w:tcPr>
            <w:tcW w:w="1860" w:type="dxa"/>
            <w:vAlign w:val="bottom"/>
          </w:tcPr>
          <w:p>
            <w:pPr>
              <w:spacing w:after="0"/>
              <w:rPr>
                <w:sz w:val="22"/>
                <w:szCs w:val="22"/>
                <w:color w:val="auto"/>
              </w:rPr>
            </w:pPr>
          </w:p>
        </w:tc>
      </w:tr>
      <w:tr>
        <w:trPr>
          <w:trHeight w:val="262"/>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BancFirst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BANF</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OceanFirst Financial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OCFC</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ConnectOne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CNOB</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First Bancorp/Southern Pines N</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FBNC</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OFG Bancorp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OFG</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First Commonwealth Financial 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FCF</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First Foundation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FFWM</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Farmers &amp; Merchants Bank of Lo</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FMBL</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Columbia Financial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CLBK</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Stellar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STEL</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WTB Financial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WTBFA</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Eagle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EGBN</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National Bank Holdings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NBHC</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S&amp;T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STBA</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TriCo Bancshares</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TCBK</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Park National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PRK</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Capitol Federal Financial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CFFN</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Amerant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AMTB</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Origin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OBK</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Byline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BY</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Peoples Bancorp Inc/OH</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PEBO</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QCR Holdings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QCRH</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Stock Yards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SYBT</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Bancorp Inc/The</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TBBK</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Nicolet Bankshares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NIC</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1st Source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SRCE</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Flushing Financial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FFIC</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Tompkins Financial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TMP</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Southside Bancshares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SBSI</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Univest Financial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UVSP</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CNB Financial Corp/PA</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CCNE</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German American Bancorp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GABC</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Metropolitan Bank Holding Corp</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MCB</w:t>
            </w:r>
          </w:p>
        </w:tc>
        <w:tc>
          <w:tcPr>
            <w:tcW w:w="1860" w:type="dxa"/>
            <w:vAlign w:val="bottom"/>
          </w:tcPr>
          <w:p>
            <w:pPr>
              <w:spacing w:after="0"/>
              <w:rPr>
                <w:sz w:val="22"/>
                <w:szCs w:val="22"/>
                <w:color w:val="auto"/>
              </w:rPr>
            </w:pPr>
          </w:p>
        </w:tc>
      </w:tr>
      <w:tr>
        <w:trPr>
          <w:trHeight w:val="264"/>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Business First Bancshares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BFST</w:t>
            </w:r>
          </w:p>
        </w:tc>
        <w:tc>
          <w:tcPr>
            <w:tcW w:w="1860" w:type="dxa"/>
            <w:vAlign w:val="bottom"/>
          </w:tcPr>
          <w:p>
            <w:pPr>
              <w:spacing w:after="0"/>
              <w:rPr>
                <w:sz w:val="22"/>
                <w:szCs w:val="22"/>
                <w:color w:val="auto"/>
              </w:rPr>
            </w:pPr>
          </w:p>
        </w:tc>
      </w:tr>
      <w:tr>
        <w:trPr>
          <w:trHeight w:val="263"/>
        </w:trPr>
        <w:tc>
          <w:tcPr>
            <w:tcW w:w="3320" w:type="dxa"/>
            <w:vAlign w:val="bottom"/>
            <w:tcBorders>
              <w:left w:val="single" w:sz="8" w:color="808080"/>
              <w:bottom w:val="single" w:sz="8" w:color="808080"/>
            </w:tcBorders>
          </w:tcPr>
          <w:p>
            <w:pPr>
              <w:ind w:left="40"/>
              <w:spacing w:after="0"/>
              <w:rPr>
                <w:sz w:val="20"/>
                <w:szCs w:val="20"/>
                <w:color w:val="auto"/>
              </w:rPr>
            </w:pPr>
            <w:r>
              <w:rPr>
                <w:rFonts w:ascii="Arial" w:cs="Arial" w:eastAsia="Arial" w:hAnsi="Arial"/>
                <w:sz w:val="20"/>
                <w:szCs w:val="20"/>
                <w:color w:val="auto"/>
              </w:rPr>
              <w:t>First Mid Bancshares Inc</w:t>
            </w:r>
          </w:p>
        </w:tc>
        <w:tc>
          <w:tcPr>
            <w:tcW w:w="680" w:type="dxa"/>
            <w:vAlign w:val="bottom"/>
            <w:tcBorders>
              <w:bottom w:val="single" w:sz="8" w:color="808080"/>
              <w:right w:val="single" w:sz="8" w:color="808080"/>
            </w:tcBorders>
          </w:tcPr>
          <w:p>
            <w:pPr>
              <w:spacing w:after="0"/>
              <w:rPr>
                <w:sz w:val="22"/>
                <w:szCs w:val="22"/>
                <w:color w:val="auto"/>
              </w:rPr>
            </w:pP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FMBH</w:t>
            </w:r>
          </w:p>
        </w:tc>
        <w:tc>
          <w:tcPr>
            <w:tcW w:w="1860" w:type="dxa"/>
            <w:vAlign w:val="bottom"/>
          </w:tcPr>
          <w:p>
            <w:pPr>
              <w:spacing w:after="0"/>
              <w:rPr>
                <w:sz w:val="22"/>
                <w:szCs w:val="22"/>
                <w:color w:val="auto"/>
              </w:rPr>
            </w:pPr>
          </w:p>
        </w:tc>
      </w:tr>
    </w:tbl>
    <w:p>
      <w:pPr>
        <w:sectPr>
          <w:pgSz w:w="11900" w:h="16838" w:orient="portrait"/>
          <w:cols w:equalWidth="0" w:num="1">
            <w:col w:w="11240"/>
          </w:cols>
          <w:pgMar w:left="320" w:top="1426" w:right="339" w:bottom="1440" w:gutter="0" w:footer="0" w:header="0"/>
        </w:sectPr>
      </w:pPr>
    </w:p>
    <w:bookmarkStart w:id="172" w:name="page173"/>
    <w:bookmarkEnd w:id="17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4000" w:type="dxa"/>
            <w:vAlign w:val="bottom"/>
            <w:tcBorders>
              <w:top w:val="single" w:sz="8" w:color="808080"/>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Hanmi Financial Corp</w:t>
            </w:r>
          </w:p>
        </w:tc>
        <w:tc>
          <w:tcPr>
            <w:tcW w:w="1680" w:type="dxa"/>
            <w:vAlign w:val="bottom"/>
            <w:tcBorders>
              <w:top w:val="single" w:sz="8" w:color="808080"/>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HAFC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Kearny Financial Corp/MD</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KRNY</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Preferred Bank/Los Angeles CA</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PFBC</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Pathward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CASH</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Peapack-Gladstone Financial Co</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PGC</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Central Pacific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CPF</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Northpointe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NPB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Republic Bancorp Inc/KY</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RBCAA</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NB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NBBK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Lakeland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LKFN</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Camden National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CAC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Heritage Financial Corp/WA</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HFWA</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Old Second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OSBC</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Mercantile Bank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MBWM</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City Holding Co</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CHCO</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Community Trust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CTBI</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Washington Trust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WASH</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Midland States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MSBI</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TrustCo Bank Corp NY</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TRST</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Horizon Bancorp Inc/IN</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HBNC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Triumph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TFIN</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Equity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EQBK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Financial Institutions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FISI</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MidWestOne Financial Group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MOFG</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Shore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SHBI</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Mid Penn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MPB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Westamerica BanCorp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WABC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SmartFinancial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SMBK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Heritage Commerce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HTBK</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Financial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THFF</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Northfield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NFBK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Farmers &amp; Merchants Bancorp/Lo</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FMCB</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Great Southern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GSBC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Internet Bancorp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INBK</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Orrstown Financial Services In</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ORRF</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Independent Bank Corp/MI</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IBCP</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Bridgewater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BWB</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Third Coast Bancshares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TCBX</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Peoples Financial Services Cor</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PFIS</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Farmers National Banc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FMNB</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First National Bank Alaska</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FBAK</w:t>
            </w:r>
          </w:p>
        </w:tc>
      </w:tr>
      <w:tr>
        <w:trPr>
          <w:trHeight w:val="264"/>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Southern Missouri Bancorp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SMBC</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HBT Financial Inc</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HBT</w:t>
            </w:r>
          </w:p>
        </w:tc>
      </w:tr>
      <w:tr>
        <w:trPr>
          <w:trHeight w:val="263"/>
        </w:trPr>
        <w:tc>
          <w:tcPr>
            <w:tcW w:w="4000" w:type="dxa"/>
            <w:vAlign w:val="bottom"/>
            <w:tcBorders>
              <w:left w:val="single" w:sz="8" w:color="808080"/>
              <w:bottom w:val="single" w:sz="8" w:color="808080"/>
              <w:right w:val="single" w:sz="8" w:color="808080"/>
            </w:tcBorders>
          </w:tcPr>
          <w:p>
            <w:pPr>
              <w:ind w:left="40"/>
              <w:spacing w:after="0"/>
              <w:rPr>
                <w:sz w:val="20"/>
                <w:szCs w:val="20"/>
                <w:color w:val="auto"/>
              </w:rPr>
            </w:pPr>
            <w:r>
              <w:rPr>
                <w:rFonts w:ascii="Arial" w:cs="Arial" w:eastAsia="Arial" w:hAnsi="Arial"/>
                <w:sz w:val="20"/>
                <w:szCs w:val="20"/>
                <w:color w:val="auto"/>
              </w:rPr>
              <w:t>Canandaigua National Corp</w:t>
            </w:r>
          </w:p>
        </w:tc>
        <w:tc>
          <w:tcPr>
            <w:tcW w:w="1680" w:type="dxa"/>
            <w:vAlign w:val="bottom"/>
            <w:tcBorders>
              <w:bottom w:val="single" w:sz="8" w:color="808080"/>
              <w:right w:val="single" w:sz="8" w:color="808080"/>
            </w:tcBorders>
          </w:tcPr>
          <w:p>
            <w:pPr>
              <w:spacing w:after="0"/>
              <w:rPr>
                <w:sz w:val="20"/>
                <w:szCs w:val="20"/>
                <w:color w:val="auto"/>
              </w:rPr>
            </w:pPr>
            <w:r>
              <w:rPr>
                <w:rFonts w:ascii="Arial" w:cs="Arial" w:eastAsia="Arial" w:hAnsi="Arial"/>
                <w:sz w:val="20"/>
                <w:szCs w:val="20"/>
                <w:color w:val="auto"/>
              </w:rPr>
              <w:t>CNND</w:t>
            </w:r>
          </w:p>
        </w:tc>
      </w:tr>
    </w:tbl>
    <w:p>
      <w:pPr>
        <w:sectPr>
          <w:pgSz w:w="11900" w:h="16838" w:orient="portrait"/>
          <w:cols w:equalWidth="0" w:num="1">
            <w:col w:w="10139"/>
          </w:cols>
          <w:pgMar w:left="320" w:top="1440" w:right="1440"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18" w:lineRule="exact"/>
        <w:rPr>
          <w:sz w:val="20"/>
          <w:szCs w:val="20"/>
          <w:color w:val="auto"/>
        </w:rPr>
      </w:pPr>
    </w:p>
    <w:p>
      <w:pPr>
        <w:jc w:val="both"/>
        <w:ind w:firstLine="647"/>
        <w:spacing w:after="0" w:line="234" w:lineRule="auto"/>
        <w:rPr>
          <w:sz w:val="20"/>
          <w:szCs w:val="20"/>
          <w:color w:val="auto"/>
        </w:rPr>
      </w:pPr>
      <w:r>
        <w:rPr>
          <w:rFonts w:ascii="Times New Roman" w:cs="Times New Roman" w:eastAsia="Times New Roman" w:hAnsi="Times New Roman"/>
          <w:sz w:val="22"/>
          <w:szCs w:val="22"/>
          <w:color w:val="auto"/>
        </w:rPr>
        <w:t>This EMPLOYMENT AGREEMENT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April 1, 2024 is entered into by and between Amalgamated Financial Corp.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Tyrone Graham (the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together,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References to the Company in this Agreement also include Amalgamated Bank (the “</w:t>
      </w:r>
      <w:r>
        <w:rPr>
          <w:rFonts w:ascii="Times New Roman" w:cs="Times New Roman" w:eastAsia="Times New Roman" w:hAnsi="Times New Roman"/>
          <w:sz w:val="22"/>
          <w:szCs w:val="22"/>
          <w:u w:val="single" w:color="auto"/>
          <w:color w:val="auto"/>
        </w:rPr>
        <w:t>Bank</w:t>
      </w:r>
      <w:r>
        <w:rPr>
          <w:rFonts w:ascii="Times New Roman" w:cs="Times New Roman" w:eastAsia="Times New Roman" w:hAnsi="Times New Roman"/>
          <w:sz w:val="22"/>
          <w:szCs w:val="22"/>
          <w:color w:val="auto"/>
        </w:rPr>
        <w:t>”) and all other subsidiaries of the Company and of the Bank.</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5" w:lineRule="exact"/>
        <w:rPr>
          <w:sz w:val="20"/>
          <w:szCs w:val="20"/>
          <w:color w:val="auto"/>
        </w:rPr>
      </w:pPr>
    </w:p>
    <w:p>
      <w:pPr>
        <w:jc w:val="both"/>
        <w:ind w:firstLine="647"/>
        <w:spacing w:after="0" w:line="235" w:lineRule="auto"/>
        <w:rPr>
          <w:sz w:val="20"/>
          <w:szCs w:val="20"/>
          <w:color w:val="auto"/>
        </w:rPr>
      </w:pPr>
      <w:r>
        <w:rPr>
          <w:rFonts w:ascii="Times New Roman" w:cs="Times New Roman" w:eastAsia="Times New Roman" w:hAnsi="Times New Roman"/>
          <w:sz w:val="22"/>
          <w:szCs w:val="22"/>
          <w:color w:val="auto"/>
        </w:rPr>
        <w:t>WHEREAS, the Company desires to employ the Executive as Executive Vice President and Chief Human Resources Officer of Amalgamated Financial Corp. and of the Bank, and the Parties wish to establish the terms of such employment effective April 1, 2024, or such earlier date as to which the Parties may mutually agree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8" w:lineRule="exact"/>
        <w:rPr>
          <w:sz w:val="20"/>
          <w:szCs w:val="20"/>
          <w:color w:val="auto"/>
        </w:rPr>
      </w:pPr>
    </w:p>
    <w:p>
      <w:pPr>
        <w:jc w:val="both"/>
        <w:ind w:firstLine="647"/>
        <w:spacing w:after="0" w:line="230" w:lineRule="auto"/>
        <w:rPr>
          <w:sz w:val="20"/>
          <w:szCs w:val="20"/>
          <w:color w:val="auto"/>
        </w:rPr>
      </w:pPr>
      <w:r>
        <w:rPr>
          <w:rFonts w:ascii="Times New Roman" w:cs="Times New Roman" w:eastAsia="Times New Roman" w:hAnsi="Times New Roman"/>
          <w:sz w:val="22"/>
          <w:szCs w:val="22"/>
          <w:color w:val="auto"/>
        </w:rPr>
        <w:t>NOW, THEREFORE, in consideration of the mutual promises and conditions herein set forth, the Parties agree as follows:</w:t>
      </w:r>
    </w:p>
    <w:p>
      <w:pPr>
        <w:spacing w:after="0" w:line="1" w:lineRule="exact"/>
        <w:rPr>
          <w:sz w:val="20"/>
          <w:szCs w:val="20"/>
          <w:color w:val="auto"/>
        </w:rPr>
      </w:pPr>
    </w:p>
    <w:p>
      <w:pPr>
        <w:jc w:val="both"/>
        <w:ind w:left="660" w:hanging="328"/>
        <w:spacing w:after="0" w:line="230"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Employment and Acceptance</w:t>
      </w:r>
      <w:r>
        <w:rPr>
          <w:rFonts w:ascii="Times New Roman" w:cs="Times New Roman" w:eastAsia="Times New Roman" w:hAnsi="Times New Roman"/>
          <w:sz w:val="22"/>
          <w:szCs w:val="22"/>
          <w:color w:val="auto"/>
        </w:rPr>
        <w:t>. The Company shall agree to continue to employ the Executive, and the Executive accepts such continued employment, subject to the terms of this Agreement. By executing this Agreement, Executive acknowledges and agrees that he is an “at-will” employee, and accordingly that his employment may be terminated at any time, with or without cause, and with or without reason (subject to the termination provisions of Section 5 below).</w:t>
      </w:r>
    </w:p>
    <w:p>
      <w:pPr>
        <w:spacing w:after="0" w:line="2" w:lineRule="exact"/>
        <w:rPr>
          <w:rFonts w:ascii="Times New Roman" w:cs="Times New Roman" w:eastAsia="Times New Roman" w:hAnsi="Times New Roman"/>
          <w:sz w:val="20"/>
          <w:szCs w:val="20"/>
          <w:color w:val="auto"/>
        </w:rPr>
      </w:pPr>
    </w:p>
    <w:p>
      <w:pPr>
        <w:jc w:val="both"/>
        <w:ind w:left="660" w:hanging="328"/>
        <w:spacing w:after="0" w:line="229"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earlier termination pursuant to Section 5 of this Agreement, the term of this Agreement and the period of Executive’s employment hereunder shall begin as of the Effective Date and shall continue for thirty-six (36) full calendar months thereafter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which shall include any periods covered by renewals hereunder). Commencing on January 1, 2025, and continuing on January 1 of each year thereafter (the “Anniversary Date”), this Agreement shall renew for an additional twelve months such that the remaining term shall be thirty-six months (36) months, unless written notice of nonrenewal is provided to Executive at least ninety (90) days prior to any such Anniversary Date, and such end date, as it may prior thereto be extended by mutual written agreement of the Parties, being the </w:t>
      </w:r>
      <w:r>
        <w:rPr>
          <w:rFonts w:ascii="Times New Roman" w:cs="Times New Roman" w:eastAsia="Times New Roman" w:hAnsi="Times New Roman"/>
          <w:sz w:val="22"/>
          <w:szCs w:val="22"/>
          <w:u w:val="single" w:color="auto"/>
          <w:color w:val="auto"/>
        </w:rPr>
        <w:t>“Term Date”</w:t>
      </w:r>
      <w:r>
        <w:rPr>
          <w:rFonts w:ascii="Times New Roman" w:cs="Times New Roman" w:eastAsia="Times New Roman" w:hAnsi="Times New Roman"/>
          <w:sz w:val="22"/>
          <w:szCs w:val="22"/>
          <w:color w:val="auto"/>
        </w:rPr>
        <w:t>. As used in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refer to the period beginning on the Effective Date and ending on the Term Date, or, if earlier, on the date the Executive’s employment terminates in accordance with Section 5 below.</w:t>
      </w:r>
    </w:p>
    <w:p>
      <w:pPr>
        <w:spacing w:after="0" w:line="1" w:lineRule="exact"/>
        <w:rPr>
          <w:rFonts w:ascii="Times New Roman" w:cs="Times New Roman" w:eastAsia="Times New Roman" w:hAnsi="Times New Roman"/>
          <w:sz w:val="20"/>
          <w:szCs w:val="20"/>
          <w:color w:val="auto"/>
        </w:rPr>
      </w:pPr>
    </w:p>
    <w:p>
      <w:pPr>
        <w:ind w:left="660" w:hanging="328"/>
        <w:spacing w:after="0" w:line="230" w:lineRule="auto"/>
        <w:tabs>
          <w:tab w:leader="none" w:pos="66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Title and Duties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300" w:hanging="323"/>
        <w:spacing w:after="0" w:line="242"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1"/>
          <w:szCs w:val="21"/>
          <w:u w:val="single" w:color="auto"/>
          <w:color w:val="auto"/>
        </w:rPr>
        <w:t>Title</w:t>
      </w:r>
      <w:r>
        <w:rPr>
          <w:rFonts w:ascii="Times New Roman" w:cs="Times New Roman" w:eastAsia="Times New Roman" w:hAnsi="Times New Roman"/>
          <w:sz w:val="21"/>
          <w:szCs w:val="21"/>
          <w:color w:val="auto"/>
        </w:rPr>
        <w:t>. The Executive shall serve in the capacity of Executive Vice President and Chief Human Resources Officer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Amalgamated Financial Corp. and of the Bank and shall report directly to the President and Chief Executive Officer of Amalgamated Financial Corp. and of the Bank (the “CEO”). The Executive shall be classified as an employee exempt from overtime pay pursuant to the executive exemption under federal and state overtime laws.</w:t>
      </w:r>
    </w:p>
    <w:p>
      <w:pPr>
        <w:spacing w:after="0" w:line="204" w:lineRule="exact"/>
        <w:rPr>
          <w:sz w:val="20"/>
          <w:szCs w:val="20"/>
          <w:color w:val="auto"/>
        </w:rPr>
      </w:pPr>
    </w:p>
    <w:p>
      <w:pPr>
        <w:jc w:val="both"/>
        <w:ind w:left="1300" w:hanging="323"/>
        <w:spacing w:after="0" w:line="255"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1"/>
          <w:szCs w:val="21"/>
          <w:u w:val="single" w:color="auto"/>
          <w:color w:val="auto"/>
        </w:rPr>
        <w:t>Duties</w:t>
      </w:r>
      <w:r>
        <w:rPr>
          <w:rFonts w:ascii="Times New Roman" w:cs="Times New Roman" w:eastAsia="Times New Roman" w:hAnsi="Times New Roman"/>
          <w:sz w:val="21"/>
          <w:szCs w:val="21"/>
          <w:color w:val="auto"/>
        </w:rPr>
        <w:t>. The Executive shall have such authority and responsibilities and shall perform such executive duties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customarily performed by the Chief Human Resources Officer of a commercial bank and shall have such other powers and duties as may from time to time be prescribed by the CEO,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duties are consistent with the Executive’s position or other positions that he may</w:t>
      </w:r>
    </w:p>
    <w:p>
      <w:pPr>
        <w:sectPr>
          <w:pgSz w:w="11900" w:h="16838" w:orient="portrait"/>
          <w:cols w:equalWidth="0" w:num="1">
            <w:col w:w="11240"/>
          </w:cols>
          <w:pgMar w:left="320" w:top="1404" w:right="339" w:bottom="1440" w:gutter="0" w:footer="0" w:header="0"/>
        </w:sectPr>
      </w:pPr>
    </w:p>
    <w:bookmarkStart w:id="174" w:name="page175"/>
    <w:bookmarkEnd w:id="174"/>
    <w:p>
      <w:pPr>
        <w:jc w:val="both"/>
        <w:ind w:left="1300"/>
        <w:spacing w:after="0" w:line="231" w:lineRule="auto"/>
        <w:rPr>
          <w:sz w:val="20"/>
          <w:szCs w:val="20"/>
          <w:color w:val="auto"/>
        </w:rPr>
      </w:pPr>
      <w:r>
        <w:rPr>
          <w:rFonts w:ascii="Times New Roman" w:cs="Times New Roman" w:eastAsia="Times New Roman" w:hAnsi="Times New Roman"/>
          <w:sz w:val="22"/>
          <w:szCs w:val="22"/>
          <w:color w:val="auto"/>
        </w:rPr>
        <w:t xml:space="preserve">hold from time to time. Without limiting the generality of the foregoing, Executive shall have such duties and responsibilities as usually appertain to the CHRO position, as well as those as shall be assigned by the Chief Executive Officer or by the Board of Directors, in accordance with Executive’s accountability statement. The Executive agrees that during the Term he shall devote his entire working time to the performance of his duties under this Agreement and shall not work for anyone else;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the Company acknowledges that the Executive may serve on such corporate, civic or charitable boards or committees as have been or in the future are disclosed to, and not objected to by, the CEO, such approval not to be unreasonably withheld, and manage the Executive’s personal investments, so long as any such activities do not, individually or in the aggregate, materially interfere with the performance of the Executive’s duties hereunder.</w:t>
      </w:r>
    </w:p>
    <w:p>
      <w:pPr>
        <w:spacing w:after="0" w:line="6" w:lineRule="exact"/>
        <w:rPr>
          <w:sz w:val="20"/>
          <w:szCs w:val="20"/>
          <w:color w:val="auto"/>
        </w:rPr>
      </w:pPr>
    </w:p>
    <w:p>
      <w:pPr>
        <w:ind w:left="1300" w:hanging="323"/>
        <w:spacing w:after="0" w:line="241"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1"/>
          <w:szCs w:val="21"/>
          <w:u w:val="single" w:color="auto"/>
          <w:color w:val="auto"/>
        </w:rPr>
        <w:t>Location</w:t>
      </w:r>
      <w:r>
        <w:rPr>
          <w:rFonts w:ascii="Times New Roman" w:cs="Times New Roman" w:eastAsia="Times New Roman" w:hAnsi="Times New Roman"/>
          <w:sz w:val="21"/>
          <w:szCs w:val="21"/>
          <w:color w:val="auto"/>
        </w:rPr>
        <w:t>. The Executive’s principal place of work shall be at the Company’s principal office located in New York,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New York, subject to reasonable travel requirements on behalf of the Company.</w:t>
      </w:r>
    </w:p>
    <w:p>
      <w:pPr>
        <w:ind w:left="660" w:hanging="328"/>
        <w:spacing w:after="0" w:line="231" w:lineRule="auto"/>
        <w:tabs>
          <w:tab w:leader="none" w:pos="66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300" w:hanging="323"/>
        <w:spacing w:after="0" w:line="239"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Term, the Company shall pay the Executive a base salary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initially at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annual rate equal to U.S. $346,000, to be paid in accordance with the Company’s payroll practice for all employees, which payroll practices the Company reserves the right to modify at any time. During the Term, the Company may, at the discretion of the Board, at any time and from time to time prospectively (i) increase the Executive’s Base Salary, or (ii) decrease the Executive’s Base Salary as part of an across-the-board percentage reduction,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reduction shall be pari passu with the CEO.</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1"/>
          <w:szCs w:val="21"/>
          <w:u w:val="single" w:color="auto"/>
          <w:color w:val="auto"/>
        </w:rPr>
        <w:t>Bonuses and Incentive Compensation</w:t>
      </w:r>
      <w:r>
        <w:rPr>
          <w:rFonts w:ascii="Times New Roman" w:cs="Times New Roman" w:eastAsia="Times New Roman" w:hAnsi="Times New Roman"/>
          <w:sz w:val="21"/>
          <w:szCs w:val="21"/>
          <w:color w:val="auto"/>
        </w:rPr>
        <w:t>. During the Term, subject to Section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7.15 of this Agreement, the Executive shall be eligible for incentive compensation to be paid to him by the Company as follows:</w:t>
      </w:r>
    </w:p>
    <w:p>
      <w:pPr>
        <w:spacing w:after="0" w:line="2" w:lineRule="exact"/>
        <w:rPr>
          <w:sz w:val="20"/>
          <w:szCs w:val="20"/>
          <w:color w:val="auto"/>
        </w:rPr>
      </w:pPr>
    </w:p>
    <w:p>
      <w:pPr>
        <w:jc w:val="both"/>
        <w:ind w:left="660" w:hanging="328"/>
        <w:spacing w:after="0" w:line="241" w:lineRule="auto"/>
        <w:tabs>
          <w:tab w:leader="none" w:pos="650" w:val="left"/>
        </w:tabs>
        <w:numPr>
          <w:ilvl w:val="0"/>
          <w:numId w:val="8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The Executive shall be eligible to receive an annual bonus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for each fiscal year of the Company during the Term, targeted at forty percent (40%) of Base Salary (as determined on July 1 of each fiscal year in accordance with Section 4.1) (the “</w:t>
      </w:r>
      <w:r>
        <w:rPr>
          <w:rFonts w:ascii="Times New Roman" w:cs="Times New Roman" w:eastAsia="Times New Roman" w:hAnsi="Times New Roman"/>
          <w:sz w:val="21"/>
          <w:szCs w:val="21"/>
          <w:u w:val="single" w:color="auto"/>
          <w:color w:val="auto"/>
        </w:rPr>
        <w:t>Annual Bonus Target</w:t>
      </w:r>
      <w:r>
        <w:rPr>
          <w:rFonts w:ascii="Times New Roman" w:cs="Times New Roman" w:eastAsia="Times New Roman" w:hAnsi="Times New Roman"/>
          <w:sz w:val="21"/>
          <w:szCs w:val="21"/>
          <w:color w:val="auto"/>
        </w:rPr>
        <w:t>”), based on the achievement of multiple specific annual quantitative and qualitative performance metrics established by the CEO, in consultation with the Executive, for such fiscal year, and subject to the terms and conditions of the Company’s annual incentive plan, as it may be amended from time to time.</w:t>
      </w:r>
    </w:p>
    <w:p>
      <w:pPr>
        <w:spacing w:after="0" w:line="2" w:lineRule="exact"/>
        <w:rPr>
          <w:rFonts w:ascii="Times New Roman" w:cs="Times New Roman" w:eastAsia="Times New Roman" w:hAnsi="Times New Roman"/>
          <w:sz w:val="19"/>
          <w:szCs w:val="19"/>
          <w:color w:val="auto"/>
        </w:rPr>
      </w:pPr>
    </w:p>
    <w:p>
      <w:pPr>
        <w:jc w:val="both"/>
        <w:ind w:left="660" w:hanging="328"/>
        <w:spacing w:after="0" w:line="230" w:lineRule="auto"/>
        <w:tabs>
          <w:tab w:leader="none" w:pos="648"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Executive also shall be entitled to incentive compensation pursuant to the Company’s equity incentive plans (each an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adopted by the Board of Directors of Amalgamated Financial Corp. (the “Board”) for each fiscal year of the Term. The aggregate potential value of any annual Equity Plan awards granted to the Executive shall be an amount equal to forty percent (40%) of Base Salary in effect at the commencement of the</w:t>
      </w:r>
    </w:p>
    <w:p>
      <w:pPr>
        <w:spacing w:after="0" w:line="20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applicable fiscal year (the “</w:t>
      </w:r>
      <w:r>
        <w:rPr>
          <w:rFonts w:ascii="Times New Roman" w:cs="Times New Roman" w:eastAsia="Times New Roman" w:hAnsi="Times New Roman"/>
          <w:sz w:val="22"/>
          <w:szCs w:val="22"/>
          <w:u w:val="single" w:color="auto"/>
          <w:color w:val="auto"/>
        </w:rPr>
        <w:t>Target Grant</w:t>
      </w:r>
      <w:r>
        <w:rPr>
          <w:rFonts w:ascii="Times New Roman" w:cs="Times New Roman" w:eastAsia="Times New Roman" w:hAnsi="Times New Roman"/>
          <w:sz w:val="22"/>
          <w:szCs w:val="22"/>
          <w:color w:val="auto"/>
        </w:rPr>
        <w:t xml:space="preserve">”). However, at the discretion of the Compensation Committee, the Target Grant for any fiscal year may be increased. Notwithstanding anything to the contrary set forth herein, the Executive’s participation in any such Equity Plan shall be governed by the terms of such plan, specifically including its vesting and exercise provisions,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terms of the Executive’s awards shall be not less favorable to his than those granted at such time to the Company’s other executive officers.</w:t>
      </w:r>
    </w:p>
    <w:p>
      <w:pPr>
        <w:sectPr>
          <w:pgSz w:w="11900" w:h="16838" w:orient="portrait"/>
          <w:cols w:equalWidth="0" w:num="1">
            <w:col w:w="11240"/>
          </w:cols>
          <w:pgMar w:left="320" w:top="1408" w:right="339" w:bottom="1440" w:gutter="0" w:footer="0" w:header="0"/>
        </w:sectPr>
      </w:pPr>
    </w:p>
    <w:bookmarkStart w:id="175" w:name="page176"/>
    <w:bookmarkEnd w:id="175"/>
    <w:p>
      <w:pPr>
        <w:spacing w:after="0" w:line="184" w:lineRule="auto"/>
        <w:framePr w:w="540" w:h="176" w:wrap="auto" w:vAnchor="page" w:hAnchor="page" w:x="1900" w:y="967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5.1.3.</w:t>
      </w:r>
    </w:p>
    <w:p>
      <w:pPr>
        <w:jc w:val="both"/>
        <w:ind w:left="328" w:hanging="328"/>
        <w:spacing w:after="0" w:line="236" w:lineRule="auto"/>
        <w:tabs>
          <w:tab w:leader="none" w:pos="31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On the Effective Date, the Executive shall be eligible to, and subject to the terms and conditions herein, shall receive a Long Term Incentive Award (50% RSU and 50% PSU shares) in the form attached hereto as Exhibit A, with respect to shares of the Company’s common stock that have a value on the Effective Date equal to U.S. $150,000 (based upon the closing price on the immediately preceding day).</w:t>
      </w:r>
    </w:p>
    <w:p>
      <w:pPr>
        <w:ind w:left="968" w:hanging="32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1"/>
          <w:szCs w:val="21"/>
          <w:u w:val="single" w:color="auto"/>
          <w:color w:val="auto"/>
        </w:rPr>
        <w:t>Participation in Employee Benefit Plans</w:t>
      </w:r>
      <w:r>
        <w:rPr>
          <w:rFonts w:ascii="Times New Roman" w:cs="Times New Roman" w:eastAsia="Times New Roman" w:hAnsi="Times New Roman"/>
          <w:sz w:val="21"/>
          <w:szCs w:val="21"/>
          <w:color w:val="auto"/>
        </w:rPr>
        <w:t>. During the Term, the Executive shall be entitled to participate in all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applicable employee benefit plans and perquisite programs of the Company generally made available to other senior executives of Amalgamated Financial Corp., on the same terms as such other senior executives. The Company may at any time or from time to time amend, modify, suspend or terminate any employee benefit plan, program or arrangement for any reason without the Executive’s consent if such amendment, modification, suspension or termination is consistent with the amendment, modification, suspension or termination for other active senior executives of the Company.</w:t>
      </w:r>
    </w:p>
    <w:p>
      <w:pPr>
        <w:spacing w:after="0" w:line="4" w:lineRule="exact"/>
        <w:rPr>
          <w:rFonts w:ascii="Times New Roman" w:cs="Times New Roman" w:eastAsia="Times New Roman" w:hAnsi="Times New Roman"/>
          <w:sz w:val="20"/>
          <w:szCs w:val="20"/>
          <w:color w:val="auto"/>
        </w:rPr>
      </w:pPr>
    </w:p>
    <w:p>
      <w:pPr>
        <w:jc w:val="right"/>
        <w:ind w:left="968" w:hanging="324"/>
        <w:spacing w:after="0" w:line="24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During the Term, the Executive shall be entitled to receive reimbursement for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appropriate business expenses incurred by him in connection with his duties under this Agreement, in accordance</w:t>
      </w:r>
    </w:p>
    <w:p>
      <w:pPr>
        <w:spacing w:after="0" w:line="1" w:lineRule="exact"/>
        <w:rPr>
          <w:rFonts w:ascii="Times New Roman" w:cs="Times New Roman" w:eastAsia="Times New Roman" w:hAnsi="Times New Roman"/>
          <w:sz w:val="20"/>
          <w:szCs w:val="20"/>
          <w:color w:val="auto"/>
        </w:rPr>
      </w:pPr>
    </w:p>
    <w:p>
      <w:pPr>
        <w:ind w:left="968"/>
        <w:spacing w:after="0" w:line="230" w:lineRule="auto"/>
        <w:rPr>
          <w:sz w:val="20"/>
          <w:szCs w:val="20"/>
          <w:color w:val="auto"/>
        </w:rPr>
      </w:pPr>
      <w:r>
        <w:rPr>
          <w:rFonts w:ascii="Times New Roman" w:cs="Times New Roman" w:eastAsia="Times New Roman" w:hAnsi="Times New Roman"/>
          <w:sz w:val="22"/>
          <w:szCs w:val="22"/>
          <w:color w:val="auto"/>
        </w:rPr>
        <w:t>with the policies of the Company as in effect from time to time, and subject to the Company’s requirements with respect to reporting and documentation of such expenses.</w:t>
      </w:r>
    </w:p>
    <w:p>
      <w:pPr>
        <w:ind w:left="328" w:hanging="328"/>
        <w:spacing w:after="0" w:line="231" w:lineRule="auto"/>
        <w:tabs>
          <w:tab w:leader="none" w:pos="32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0"/>
          <w:szCs w:val="20"/>
          <w:color w:val="auto"/>
        </w:rPr>
      </w:pPr>
    </w:p>
    <w:p>
      <w:pPr>
        <w:jc w:val="both"/>
        <w:ind w:left="968" w:hanging="323"/>
        <w:spacing w:after="0" w:line="239"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1"/>
          <w:szCs w:val="21"/>
          <w:u w:val="single" w:color="auto"/>
          <w:color w:val="auto"/>
        </w:rPr>
        <w:t>Termination upon the Term Date by Executive’s Non-Renewal, By the Company for Cause, by the Executive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without Good Reason, or Due to Executive’s Death or Disability</w:t>
      </w:r>
      <w:r>
        <w:rPr>
          <w:rFonts w:ascii="Times New Roman" w:cs="Times New Roman" w:eastAsia="Times New Roman" w:hAnsi="Times New Roman"/>
          <w:sz w:val="21"/>
          <w:szCs w:val="21"/>
          <w:color w:val="auto"/>
        </w:rPr>
        <w:t>. If the Executive’s employment terminates upon the Term Date, as applicable, due to the Executive’s election of non-renewal or if during the Term: (i) the Company terminates the Executive’s employment with the Company for Cause upon written notice; (ii) the Executive terminates employment without Good Reason; (iii) the Company terminates the Executive’s employment with the Company by reason of the Executive’s Disability upon written notice, or (iv) the Executive’s employment terminates upon the Executive’s death, the Executive (or following the Executive’s death, his estate) shall be entitled to receive the following:</w:t>
      </w:r>
    </w:p>
    <w:p>
      <w:pPr>
        <w:spacing w:after="0" w:line="7" w:lineRule="exact"/>
        <w:rPr>
          <w:rFonts w:ascii="Times New Roman" w:cs="Times New Roman" w:eastAsia="Times New Roman" w:hAnsi="Times New Roman"/>
          <w:sz w:val="20"/>
          <w:szCs w:val="20"/>
          <w:color w:val="auto"/>
        </w:rPr>
      </w:pPr>
    </w:p>
    <w:p>
      <w:pPr>
        <w:jc w:val="both"/>
        <w:ind w:left="1628" w:hanging="323"/>
        <w:spacing w:after="0" w:line="230" w:lineRule="auto"/>
        <w:rPr>
          <w:sz w:val="20"/>
          <w:szCs w:val="20"/>
          <w:color w:val="auto"/>
        </w:rPr>
      </w:pPr>
      <w:r>
        <w:rPr>
          <w:rFonts w:ascii="Times New Roman" w:cs="Times New Roman" w:eastAsia="Times New Roman" w:hAnsi="Times New Roman"/>
          <w:sz w:val="20"/>
          <w:szCs w:val="20"/>
          <w:color w:val="auto"/>
        </w:rPr>
        <w:t>5.1.1.</w:t>
      </w:r>
      <w:r>
        <w:rPr>
          <w:sz w:val="20"/>
          <w:szCs w:val="20"/>
          <w:color w:val="auto"/>
        </w:rPr>
        <w:t xml:space="preserve"> </w:t>
      </w:r>
      <w:r>
        <w:rPr>
          <w:rFonts w:ascii="Times New Roman" w:cs="Times New Roman" w:eastAsia="Times New Roman" w:hAnsi="Times New Roman"/>
          <w:sz w:val="22"/>
          <w:szCs w:val="22"/>
          <w:color w:val="auto"/>
        </w:rPr>
        <w:t>the Executive’s accrued but unpaid Base Salary through the date of termination and any employee benefits, including accrued but unused vacation pay, that the Executive is entitled to receive pursuant to the employee benefit plans of the Company (other than any severance plans) in accordance with the terms of such employee benefit plans; and</w:t>
      </w:r>
    </w:p>
    <w:p>
      <w:pPr>
        <w:spacing w:after="0" w:line="208" w:lineRule="exact"/>
        <w:rPr>
          <w:rFonts w:ascii="Times New Roman" w:cs="Times New Roman" w:eastAsia="Times New Roman" w:hAnsi="Times New Roman"/>
          <w:sz w:val="20"/>
          <w:szCs w:val="20"/>
          <w:color w:val="auto"/>
        </w:rPr>
      </w:pPr>
    </w:p>
    <w:p>
      <w:pPr>
        <w:jc w:val="both"/>
        <w:ind w:left="1628" w:hanging="323"/>
        <w:spacing w:after="0" w:line="241" w:lineRule="auto"/>
        <w:rPr>
          <w:sz w:val="20"/>
          <w:szCs w:val="20"/>
          <w:color w:val="auto"/>
        </w:rPr>
      </w:pPr>
      <w:r>
        <w:rPr>
          <w:rFonts w:ascii="Times New Roman" w:cs="Times New Roman" w:eastAsia="Times New Roman" w:hAnsi="Times New Roman"/>
          <w:sz w:val="20"/>
          <w:szCs w:val="20"/>
          <w:color w:val="auto"/>
        </w:rPr>
        <w:t>5.1.1.</w:t>
      </w:r>
      <w:r>
        <w:rPr>
          <w:sz w:val="20"/>
          <w:szCs w:val="20"/>
          <w:color w:val="auto"/>
        </w:rPr>
        <w:t xml:space="preserve"> </w:t>
      </w:r>
      <w:r>
        <w:rPr>
          <w:rFonts w:ascii="Times New Roman" w:cs="Times New Roman" w:eastAsia="Times New Roman" w:hAnsi="Times New Roman"/>
          <w:sz w:val="22"/>
          <w:szCs w:val="22"/>
          <w:color w:val="auto"/>
        </w:rPr>
        <w:t>expenses reimbursable under Section 4.4 above incurred but not yet reimbursed to the Executive to the date of termination (the items under Sections 5.1(a) and 5.1(b) collectively,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w:t>
      </w:r>
    </w:p>
    <w:p>
      <w:pPr>
        <w:spacing w:after="0" w:line="2" w:lineRule="exact"/>
        <w:rPr>
          <w:rFonts w:ascii="Times New Roman" w:cs="Times New Roman" w:eastAsia="Times New Roman" w:hAnsi="Times New Roman"/>
          <w:sz w:val="20"/>
          <w:szCs w:val="20"/>
          <w:color w:val="auto"/>
        </w:rPr>
      </w:pPr>
    </w:p>
    <w:p>
      <w:pPr>
        <w:jc w:val="both"/>
        <w:ind w:left="1628" w:hanging="323"/>
        <w:spacing w:after="0" w:line="229" w:lineRule="auto"/>
        <w:rPr>
          <w:sz w:val="20"/>
          <w:szCs w:val="20"/>
          <w:color w:val="auto"/>
        </w:rPr>
      </w:pPr>
      <w:r>
        <w:rPr>
          <w:rFonts w:ascii="Times New Roman" w:cs="Times New Roman" w:eastAsia="Times New Roman" w:hAnsi="Times New Roman"/>
          <w:sz w:val="20"/>
          <w:szCs w:val="20"/>
          <w:color w:val="auto"/>
        </w:rPr>
        <w:t>5.1.2.</w:t>
      </w:r>
      <w:r>
        <w:rPr>
          <w:sz w:val="20"/>
          <w:szCs w:val="20"/>
          <w:color w:val="auto"/>
        </w:rPr>
        <w:t xml:space="preserve"> </w:t>
      </w:r>
      <w:r>
        <w:rPr>
          <w:rFonts w:ascii="Times New Roman" w:cs="Times New Roman" w:eastAsia="Times New Roman" w:hAnsi="Times New Roman"/>
          <w:sz w:val="22"/>
          <w:szCs w:val="22"/>
          <w:color w:val="auto"/>
        </w:rPr>
        <w:t>The Executive may only terminate his employment without Good Reason by providing ninety (90) days’ advance written notice (which notice period the Company may shorten in its sole discretion and which shall not be deemed a termination without Cause).</w:t>
      </w:r>
    </w:p>
    <w:p>
      <w:pPr>
        <w:ind w:left="2268"/>
        <w:spacing w:after="0" w:line="235" w:lineRule="auto"/>
        <w:rPr>
          <w:sz w:val="20"/>
          <w:szCs w:val="20"/>
          <w:color w:val="auto"/>
        </w:rPr>
      </w:pPr>
      <w:r>
        <w:rPr>
          <w:rFonts w:ascii="Times New Roman" w:cs="Times New Roman" w:eastAsia="Times New Roman" w:hAnsi="Times New Roman"/>
          <w:sz w:val="22"/>
          <w:szCs w:val="22"/>
          <w:color w:val="auto"/>
        </w:rPr>
        <w:t>As used in this Agreement, the following terms shall have the meanings set forth below:</w:t>
      </w:r>
    </w:p>
    <w:p>
      <w:pPr>
        <w:ind w:left="2268" w:hanging="323"/>
        <w:spacing w:after="0" w:line="237" w:lineRule="auto"/>
        <w:rPr>
          <w:sz w:val="20"/>
          <w:szCs w:val="20"/>
          <w:color w:val="auto"/>
        </w:rPr>
      </w:pPr>
      <w:r>
        <w:rPr>
          <w:rFonts w:ascii="Times New Roman" w:cs="Times New Roman" w:eastAsia="Times New Roman" w:hAnsi="Times New Roman"/>
          <w:sz w:val="20"/>
          <w:szCs w:val="20"/>
          <w:color w:val="auto"/>
        </w:rPr>
        <w:t>5.1.3.1.</w:t>
      </w:r>
      <w:r>
        <w:rPr>
          <w:sz w:val="20"/>
          <w:szCs w:val="20"/>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(A) the Executive’s conviction of a felony or any crime involving dishonesty or theft; (B) the Executive’s</w:t>
      </w:r>
    </w:p>
    <w:p>
      <w:pPr>
        <w:sectPr>
          <w:pgSz w:w="11900" w:h="16838" w:orient="portrait"/>
          <w:cols w:equalWidth="0" w:num="1">
            <w:col w:w="10908"/>
          </w:cols>
          <w:pgMar w:left="652" w:top="1408" w:right="339" w:bottom="1440" w:gutter="0" w:footer="0" w:header="0"/>
        </w:sectPr>
      </w:pPr>
    </w:p>
    <w:bookmarkStart w:id="176" w:name="page177"/>
    <w:bookmarkEnd w:id="176"/>
    <w:p>
      <w:pPr>
        <w:jc w:val="both"/>
        <w:ind w:left="2600"/>
        <w:spacing w:after="0" w:line="232" w:lineRule="auto"/>
        <w:rPr>
          <w:sz w:val="20"/>
          <w:szCs w:val="20"/>
          <w:color w:val="auto"/>
        </w:rPr>
      </w:pPr>
      <w:r>
        <w:rPr>
          <w:rFonts w:ascii="Times New Roman" w:cs="Times New Roman" w:eastAsia="Times New Roman" w:hAnsi="Times New Roman"/>
          <w:sz w:val="22"/>
          <w:szCs w:val="22"/>
          <w:color w:val="auto"/>
        </w:rPr>
        <w:t>conduct in connection with his employment duties or responsibilities that is fraudulent, unlawful or grossly negligent; (C) the Executive’s misconduct; (D) the Executive’s contravention of specific lawful directions of the Board related to a material duty or responsibility; (E) the Executive’s material breach of the Executive’s obligations under this Agreement; (F) any acts of dishonesty by the Executive resulting or intending to result in personal gain or enrichment at the expense of the Company; or</w:t>
      </w:r>
    </w:p>
    <w:p>
      <w:pPr>
        <w:spacing w:after="0" w:line="1" w:lineRule="exact"/>
        <w:rPr>
          <w:sz w:val="20"/>
          <w:szCs w:val="20"/>
          <w:color w:val="auto"/>
        </w:rPr>
      </w:pPr>
    </w:p>
    <w:p>
      <w:pPr>
        <w:jc w:val="both"/>
        <w:ind w:firstLine="8"/>
        <w:spacing w:after="0" w:line="230" w:lineRule="auto"/>
        <w:tabs>
          <w:tab w:leader="none" w:pos="40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Executive’s failure to comply with a material policy of the Company, including, but not limited to, any policies prohibiting harassment or discrimination and any Code of Business Conduct and Ethics,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shall have ninety</w:t>
      </w:r>
    </w:p>
    <w:p>
      <w:pPr>
        <w:spacing w:after="0" w:line="1" w:lineRule="exact"/>
        <w:rPr>
          <w:rFonts w:ascii="Times New Roman" w:cs="Times New Roman" w:eastAsia="Times New Roman" w:hAnsi="Times New Roman"/>
          <w:sz w:val="22"/>
          <w:szCs w:val="22"/>
          <w:color w:val="auto"/>
        </w:rPr>
      </w:pPr>
    </w:p>
    <w:p>
      <w:pPr>
        <w:jc w:val="both"/>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(90) days from the occurrence of the event that constitutes Cause to provide notice to the Executive that the Company intends to terminate the Executive’s employment for Cause. In the event the Company determines facts exist to justify a Cause termination, the Executive shall be given at least fifteen (15) days’ notice of such determination and a written explanation of the facts used by the Board to justify Cause. The Executive shall then be given ten (10) days to cure same, if there is a reasonably feasible way to cure, to the reasonable determination of the Board prior to any termination.</w:t>
      </w:r>
    </w:p>
    <w:p>
      <w:pPr>
        <w:spacing w:after="0" w:line="3" w:lineRule="exact"/>
        <w:rPr>
          <w:sz w:val="20"/>
          <w:szCs w:val="20"/>
          <w:color w:val="auto"/>
        </w:rPr>
      </w:pPr>
    </w:p>
    <w:p>
      <w:pPr>
        <w:jc w:val="center"/>
        <w:ind w:right="60"/>
        <w:spacing w:after="0"/>
        <w:tabs>
          <w:tab w:leader="none" w:pos="360" w:val="left"/>
        </w:tabs>
        <w:rPr>
          <w:sz w:val="20"/>
          <w:szCs w:val="20"/>
          <w:color w:val="auto"/>
        </w:rPr>
      </w:pPr>
      <w:r>
        <w:rPr>
          <w:rFonts w:ascii="Times New Roman" w:cs="Times New Roman" w:eastAsia="Times New Roman" w:hAnsi="Times New Roman"/>
          <w:sz w:val="20"/>
          <w:szCs w:val="20"/>
          <w:color w:val="auto"/>
        </w:rPr>
        <w:t>5.1.3.1.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one or more of</w:t>
      </w:r>
    </w:p>
    <w:p>
      <w:pPr>
        <w:spacing w:after="0" w:line="231" w:lineRule="auto"/>
        <w:rPr>
          <w:sz w:val="20"/>
          <w:szCs w:val="20"/>
          <w:color w:val="auto"/>
        </w:rPr>
      </w:pPr>
      <w:r>
        <w:rPr>
          <w:rFonts w:ascii="Times New Roman" w:cs="Times New Roman" w:eastAsia="Times New Roman" w:hAnsi="Times New Roman"/>
          <w:sz w:val="22"/>
          <w:szCs w:val="22"/>
          <w:color w:val="auto"/>
        </w:rPr>
        <w:t>the following events:</w:t>
      </w:r>
    </w:p>
    <w:p>
      <w:pPr>
        <w:jc w:val="center"/>
        <w:ind w:right="240"/>
        <w:spacing w:after="0" w:line="229" w:lineRule="auto"/>
        <w:tabs>
          <w:tab w:leader="none" w:pos="220" w:val="left"/>
        </w:tabs>
        <w:rPr>
          <w:sz w:val="20"/>
          <w:szCs w:val="20"/>
          <w:color w:val="auto"/>
        </w:rPr>
      </w:pPr>
      <w:r>
        <w:rPr>
          <w:rFonts w:ascii="Times New Roman" w:cs="Times New Roman" w:eastAsia="Times New Roman" w:hAnsi="Times New Roman"/>
          <w:sz w:val="20"/>
          <w:szCs w:val="20"/>
          <w:color w:val="auto"/>
        </w:rPr>
        <w:t>5.1.3.1.1.</w:t>
      </w:r>
      <w:r>
        <w:rPr>
          <w:sz w:val="20"/>
          <w:szCs w:val="20"/>
          <w:color w:val="auto"/>
        </w:rPr>
        <w:tab/>
      </w:r>
      <w:r>
        <w:rPr>
          <w:rFonts w:ascii="Times New Roman" w:cs="Times New Roman" w:eastAsia="Times New Roman" w:hAnsi="Times New Roman"/>
          <w:sz w:val="21"/>
          <w:szCs w:val="21"/>
          <w:color w:val="auto"/>
        </w:rPr>
        <w:t>the consummation of a transaction, or a series of</w:t>
      </w:r>
    </w:p>
    <w:p>
      <w:pPr>
        <w:jc w:val="both"/>
        <w:spacing w:after="0" w:line="230" w:lineRule="auto"/>
        <w:rPr>
          <w:sz w:val="20"/>
          <w:szCs w:val="20"/>
          <w:color w:val="auto"/>
        </w:rPr>
      </w:pPr>
      <w:r>
        <w:rPr>
          <w:rFonts w:ascii="Times New Roman" w:cs="Times New Roman" w:eastAsia="Times New Roman" w:hAnsi="Times New Roman"/>
          <w:sz w:val="22"/>
          <w:szCs w:val="22"/>
          <w:color w:val="auto"/>
        </w:rPr>
        <w:t>related transactions undertaken with a common purpose, in which any individual, entity or group (a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stock of the Company that, together with stock held by such Person, constitutes more than fifty percent (50%) of the total fair market value or total voting power of the Company’s stock; or</w:t>
      </w:r>
    </w:p>
    <w:p>
      <w:pPr>
        <w:spacing w:after="0" w:line="2" w:lineRule="exact"/>
        <w:rPr>
          <w:sz w:val="20"/>
          <w:szCs w:val="20"/>
          <w:color w:val="auto"/>
        </w:rPr>
      </w:pPr>
    </w:p>
    <w:p>
      <w:pPr>
        <w:jc w:val="both"/>
        <w:ind w:left="3240" w:hanging="323"/>
        <w:spacing w:after="0" w:line="230" w:lineRule="auto"/>
        <w:rPr>
          <w:sz w:val="20"/>
          <w:szCs w:val="20"/>
          <w:color w:val="auto"/>
        </w:rPr>
      </w:pPr>
      <w:r>
        <w:rPr>
          <w:rFonts w:ascii="Times New Roman" w:cs="Times New Roman" w:eastAsia="Times New Roman" w:hAnsi="Times New Roman"/>
          <w:sz w:val="20"/>
          <w:szCs w:val="20"/>
          <w:color w:val="auto"/>
        </w:rPr>
        <w:t>5.1.3.1.1.</w:t>
      </w:r>
      <w:r>
        <w:rPr>
          <w:sz w:val="20"/>
          <w:szCs w:val="20"/>
          <w:color w:val="auto"/>
        </w:rPr>
        <w:t xml:space="preserve"> </w:t>
      </w:r>
      <w:r>
        <w:rPr>
          <w:rFonts w:ascii="Times New Roman" w:cs="Times New Roman" w:eastAsia="Times New Roman" w:hAnsi="Times New Roman"/>
          <w:sz w:val="22"/>
          <w:szCs w:val="22"/>
          <w:color w:val="auto"/>
        </w:rPr>
        <w:t>a sale, lease, exchange or other transfer, in one transaction or a series of related transactions undertaken with a common purpose, of the Company’s assets having a total gross fair market value of forty percent (40%) or more of the total gross fair market value of all of the assets of the Company. For this purpose, “</w:t>
      </w:r>
      <w:r>
        <w:rPr>
          <w:rFonts w:ascii="Times New Roman" w:cs="Times New Roman" w:eastAsia="Times New Roman" w:hAnsi="Times New Roman"/>
          <w:sz w:val="22"/>
          <w:szCs w:val="22"/>
          <w:b w:val="1"/>
          <w:bCs w:val="1"/>
          <w:i w:val="1"/>
          <w:iCs w:val="1"/>
          <w:color w:val="auto"/>
        </w:rPr>
        <w:t>gross fair market value</w:t>
      </w:r>
      <w:r>
        <w:rPr>
          <w:rFonts w:ascii="Times New Roman" w:cs="Times New Roman" w:eastAsia="Times New Roman" w:hAnsi="Times New Roman"/>
          <w:sz w:val="22"/>
          <w:szCs w:val="22"/>
          <w:color w:val="auto"/>
        </w:rPr>
        <w:t>” means the value of the assets of the Company, or the value of the assets being disposed of, determined without regard to any liabilities associated with such assets.</w:t>
      </w:r>
    </w:p>
    <w:p>
      <w:pPr>
        <w:spacing w:after="0" w:line="3" w:lineRule="exact"/>
        <w:rPr>
          <w:sz w:val="20"/>
          <w:szCs w:val="20"/>
          <w:color w:val="auto"/>
        </w:rPr>
      </w:pPr>
    </w:p>
    <w:p>
      <w:pPr>
        <w:ind w:right="760" w:firstLine="647"/>
        <w:spacing w:after="0" w:line="231" w:lineRule="auto"/>
        <w:rPr>
          <w:sz w:val="20"/>
          <w:szCs w:val="20"/>
          <w:color w:val="auto"/>
        </w:rPr>
      </w:pPr>
      <w:r>
        <w:rPr>
          <w:rFonts w:ascii="Times New Roman" w:cs="Times New Roman" w:eastAsia="Times New Roman" w:hAnsi="Times New Roman"/>
          <w:sz w:val="22"/>
          <w:szCs w:val="22"/>
          <w:color w:val="auto"/>
        </w:rPr>
        <w:t>For purposes of this Agreement, a Change In Control will not include (1) a transaction in which the holders of the outstanding voting securities of the Company immediately prior to the</w:t>
      </w:r>
    </w:p>
    <w:p>
      <w:pPr>
        <w:spacing w:after="0" w:line="205"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transaction hold at least fifty percent (50%) of the outstanding voting securities of the successor Company immediately after the transaction; (2) any transaction or series of transactions approved by the Board principally for bona fide equity financing purposes in which cash is received by the Company or any successor thereto or indebtedness of the Company is cancelled or converted or a combination thereof; (3) a sale, lease, exchange or other transfer of all or substantially all of the Company’s assets to a majority-owned Subsidiary; or (4) a transaction undertaken for the principal purpose of restructuring the capital of the Company, including, but not limited to, reincorporating the Company in a different jurisdiction.</w:t>
      </w:r>
    </w:p>
    <w:p>
      <w:pPr>
        <w:sectPr>
          <w:pgSz w:w="11900" w:h="16838" w:orient="portrait"/>
          <w:cols w:equalWidth="0" w:num="1">
            <w:col w:w="11240"/>
          </w:cols>
          <w:pgMar w:left="320" w:top="1408" w:right="339" w:bottom="1440" w:gutter="0" w:footer="0" w:header="0"/>
        </w:sectPr>
      </w:pPr>
    </w:p>
    <w:bookmarkStart w:id="177" w:name="page178"/>
    <w:bookmarkEnd w:id="177"/>
    <w:p>
      <w:pPr>
        <w:ind w:firstLine="647"/>
        <w:spacing w:after="0" w:line="241" w:lineRule="auto"/>
        <w:rPr>
          <w:sz w:val="20"/>
          <w:szCs w:val="20"/>
          <w:color w:val="auto"/>
        </w:rPr>
      </w:pPr>
      <w:r>
        <w:rPr>
          <w:rFonts w:ascii="Times New Roman" w:cs="Times New Roman" w:eastAsia="Times New Roman" w:hAnsi="Times New Roman"/>
          <w:sz w:val="22"/>
          <w:szCs w:val="22"/>
          <w:color w:val="auto"/>
        </w:rPr>
        <w:t>Notwithstanding the foregoing, a “Change in Control” will only be deemed to occur if the consummation of the corporate transaction meets the requirements of Treas. Reg. Section 1.409A-3(a)(5).</w:t>
      </w:r>
    </w:p>
    <w:p>
      <w:pPr>
        <w:spacing w:after="0" w:line="2" w:lineRule="exact"/>
        <w:rPr>
          <w:sz w:val="20"/>
          <w:szCs w:val="20"/>
          <w:color w:val="auto"/>
        </w:rPr>
      </w:pPr>
    </w:p>
    <w:p>
      <w:pPr>
        <w:jc w:val="both"/>
        <w:ind w:left="2600" w:hanging="323"/>
        <w:spacing w:after="0" w:line="229" w:lineRule="auto"/>
        <w:rPr>
          <w:sz w:val="20"/>
          <w:szCs w:val="20"/>
          <w:color w:val="auto"/>
        </w:rPr>
      </w:pPr>
      <w:r>
        <w:rPr>
          <w:rFonts w:ascii="Times New Roman" w:cs="Times New Roman" w:eastAsia="Times New Roman" w:hAnsi="Times New Roman"/>
          <w:sz w:val="20"/>
          <w:szCs w:val="20"/>
          <w:color w:val="auto"/>
        </w:rPr>
        <w:t>5.1.3.1.</w:t>
      </w:r>
      <w:r>
        <w:rPr>
          <w:sz w:val="20"/>
          <w:szCs w:val="20"/>
          <w:color w:val="auto"/>
        </w:rPr>
        <w:t xml:space="preserve">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as a result of a permanent physical or mental injury or illness, the Executive has been unable to perform the essential functions of his job, with or without reasonable accommodation, for (a) 60 consecutive days or (b) a period of 150 days in any 12-month period. The Company shall make its determination in a reasonable manner and shall take into consideration the opinion of Executive’s personal physician, if reasonably available, and any other physician deemed appropriate by the Company, but such determination by the Company shall be final and binding on the parties hereto. This provision shall be interpreted and applied in a manner consistent with all applicable laws, including laws regarding workers’ compensation, disability, and family and medical leave laws.</w:t>
      </w:r>
    </w:p>
    <w:p>
      <w:pPr>
        <w:spacing w:after="0" w:line="1" w:lineRule="exact"/>
        <w:rPr>
          <w:sz w:val="20"/>
          <w:szCs w:val="20"/>
          <w:color w:val="auto"/>
        </w:rPr>
      </w:pPr>
    </w:p>
    <w:p>
      <w:pPr>
        <w:jc w:val="center"/>
        <w:ind w:right="160"/>
        <w:spacing w:after="0"/>
        <w:tabs>
          <w:tab w:leader="none" w:pos="360" w:val="left"/>
        </w:tabs>
        <w:rPr>
          <w:sz w:val="20"/>
          <w:szCs w:val="20"/>
          <w:color w:val="auto"/>
        </w:rPr>
      </w:pPr>
      <w:r>
        <w:rPr>
          <w:rFonts w:ascii="Times New Roman" w:cs="Times New Roman" w:eastAsia="Times New Roman" w:hAnsi="Times New Roman"/>
          <w:sz w:val="20"/>
          <w:szCs w:val="20"/>
          <w:color w:val="auto"/>
        </w:rPr>
        <w:t>5.1.3.2.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means, without the Executive’s written consent:</w:t>
      </w:r>
    </w:p>
    <w:p>
      <w:pPr>
        <w:spacing w:after="0" w:line="2" w:lineRule="exact"/>
        <w:rPr>
          <w:sz w:val="20"/>
          <w:szCs w:val="20"/>
          <w:color w:val="auto"/>
        </w:rPr>
      </w:pPr>
    </w:p>
    <w:p>
      <w:pPr>
        <w:ind w:firstLine="8"/>
        <w:spacing w:after="0" w:line="228" w:lineRule="auto"/>
        <w:tabs>
          <w:tab w:leader="none" w:pos="382"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reduction in the Executive’s Base Salary; (B) subject to Section 5.3 of this Agreement, a substantial diminution in the Executive’s title, duties or responsibilities; (C) the Company’s breach of any material covenant or obligation under this Agreement; or (D) relocation of the Executive’s principal work location to a location outside of New York county;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have thirty (30) days after receipt of notice from the Executive in writing specifying the deficiency to cure the deficiency that would result in Good Reason, to the extent curable;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Executive delivered such written notice within 90 days after the first occurrence of the action alleged to be Good Reason;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if the Company has not cured the deficiency before expiration of such 30-day period, Executive shall have resigned within ninety (90) days thereafter.</w:t>
      </w:r>
    </w:p>
    <w:p>
      <w:pPr>
        <w:spacing w:after="0" w:line="7" w:lineRule="exact"/>
        <w:rPr>
          <w:rFonts w:ascii="Times New Roman" w:cs="Times New Roman" w:eastAsia="Times New Roman" w:hAnsi="Times New Roman"/>
          <w:sz w:val="22"/>
          <w:szCs w:val="22"/>
          <w:color w:val="auto"/>
        </w:rPr>
      </w:pPr>
    </w:p>
    <w:p>
      <w:pPr>
        <w:ind w:left="1300" w:hanging="324"/>
        <w:spacing w:after="0" w:line="23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1"/>
          <w:szCs w:val="21"/>
          <w:u w:val="single" w:color="auto"/>
          <w:color w:val="auto"/>
        </w:rPr>
        <w:t>By the Company Without Cause, by the Company’s Non-renewal of the Term, or by the Executive with Good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Reason.</w:t>
      </w:r>
      <w:r>
        <w:rPr>
          <w:rFonts w:ascii="Times New Roman" w:cs="Times New Roman" w:eastAsia="Times New Roman" w:hAnsi="Times New Roman"/>
          <w:sz w:val="21"/>
          <w:szCs w:val="21"/>
          <w:color w:val="auto"/>
        </w:rPr>
        <w:t xml:space="preserve"> If at any time during the Term, the Company terminates the Executive’s employment without Cause other than due to Disability, the Executive’s employment terminates on the Term Date due to the Company non-renewal of the then-current Term, or the Executive terminates his employment upon notice (except as described in the definition of Good Reason) with Good Reason, other than following the occurrence of an event that could reasonably be expected to result in a termination of his employment by the Company for Cause, the Executive shall be entitled to receive:</w:t>
      </w:r>
    </w:p>
    <w:p>
      <w:pPr>
        <w:spacing w:after="0" w:line="4"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5.1.1.</w:t>
      </w:r>
      <w:r>
        <w:rPr>
          <w:rFonts w:ascii="Times New Roman" w:cs="Times New Roman" w:eastAsia="Times New Roman" w:hAnsi="Times New Roman"/>
          <w:sz w:val="21"/>
          <w:szCs w:val="21"/>
          <w:color w:val="auto"/>
        </w:rPr>
        <w:t>the Accrued Benefits; and</w:t>
      </w:r>
    </w:p>
    <w:p>
      <w:pPr>
        <w:spacing w:after="0" w:line="221" w:lineRule="exact"/>
        <w:rPr>
          <w:sz w:val="20"/>
          <w:szCs w:val="20"/>
          <w:color w:val="auto"/>
        </w:rPr>
      </w:pPr>
    </w:p>
    <w:p>
      <w:pPr>
        <w:jc w:val="both"/>
        <w:ind w:left="1960" w:hanging="323"/>
        <w:spacing w:after="0" w:line="236" w:lineRule="auto"/>
        <w:rPr>
          <w:sz w:val="20"/>
          <w:szCs w:val="20"/>
          <w:color w:val="auto"/>
        </w:rPr>
      </w:pPr>
      <w:r>
        <w:rPr>
          <w:rFonts w:ascii="Times New Roman" w:cs="Times New Roman" w:eastAsia="Times New Roman" w:hAnsi="Times New Roman"/>
          <w:sz w:val="20"/>
          <w:szCs w:val="20"/>
          <w:color w:val="auto"/>
        </w:rPr>
        <w:t>5.1.1.</w:t>
      </w:r>
      <w:r>
        <w:rPr>
          <w:sz w:val="20"/>
          <w:szCs w:val="20"/>
          <w:color w:val="auto"/>
        </w:rPr>
        <w:t xml:space="preserve"> </w:t>
      </w:r>
      <w:r>
        <w:rPr>
          <w:rFonts w:ascii="Times New Roman" w:cs="Times New Roman" w:eastAsia="Times New Roman" w:hAnsi="Times New Roman"/>
          <w:sz w:val="22"/>
          <w:szCs w:val="22"/>
          <w:color w:val="auto"/>
        </w:rPr>
        <w:t>beginning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such termination of employment, but only if the Executive has executed and not revoked within the revocation period a valid release agreement in a form reasonably acceptable to the Company (but which shall not release any right to indemnification nor impose any further restrictive covenants), a severance payment in an amount equal to the sum of (i) twelve (12) months of the Executive’s Base Salary in effect on the date of such termination, (ii) an amount equal to the Annual Target Bonus in effect for the fiscal year in</w:t>
      </w:r>
    </w:p>
    <w:p>
      <w:pPr>
        <w:sectPr>
          <w:pgSz w:w="11900" w:h="16838" w:orient="portrait"/>
          <w:cols w:equalWidth="0" w:num="1">
            <w:col w:w="11240"/>
          </w:cols>
          <w:pgMar w:left="320" w:top="1408" w:right="339" w:bottom="1440" w:gutter="0" w:footer="0" w:header="0"/>
        </w:sectPr>
      </w:pPr>
    </w:p>
    <w:bookmarkStart w:id="178" w:name="page179"/>
    <w:bookmarkEnd w:id="178"/>
    <w:p>
      <w:pPr>
        <w:jc w:val="both"/>
        <w:ind w:left="840"/>
        <w:spacing w:after="0" w:line="231" w:lineRule="auto"/>
        <w:rPr>
          <w:sz w:val="20"/>
          <w:szCs w:val="20"/>
          <w:color w:val="auto"/>
        </w:rPr>
      </w:pPr>
      <w:r>
        <w:rPr>
          <w:rFonts w:ascii="Times New Roman" w:cs="Times New Roman" w:eastAsia="Times New Roman" w:hAnsi="Times New Roman"/>
          <w:sz w:val="22"/>
          <w:szCs w:val="22"/>
          <w:color w:val="auto"/>
        </w:rPr>
        <w:t>which the date of such termination occurs, and (iii) an amount equal to the Annual Target Bonus in effect for the fiscal year in which Executive’s employment terminates, pro-rated based on the portion of such fiscal year prior to his termination date during which the Executive was employed, which sum shall be payable in equal monthly installments for a period of twelve (12) months; provided that, if (A) such termination occurs within twelve (12) months following a Change in Control or (B) the Company terminates the Executive’s employment without Cause other than due to Disability within ninety (90) days’ prior to a Change in Control and the Executive reasonably demonstrates that such termination was at the request of the eventual acquirer in connection with such Change in Control, such severance payment shall be in an amount equal to the sum of (i) twenty-one (21) months of the Executive’s Base Salary in effect on the date of such termination, and (ii) an amount equal to one hundred seventy-five percent (175%) of the Annual Target Bonus in effect for the fiscal year in which the date of such termination occurs, payable in equal monthly installments for a period of twenty-one (21) months. If not yet paid, Executive will also receive in full any prior year’s Annual Bonus not yet paid as of the termination date, payable on the normal payment date provided under the plan and paid entirely in cash. Payments that would otherwise have been owed to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termination of employment shall be made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such termination of employment.</w:t>
      </w:r>
    </w:p>
    <w:p>
      <w:pPr>
        <w:spacing w:after="0" w:line="3" w:lineRule="exact"/>
        <w:rPr>
          <w:sz w:val="20"/>
          <w:szCs w:val="20"/>
          <w:color w:val="auto"/>
        </w:rPr>
      </w:pPr>
    </w:p>
    <w:p>
      <w:pPr>
        <w:jc w:val="both"/>
        <w:ind w:left="840" w:hanging="323"/>
        <w:spacing w:after="0" w:line="228" w:lineRule="auto"/>
        <w:rPr>
          <w:sz w:val="20"/>
          <w:szCs w:val="20"/>
          <w:color w:val="auto"/>
        </w:rPr>
      </w:pPr>
      <w:r>
        <w:rPr>
          <w:rFonts w:ascii="Times New Roman" w:cs="Times New Roman" w:eastAsia="Times New Roman" w:hAnsi="Times New Roman"/>
          <w:sz w:val="20"/>
          <w:szCs w:val="20"/>
          <w:color w:val="auto"/>
        </w:rPr>
        <w:t>5.1.2.</w:t>
      </w:r>
      <w:r>
        <w:rPr>
          <w:sz w:val="20"/>
          <w:szCs w:val="20"/>
          <w:color w:val="auto"/>
        </w:rPr>
        <w:t xml:space="preserve"> </w:t>
      </w:r>
      <w:r>
        <w:rPr>
          <w:rFonts w:ascii="Times New Roman" w:cs="Times New Roman" w:eastAsia="Times New Roman" w:hAnsi="Times New Roman"/>
          <w:sz w:val="22"/>
          <w:szCs w:val="22"/>
          <w:color w:val="auto"/>
        </w:rPr>
        <w:t>In addition, if the Executive satisfies the release condition set forth in the preceding paragraph, then from the date of his termination of employment until twelve (12) months following the end of the month in which such termination occurs, the Company shall pay the premiums for any “COBRA” continuation health coverage for which the Executive is eligible during such 12-month period under Section 4980B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(or any successor provision);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COBRA payments that would otherwise have been paid on behalf of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termination of employment shall be paid by the Executive and reimbursed by the Company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such termination of employment.</w:t>
      </w:r>
    </w:p>
    <w:p>
      <w:pPr>
        <w:spacing w:after="0" w:line="8" w:lineRule="exact"/>
        <w:rPr>
          <w:sz w:val="20"/>
          <w:szCs w:val="20"/>
          <w:color w:val="auto"/>
        </w:rPr>
      </w:pPr>
    </w:p>
    <w:p>
      <w:pPr>
        <w:jc w:val="both"/>
        <w:ind w:left="180" w:hanging="323"/>
        <w:spacing w:after="0" w:line="239"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1"/>
          <w:szCs w:val="21"/>
          <w:u w:val="single" w:color="auto"/>
          <w:color w:val="auto"/>
        </w:rPr>
        <w:t>Duties prior to Termination</w:t>
      </w:r>
      <w:r>
        <w:rPr>
          <w:rFonts w:ascii="Times New Roman" w:cs="Times New Roman" w:eastAsia="Times New Roman" w:hAnsi="Times New Roman"/>
          <w:sz w:val="21"/>
          <w:szCs w:val="21"/>
          <w:color w:val="auto"/>
        </w:rPr>
        <w:t>. Following a notice of termination of the Executive’s employment hereunder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either Party and prior to the applicable date of termination, the Company may (a) require the Executive to continue to perform the Executive’s duties hereunder on the Company’s behalf, (b) limit or impose reasonable restrictions on the Executive’s activities as it deems necessary, or (c) modify the Executive’s authorities, responsibilities and/or duties (including as provided in Section 3.2 of this Agreement) without such action constituting a violation of this Agreement or Good Reason.</w:t>
      </w:r>
    </w:p>
    <w:p>
      <w:pPr>
        <w:spacing w:after="0" w:line="2" w:lineRule="exact"/>
        <w:rPr>
          <w:sz w:val="20"/>
          <w:szCs w:val="20"/>
          <w:color w:val="auto"/>
        </w:rPr>
      </w:pPr>
    </w:p>
    <w:p>
      <w:pPr>
        <w:jc w:val="both"/>
        <w:ind w:left="180" w:hanging="323"/>
        <w:spacing w:after="0" w:line="249"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1"/>
          <w:szCs w:val="21"/>
          <w:u w:val="single" w:color="auto"/>
          <w:color w:val="auto"/>
        </w:rPr>
        <w:t>Continued Employment Beyond the Expiration of the Term</w:t>
      </w:r>
      <w:r>
        <w:rPr>
          <w:rFonts w:ascii="Times New Roman" w:cs="Times New Roman" w:eastAsia="Times New Roman" w:hAnsi="Times New Roman"/>
          <w:sz w:val="21"/>
          <w:szCs w:val="21"/>
          <w:color w:val="auto"/>
        </w:rPr>
        <w:t>. Unless the Parties otherwise agree in writing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except for those Accrued Benefits or severance obligations owed under Section 5.1 or 5.2 above, in connection with any termination due to non-renewal, continuation of the Executive’s employment with</w:t>
      </w:r>
    </w:p>
    <w:p>
      <w:pPr>
        <w:sectPr>
          <w:pgSz w:w="11900" w:h="16838" w:orient="portrait"/>
          <w:cols w:equalWidth="0" w:num="1">
            <w:col w:w="10120"/>
          </w:cols>
          <w:pgMar w:left="1440" w:top="1408" w:right="339" w:bottom="1440" w:gutter="0" w:footer="0" w:header="0"/>
        </w:sectPr>
      </w:pPr>
    </w:p>
    <w:bookmarkStart w:id="179" w:name="page180"/>
    <w:bookmarkEnd w:id="179"/>
    <w:p>
      <w:pPr>
        <w:ind w:left="1300"/>
        <w:spacing w:after="0" w:line="258" w:lineRule="auto"/>
        <w:rPr>
          <w:sz w:val="20"/>
          <w:szCs w:val="20"/>
          <w:color w:val="auto"/>
        </w:rPr>
      </w:pPr>
      <w:r>
        <w:rPr>
          <w:rFonts w:ascii="Times New Roman" w:cs="Times New Roman" w:eastAsia="Times New Roman" w:hAnsi="Times New Roman"/>
          <w:sz w:val="22"/>
          <w:szCs w:val="22"/>
          <w:color w:val="auto"/>
        </w:rPr>
        <w:t>the Company beyond the expiration of the Term shall only occur if mutually agreed to by the Parties in writing, in which event his</w:t>
      </w:r>
    </w:p>
    <w:p>
      <w:pPr>
        <w:spacing w:after="0" w:line="18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employment shall be deemed an employment at-will and shall not be deemed to extend any of the provisions of this Agreement and the Executive’s employment may thereafter be terminated at-will by either the Executive or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provisions of this Agreement that contemplate performance following the expiration of the Term shall survive not only any termination of this Agreement but also the termination of the Executive’s employment hereunder, including, without limitation, Sections 6, 7 and 8.12 of this Agreement.</w:t>
      </w:r>
    </w:p>
    <w:p>
      <w:pPr>
        <w:spacing w:after="0" w:line="3" w:lineRule="exact"/>
        <w:rPr>
          <w:sz w:val="20"/>
          <w:szCs w:val="20"/>
          <w:color w:val="auto"/>
        </w:rPr>
      </w:pPr>
    </w:p>
    <w:p>
      <w:pPr>
        <w:jc w:val="both"/>
        <w:ind w:left="1300" w:hanging="323"/>
        <w:spacing w:after="0" w:line="241"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1"/>
          <w:szCs w:val="21"/>
          <w:u w:val="single" w:color="auto"/>
          <w:color w:val="auto"/>
        </w:rPr>
        <w:t>Removal from Boards and Positions</w:t>
      </w:r>
      <w:r>
        <w:rPr>
          <w:rFonts w:ascii="Times New Roman" w:cs="Times New Roman" w:eastAsia="Times New Roman" w:hAnsi="Times New Roman"/>
          <w:sz w:val="21"/>
          <w:szCs w:val="21"/>
          <w:color w:val="auto"/>
        </w:rPr>
        <w:t>. If Executive’s employment terminates for any reason, the Executive 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deemed to resign (a) if a member, from the Board or boards of directors to which he has been appointed or nominated by or on behalf of the Company and (b) from any position with the Company and its subsidiaries and affiliates or any fiduciary positions that he holds as a result thereof.</w:t>
      </w:r>
    </w:p>
    <w:p>
      <w:pPr>
        <w:spacing w:after="0" w:line="2" w:lineRule="exact"/>
        <w:rPr>
          <w:sz w:val="20"/>
          <w:szCs w:val="20"/>
          <w:color w:val="auto"/>
        </w:rPr>
      </w:pPr>
    </w:p>
    <w:p>
      <w:pPr>
        <w:jc w:val="both"/>
        <w:ind w:left="1300" w:hanging="323"/>
        <w:spacing w:after="0" w:line="241"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The rights and remedies set forth in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are Executive’s sole rights and remedies in the event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the termination of his employment, except for any rights and remedies that are not waivable.</w:t>
      </w:r>
    </w:p>
    <w:p>
      <w:pPr>
        <w:spacing w:after="0" w:line="1" w:lineRule="exact"/>
        <w:rPr>
          <w:sz w:val="20"/>
          <w:szCs w:val="20"/>
          <w:color w:val="auto"/>
        </w:rPr>
      </w:pPr>
    </w:p>
    <w:p>
      <w:pPr>
        <w:ind w:left="980" w:right="6600" w:hanging="648"/>
        <w:spacing w:after="0" w:line="230" w:lineRule="auto"/>
        <w:tabs>
          <w:tab w:leader="none" w:pos="656"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Restrictions and Obligations of the 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6.1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w:t>
      </w:r>
    </w:p>
    <w:p>
      <w:pPr>
        <w:spacing w:after="0" w:line="1" w:lineRule="exact"/>
        <w:rPr>
          <w:rFonts w:ascii="Times New Roman" w:cs="Times New Roman" w:eastAsia="Times New Roman" w:hAnsi="Times New Roman"/>
          <w:sz w:val="20"/>
          <w:szCs w:val="20"/>
          <w:color w:val="auto"/>
        </w:rPr>
      </w:pPr>
    </w:p>
    <w:p>
      <w:pPr>
        <w:ind w:left="1960" w:hanging="324"/>
        <w:spacing w:after="0" w:line="22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6.1.1.</w:t>
      </w:r>
      <w:r>
        <w:rPr>
          <w:rFonts w:ascii="Times New Roman" w:cs="Times New Roman" w:eastAsia="Times New Roman" w:hAnsi="Times New Roman"/>
          <w:sz w:val="22"/>
          <w:szCs w:val="22"/>
          <w:color w:val="auto"/>
        </w:rPr>
        <w:t>During the course of the Executive’s employment by the Company, the Executive will have access to certain trade secrets and confidential information relating to the Company, its subsidiaries and affiliates (the “</w:t>
      </w:r>
      <w:r>
        <w:rPr>
          <w:rFonts w:ascii="Times New Roman" w:cs="Times New Roman" w:eastAsia="Times New Roman" w:hAnsi="Times New Roman"/>
          <w:sz w:val="22"/>
          <w:szCs w:val="22"/>
          <w:u w:val="single" w:color="auto"/>
          <w:color w:val="auto"/>
        </w:rPr>
        <w:t>Protected Parties</w:t>
      </w:r>
      <w:r>
        <w:rPr>
          <w:rFonts w:ascii="Times New Roman" w:cs="Times New Roman" w:eastAsia="Times New Roman" w:hAnsi="Times New Roman"/>
          <w:sz w:val="22"/>
          <w:szCs w:val="22"/>
          <w:color w:val="auto"/>
        </w:rPr>
        <w:t>”) which is not readily available from sources outside the Company. The confidential and proprietary information and, in any material respect, trade secrets of the Protected Parties are among their most valuable assets, including but not limited to, their customer, supplier and vendor lists, databases, competitive strategies, computer programs, frameworks, or models, their marketing programs, their sales, financial, marketing, training and technical information, and any other information, whether communicated orally, electronically, in writing or in other tangible forms concerning how the Protected Parties create, develop, acquire or maintain their products and marketing plans, target their potential customers and operate their businesses. The Protected Parties invested, and continue to invest, considerable amounts of time and money in their process, technology, know-how, obtaining and developing the goodwill of their customers, their other external relationships, their data systems and data bases, and all the information described above (hereinafter collectively referred to as “</w:t>
      </w:r>
      <w:r>
        <w:rPr>
          <w:rFonts w:ascii="Times New Roman" w:cs="Times New Roman" w:eastAsia="Times New Roman" w:hAnsi="Times New Roman"/>
          <w:sz w:val="22"/>
          <w:szCs w:val="22"/>
          <w:u w:val="single" w:color="auto"/>
          <w:color w:val="auto"/>
        </w:rPr>
        <w:t>Confidential Information</w:t>
      </w:r>
      <w:r>
        <w:rPr>
          <w:rFonts w:ascii="Times New Roman" w:cs="Times New Roman" w:eastAsia="Times New Roman" w:hAnsi="Times New Roman"/>
          <w:sz w:val="22"/>
          <w:szCs w:val="22"/>
          <w:color w:val="auto"/>
        </w:rPr>
        <w:t>”), and any misappropriation or unauthorized disclosure of Confidential Information in any form would irreparably harm the Protected Parties. The Executive acknowledges that such Confidential Information constitutes valuable, highly confidential, special and unique property of the Protected Parties. The Executive shall hold in a fiduciary capacity for the benefit of the Protected Parties all Confidential Information relating to the Protected Parties and their businesses, which shall have been obtained by the Executive during the Executive’s employment by the Company and which shall not be or become public knowledge (other than by acts by the</w:t>
      </w:r>
    </w:p>
    <w:p>
      <w:pPr>
        <w:sectPr>
          <w:pgSz w:w="11900" w:h="16838" w:orient="portrait"/>
          <w:cols w:equalWidth="0" w:num="1">
            <w:col w:w="11240"/>
          </w:cols>
          <w:pgMar w:left="320" w:top="1408" w:right="339" w:bottom="1440" w:gutter="0" w:footer="0" w:header="0"/>
        </w:sectPr>
      </w:pPr>
    </w:p>
    <w:bookmarkStart w:id="180" w:name="page181"/>
    <w:bookmarkEnd w:id="180"/>
    <w:p>
      <w:pPr>
        <w:jc w:val="both"/>
        <w:ind w:left="1960"/>
        <w:spacing w:after="0" w:line="238" w:lineRule="auto"/>
        <w:rPr>
          <w:sz w:val="20"/>
          <w:szCs w:val="20"/>
          <w:color w:val="auto"/>
        </w:rPr>
      </w:pPr>
      <w:r>
        <w:rPr>
          <w:rFonts w:ascii="Times New Roman" w:cs="Times New Roman" w:eastAsia="Times New Roman" w:hAnsi="Times New Roman"/>
          <w:sz w:val="22"/>
          <w:szCs w:val="22"/>
          <w:color w:val="auto"/>
        </w:rPr>
        <w:t>Executive or representatives of the Executive in violation of this Agreement). During the period the Executive is employed by the Company and at any time thereafter, the Executive shall not disclose any Confidential Information, directly or indirectly, to any person or entity for any reason or purpose whatsoever, nor shall the Executive use it in any way, except (i) in the course of the Executive’s employment with, and for the benefit of, the</w:t>
      </w:r>
    </w:p>
    <w:p>
      <w:pPr>
        <w:spacing w:after="0" w:line="204"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22"/>
          <w:szCs w:val="22"/>
          <w:color w:val="auto"/>
        </w:rPr>
        <w:t xml:space="preserve">Protected Parties, (ii) to enforce any rights or defend any claims hereunder or under any other agreement to which the Executive is a party with any Protected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disclosure is relevant to the enforcement of such rights or defense of such claims and is only disclosed in the formal proceedings related thereto, (iii) when required to do so by a court of law, by any governmental agency having supervisory authority over the business of any of the Protected Parties or by any administrative or legislative body (including a committee thereof) with jurisdiction to order him to divulge, disclose or make accessible such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permitted by law, the Executive shall give prompt written notice to the Company of such requirement, disclose no more information than is so required, and cooperate with any attempts by any Protected Party (coordinated in all events through the Company) to obtain a protective order or similar treatment, (iv) as to such Confidential Information that becomes generally known to the public without his violation of this Section 6.1(a), or (v) to the Executive’s spouse, attorney, and/or his personal tax and financial advisors as reasonably necessary or appropriate to advance the Executive’s tax, financial and other personal planning (each an “</w:t>
      </w:r>
      <w:r>
        <w:rPr>
          <w:rFonts w:ascii="Times New Roman" w:cs="Times New Roman" w:eastAsia="Times New Roman" w:hAnsi="Times New Roman"/>
          <w:sz w:val="22"/>
          <w:szCs w:val="22"/>
          <w:u w:val="single" w:color="auto"/>
          <w:color w:val="auto"/>
        </w:rPr>
        <w:t>Exempt Person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any disclosure or use of Confidential Information by an Exempt Person other than the exceptions set forth in (i)-(iv) above shall be deemed to be a breach of this Section 6.1(a) by the Executive. The Executive shall take all reasonable steps to safeguard the Confidential Information and to protect it against disclosure, misuse, espionage, loss and theft. The Executive understands and agrees that the Executive shall acquire no rights to any such Confidential Information. For the sake of clarity, the Executive may retain documentation concerning his employment terms and compensation without violation of any section herein.</w:t>
      </w:r>
    </w:p>
    <w:p>
      <w:pPr>
        <w:spacing w:after="0" w:line="6" w:lineRule="exact"/>
        <w:rPr>
          <w:sz w:val="20"/>
          <w:szCs w:val="20"/>
          <w:color w:val="auto"/>
        </w:rPr>
      </w:pPr>
    </w:p>
    <w:p>
      <w:pPr>
        <w:jc w:val="both"/>
        <w:ind w:left="1960" w:hanging="323"/>
        <w:spacing w:after="0" w:line="228" w:lineRule="auto"/>
        <w:rPr>
          <w:sz w:val="20"/>
          <w:szCs w:val="20"/>
          <w:color w:val="auto"/>
        </w:rPr>
      </w:pPr>
      <w:r>
        <w:rPr>
          <w:rFonts w:ascii="Times New Roman" w:cs="Times New Roman" w:eastAsia="Times New Roman" w:hAnsi="Times New Roman"/>
          <w:sz w:val="20"/>
          <w:szCs w:val="20"/>
          <w:color w:val="auto"/>
        </w:rPr>
        <w:t>6.1.1.</w:t>
      </w:r>
      <w:r>
        <w:rPr>
          <w:sz w:val="20"/>
          <w:szCs w:val="20"/>
          <w:color w:val="auto"/>
        </w:rPr>
        <w:t xml:space="preserve"> </w:t>
      </w:r>
      <w:r>
        <w:rPr>
          <w:rFonts w:ascii="Times New Roman" w:cs="Times New Roman" w:eastAsia="Times New Roman" w:hAnsi="Times New Roman"/>
          <w:sz w:val="22"/>
          <w:szCs w:val="22"/>
          <w:color w:val="auto"/>
        </w:rPr>
        <w:t>All files, records, documents, drawings, specifications, data, computer programs, evaluation mechanisms and analytics and similar items relating thereto or to the Business (for the purposes of this Agreement,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shall be as defined in Section 6.4 hereof), as well as all customer lists, specific customer information, compilations of product research and marketing techniques of any of the Protected Parties, whether prepared by the Executive or otherwise coming into the Executive’s possession, shall remain the exclusive property of the Protected Parties.</w:t>
      </w:r>
    </w:p>
    <w:p>
      <w:pPr>
        <w:spacing w:after="0" w:line="3" w:lineRule="exact"/>
        <w:rPr>
          <w:sz w:val="20"/>
          <w:szCs w:val="20"/>
          <w:color w:val="auto"/>
        </w:rPr>
      </w:pPr>
    </w:p>
    <w:p>
      <w:pPr>
        <w:jc w:val="both"/>
        <w:ind w:left="1960" w:hanging="323"/>
        <w:spacing w:after="0" w:line="244" w:lineRule="auto"/>
        <w:rPr>
          <w:sz w:val="20"/>
          <w:szCs w:val="20"/>
          <w:color w:val="auto"/>
        </w:rPr>
      </w:pPr>
      <w:r>
        <w:rPr>
          <w:rFonts w:ascii="Times New Roman" w:cs="Times New Roman" w:eastAsia="Times New Roman" w:hAnsi="Times New Roman"/>
          <w:sz w:val="20"/>
          <w:szCs w:val="20"/>
          <w:color w:val="auto"/>
        </w:rPr>
        <w:t>6.1.2.</w:t>
      </w:r>
      <w:r>
        <w:rPr>
          <w:sz w:val="20"/>
          <w:szCs w:val="20"/>
          <w:color w:val="auto"/>
        </w:rPr>
        <w:t xml:space="preserve"> </w:t>
      </w:r>
      <w:r>
        <w:rPr>
          <w:rFonts w:ascii="Times New Roman" w:cs="Times New Roman" w:eastAsia="Times New Roman" w:hAnsi="Times New Roman"/>
          <w:sz w:val="21"/>
          <w:szCs w:val="21"/>
          <w:color w:val="auto"/>
        </w:rPr>
        <w:t>It is understood that while employed by the Company, the Executive shall promptly disclose to it, and assign to it the Executive’s interest in any invention, improvement or discovery made or conceived by the Executive, either alone or jointly with others, which arises out of the Executive’s employment. At the Company’s request and expense, the Executive shall assist any Protected Party during the period of the Executive’s employment by the Company and thereafter (but subject to reasonable notice and taking into account the Executive’s schedule) in connection with any controversy or legal proceeding relating to such</w:t>
      </w:r>
    </w:p>
    <w:p>
      <w:pPr>
        <w:sectPr>
          <w:pgSz w:w="11900" w:h="16838" w:orient="portrait"/>
          <w:cols w:equalWidth="0" w:num="1">
            <w:col w:w="11240"/>
          </w:cols>
          <w:pgMar w:left="320" w:top="1408" w:right="339" w:bottom="1440" w:gutter="0" w:footer="0" w:header="0"/>
        </w:sectPr>
      </w:pPr>
    </w:p>
    <w:bookmarkStart w:id="181" w:name="page182"/>
    <w:bookmarkEnd w:id="181"/>
    <w:p>
      <w:pPr>
        <w:ind w:left="1960"/>
        <w:spacing w:after="0" w:line="241" w:lineRule="auto"/>
        <w:rPr>
          <w:sz w:val="20"/>
          <w:szCs w:val="20"/>
          <w:color w:val="auto"/>
        </w:rPr>
      </w:pPr>
      <w:r>
        <w:rPr>
          <w:rFonts w:ascii="Times New Roman" w:cs="Times New Roman" w:eastAsia="Times New Roman" w:hAnsi="Times New Roman"/>
          <w:sz w:val="22"/>
          <w:szCs w:val="22"/>
          <w:color w:val="auto"/>
        </w:rPr>
        <w:t>invention, improvement or discovery and in obtaining domestic and foreign patent or other protection covering the same.</w:t>
      </w:r>
    </w:p>
    <w:p>
      <w:pPr>
        <w:spacing w:after="0" w:line="2" w:lineRule="exact"/>
        <w:rPr>
          <w:sz w:val="20"/>
          <w:szCs w:val="20"/>
          <w:color w:val="auto"/>
        </w:rPr>
      </w:pPr>
    </w:p>
    <w:p>
      <w:pPr>
        <w:jc w:val="both"/>
        <w:ind w:left="1960" w:hanging="323"/>
        <w:spacing w:after="0" w:line="230" w:lineRule="auto"/>
        <w:rPr>
          <w:sz w:val="20"/>
          <w:szCs w:val="20"/>
          <w:color w:val="auto"/>
        </w:rPr>
      </w:pPr>
      <w:r>
        <w:rPr>
          <w:rFonts w:ascii="Times New Roman" w:cs="Times New Roman" w:eastAsia="Times New Roman" w:hAnsi="Times New Roman"/>
          <w:sz w:val="20"/>
          <w:szCs w:val="20"/>
          <w:color w:val="auto"/>
        </w:rPr>
        <w:t>6.1.3.</w:t>
      </w:r>
      <w:r>
        <w:rPr>
          <w:sz w:val="20"/>
          <w:szCs w:val="20"/>
          <w:color w:val="auto"/>
        </w:rPr>
        <w:t xml:space="preserve"> </w:t>
      </w:r>
      <w:r>
        <w:rPr>
          <w:rFonts w:ascii="Times New Roman" w:cs="Times New Roman" w:eastAsia="Times New Roman" w:hAnsi="Times New Roman"/>
          <w:sz w:val="22"/>
          <w:szCs w:val="22"/>
          <w:color w:val="auto"/>
        </w:rPr>
        <w:t>The Executive understands that nothing contained in this Agreement limits the Executive’s ability to file a charge or complaint with the Equal Employment Opportunity Commission, the National Labor Relations Board, the Securities and Exchange Commission or any other federal, state or local governmental agency or commission (each, a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The Executive further understands that this Agreement does not limit the Executive’s ability to communicate with any Government Agency, including to report possible violations of federal law or regulation or making other disclosures that are protected under the whistleblower provisions of applicable federal, state or local law or regulation, or otherwise participate in any</w:t>
      </w:r>
    </w:p>
    <w:p>
      <w:pPr>
        <w:spacing w:after="0" w:line="210" w:lineRule="exact"/>
        <w:rPr>
          <w:sz w:val="20"/>
          <w:szCs w:val="20"/>
          <w:color w:val="auto"/>
        </w:rPr>
      </w:pPr>
    </w:p>
    <w:p>
      <w:pPr>
        <w:ind w:right="840"/>
        <w:spacing w:after="0" w:line="241" w:lineRule="auto"/>
        <w:rPr>
          <w:sz w:val="20"/>
          <w:szCs w:val="20"/>
          <w:color w:val="auto"/>
        </w:rPr>
      </w:pPr>
      <w:r>
        <w:rPr>
          <w:rFonts w:ascii="Times New Roman" w:cs="Times New Roman" w:eastAsia="Times New Roman" w:hAnsi="Times New Roman"/>
          <w:sz w:val="22"/>
          <w:szCs w:val="22"/>
          <w:color w:val="auto"/>
        </w:rPr>
        <w:t>investigation or proceeding that may be conducted by any Government Agency, including providing documents or other information, without notice to the Company.</w:t>
      </w:r>
    </w:p>
    <w:p>
      <w:pPr>
        <w:spacing w:after="0" w:line="2" w:lineRule="exact"/>
        <w:rPr>
          <w:sz w:val="20"/>
          <w:szCs w:val="20"/>
          <w:color w:val="auto"/>
        </w:rPr>
      </w:pPr>
    </w:p>
    <w:p>
      <w:pPr>
        <w:jc w:val="both"/>
        <w:ind w:left="1960" w:hanging="323"/>
        <w:spacing w:after="0" w:line="230" w:lineRule="auto"/>
        <w:rPr>
          <w:sz w:val="20"/>
          <w:szCs w:val="20"/>
          <w:color w:val="auto"/>
        </w:rPr>
      </w:pPr>
      <w:r>
        <w:rPr>
          <w:rFonts w:ascii="Times New Roman" w:cs="Times New Roman" w:eastAsia="Times New Roman" w:hAnsi="Times New Roman"/>
          <w:sz w:val="20"/>
          <w:szCs w:val="20"/>
          <w:color w:val="auto"/>
        </w:rPr>
        <w:t>6.1.1.</w:t>
      </w:r>
      <w:r>
        <w:rPr>
          <w:sz w:val="20"/>
          <w:szCs w:val="20"/>
          <w:color w:val="auto"/>
        </w:rPr>
        <w:t xml:space="preserve"> </w:t>
      </w:r>
      <w:r>
        <w:rPr>
          <w:rFonts w:ascii="Times New Roman" w:cs="Times New Roman" w:eastAsia="Times New Roman" w:hAnsi="Times New Roman"/>
          <w:sz w:val="22"/>
          <w:szCs w:val="22"/>
          <w:color w:val="auto"/>
        </w:rPr>
        <w:t>This Agreement does not limit the Executive’s right to receive an award for information provided to any Government Agency. The Executive will not be criminally or civilly liable under any federal or state trade secret law for the disclosure of a trade secret that</w:t>
      </w:r>
    </w:p>
    <w:p>
      <w:pPr>
        <w:spacing w:after="0" w:line="2" w:lineRule="exact"/>
        <w:rPr>
          <w:sz w:val="20"/>
          <w:szCs w:val="20"/>
          <w:color w:val="auto"/>
        </w:rPr>
      </w:pPr>
    </w:p>
    <w:p>
      <w:pPr>
        <w:jc w:val="both"/>
        <w:ind w:right="20" w:firstLine="8"/>
        <w:spacing w:after="0" w:line="226" w:lineRule="auto"/>
        <w:tabs>
          <w:tab w:leader="none" w:pos="26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ind w:left="1300" w:hanging="324"/>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During the period the Executive is employed by the Company and thereafter, the Executive shall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cooperate with any investigation or inquiry by the Company or any governmental or regulatory agency or body that relates to the operations of a Protected Party during the period of the Executive’s employment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cooperation shall take into account the Executive’s then current business and other obligations. Employee shall be reimbursed all out of pocket reasonable costs incurred by way of any such cooperation.</w:t>
      </w:r>
    </w:p>
    <w:p>
      <w:pPr>
        <w:spacing w:after="0" w:line="3" w:lineRule="exact"/>
        <w:rPr>
          <w:rFonts w:ascii="Times New Roman" w:cs="Times New Roman" w:eastAsia="Times New Roman" w:hAnsi="Times New Roman"/>
          <w:sz w:val="22"/>
          <w:szCs w:val="22"/>
          <w:color w:val="auto"/>
        </w:rPr>
      </w:pPr>
    </w:p>
    <w:p>
      <w:pPr>
        <w:ind w:left="1300" w:hanging="324"/>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1"/>
          <w:szCs w:val="21"/>
          <w:u w:val="single" w:color="auto"/>
          <w:color w:val="auto"/>
        </w:rPr>
        <w:t>Non-Solicitation or Hire</w:t>
      </w:r>
      <w:r>
        <w:rPr>
          <w:rFonts w:ascii="Times New Roman" w:cs="Times New Roman" w:eastAsia="Times New Roman" w:hAnsi="Times New Roman"/>
          <w:sz w:val="21"/>
          <w:szCs w:val="21"/>
          <w:color w:val="auto"/>
        </w:rPr>
        <w:t>. During the period the Executive is employed by the Company and for a period following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termination of the Executive’s employment for any reason equal to the longer of either (a) one (1) year following the Executive’s termination of employment and (b) the applicable period during which the severance payments are scheduled to be paid pursuant to Section 5.2(b) (such longer period,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the Executive shall not (i) directly or indirectly solicit, attempt to solicit or induce (x) any party who is a customer of a Protected Party, who was a customer of a Protected Party at any time during the twelve (12) month period immediately prior to the date the Executive’s employment terminates or who was a prospective customer that has been identified and targeted by a Protected Party immediately prior to the date the Executive’s employment terminates, for the purpose of marketing, selling or providing to any such party any services or products offered by or available from a Protected Party on the date the Executive’s employment terminates, or (y) any supplier or prospective supplier to a Protected Party as of the date the Executive’s employment terminates to terminate, reduce or alter negatively its relationship</w:t>
      </w:r>
    </w:p>
    <w:p>
      <w:pPr>
        <w:sectPr>
          <w:pgSz w:w="11900" w:h="16838" w:orient="portrait"/>
          <w:cols w:equalWidth="0" w:num="1">
            <w:col w:w="11240"/>
          </w:cols>
          <w:pgMar w:left="320" w:top="1408" w:right="339" w:bottom="1440" w:gutter="0" w:footer="0" w:header="0"/>
        </w:sectPr>
      </w:pPr>
    </w:p>
    <w:bookmarkStart w:id="182" w:name="page183"/>
    <w:bookmarkEnd w:id="182"/>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with the Protected Party or in any manner interfere with any agreement or contract between the Protected Party and such supplier, or (ii) directly or indirectly solicit or induce any current employee of a Protected Party or any person who was an employee of a Protected Party during the twelve (12) month period immediately prior to the date the Executive’s employment terminates to terminate such employee’s employment relationship with a Protected Party in order, in either case, to enter into a similar relationship with the Executive, or any other person or any entity.</w:t>
      </w:r>
    </w:p>
    <w:p>
      <w:pPr>
        <w:spacing w:after="0" w:line="1" w:lineRule="exact"/>
        <w:rPr>
          <w:sz w:val="20"/>
          <w:szCs w:val="20"/>
          <w:color w:val="auto"/>
        </w:rPr>
      </w:pPr>
    </w:p>
    <w:p>
      <w:pPr>
        <w:jc w:val="both"/>
        <w:ind w:left="1300" w:hanging="323"/>
        <w:spacing w:after="0" w:line="244"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Restricted Period, the Executive shall not, without the Company’s prior written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consent, whether individually, as a director, manager, member, stockholder, partner, owner, employee, consultant or agent of any business, or in any other capacity, other than on behalf of a Protected Party, organize, establish, own, operate, manage, control, engage in, participate in, invest in, permit his name to be used by, act as a consultant or advisor to, render services for (alone or in association with any person, firm, corporation or business organization), or otherwise engage in the business of providing financial products or</w:t>
      </w:r>
    </w:p>
    <w:p>
      <w:pPr>
        <w:spacing w:after="0" w:line="204"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services to Taft-Hartley employee benefit plans, labor unions, employee benefit plans associated with labor unions in any manner, or other entities associated or affiliated with labor unions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Notwithstanding the foregoing, nothing in this Agreement shall prevent the Executive from (a) owning for passive investment purposes not intended to circumvent this Agreement, less than three percent (3%) of the publicly traded common equity securities of any company engaged in the Business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 or (b) being employed by or otherwise associated with (including as a director) an organization or entity of which a subsidiary, division, segment, unit, etc. is engaged in the Business (a “</w:t>
      </w:r>
      <w:r>
        <w:rPr>
          <w:rFonts w:ascii="Times New Roman" w:cs="Times New Roman" w:eastAsia="Times New Roman" w:hAnsi="Times New Roman"/>
          <w:sz w:val="22"/>
          <w:szCs w:val="22"/>
          <w:u w:val="single" w:color="auto"/>
          <w:color w:val="auto"/>
        </w:rPr>
        <w:t>Competing Division</w:t>
      </w:r>
      <w:r>
        <w:rPr>
          <w:rFonts w:ascii="Times New Roman" w:cs="Times New Roman" w:eastAsia="Times New Roman" w:hAnsi="Times New Roman"/>
          <w:sz w:val="22"/>
          <w:szCs w:val="22"/>
          <w:color w:val="auto"/>
        </w:rPr>
        <w:t xml:space="preserve">”), including in a position to which employees of the Competing Division report, directly or indirectly,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has no direct responsibilities with such Competing Division other than having general responsibility for the operation of such Competing Division. For the avoidance of doubt, the Executive may be an officer of a bank or investment advisor or a union or related organization that engages in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is not directly employed in, or working in, the Competing Division.</w:t>
      </w:r>
    </w:p>
    <w:p>
      <w:pPr>
        <w:spacing w:after="0" w:line="4" w:lineRule="exact"/>
        <w:rPr>
          <w:sz w:val="20"/>
          <w:szCs w:val="20"/>
          <w:color w:val="auto"/>
        </w:rPr>
      </w:pPr>
    </w:p>
    <w:p>
      <w:pPr>
        <w:jc w:val="both"/>
        <w:ind w:left="1300" w:hanging="323"/>
        <w:spacing w:after="0" w:line="242" w:lineRule="auto"/>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The Executive acknowledges that all originals and copies of materials, records and documents generated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by him or coming into his possession during his employment by the Company (prior to or during the Term) are the sole property of the Company or its subsidiaries or affiliates (“</w:t>
      </w: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 During the period the Executive is employed by the Company, and at all times thereafter, the Executive shall not remove, or cause to be removed, from the premises of the Company or any of its subsidiaries or affiliates, copies of any record, file, memorandum, document, computer related information or equipment, or any other item relating to the business of the Company, except in furtherance of his duties under this Agreement. When the Executive’s employment with the Company terminates, or upon request of the Company at any time, the Executive</w:t>
      </w:r>
    </w:p>
    <w:p>
      <w:pPr>
        <w:sectPr>
          <w:pgSz w:w="11900" w:h="16838" w:orient="portrait"/>
          <w:cols w:equalWidth="0" w:num="1">
            <w:col w:w="11240"/>
          </w:cols>
          <w:pgMar w:left="320" w:top="1408" w:right="339" w:bottom="1440" w:gutter="0" w:footer="0" w:header="0"/>
        </w:sectPr>
      </w:pPr>
    </w:p>
    <w:bookmarkStart w:id="183" w:name="page184"/>
    <w:bookmarkEnd w:id="183"/>
    <w:p>
      <w:pPr>
        <w:jc w:val="center"/>
        <w:ind w:right="40"/>
        <w:spacing w:after="0"/>
        <w:rPr>
          <w:sz w:val="20"/>
          <w:szCs w:val="20"/>
          <w:color w:val="auto"/>
        </w:rPr>
      </w:pPr>
      <w:r>
        <w:rPr>
          <w:rFonts w:ascii="Times New Roman" w:cs="Times New Roman" w:eastAsia="Times New Roman" w:hAnsi="Times New Roman"/>
          <w:sz w:val="22"/>
          <w:szCs w:val="22"/>
          <w:color w:val="auto"/>
        </w:rPr>
        <w:t>shall promptly deliver to the Company all copies of Company Property in his possession or control.</w:t>
      </w:r>
    </w:p>
    <w:p>
      <w:pPr>
        <w:spacing w:after="0" w:line="14" w:lineRule="exact"/>
        <w:rPr>
          <w:sz w:val="20"/>
          <w:szCs w:val="20"/>
          <w:color w:val="auto"/>
        </w:rPr>
      </w:pPr>
    </w:p>
    <w:p>
      <w:pPr>
        <w:jc w:val="both"/>
        <w:ind w:left="1300" w:hanging="323"/>
        <w:spacing w:after="0"/>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The Executive agrees that he shall not, during the period the Executive is employed by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Company and at any time thereafter, publish or communicate to any person or entity any Disparaging remarks, comments or statements concerning the Company and its directors, officers, shareholders, employees, agents, attorneys, successors and assigns and the Company agrees that during the period the Executive is employed by the Company and at any time thereafter, it shall not, and it shall use its reasonable efforts to cause its directors and officers not to, publish or communicate to any person or entity any Disparaging remarks, comments or statements concerning the Executive;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nothing contained in this Section 6.6 shall preclude either Party from providing truthful testimony in connection with a valid subpoena, court order, regulatory request, other legal proceeding, or as may be required by law. “</w:t>
      </w:r>
      <w:r>
        <w:rPr>
          <w:rFonts w:ascii="Times New Roman" w:cs="Times New Roman" w:eastAsia="Times New Roman" w:hAnsi="Times New Roman"/>
          <w:sz w:val="21"/>
          <w:szCs w:val="21"/>
          <w:u w:val="single" w:color="auto"/>
          <w:color w:val="auto"/>
        </w:rPr>
        <w:t>Disparaging</w:t>
      </w:r>
      <w:r>
        <w:rPr>
          <w:rFonts w:ascii="Times New Roman" w:cs="Times New Roman" w:eastAsia="Times New Roman" w:hAnsi="Times New Roman"/>
          <w:sz w:val="21"/>
          <w:szCs w:val="21"/>
          <w:color w:val="auto"/>
        </w:rPr>
        <w:t>” remarks, comments or statements are those that impugn the character, honesty, integrity or morality of the individual or entity being disparaged.</w:t>
      </w:r>
    </w:p>
    <w:p>
      <w:pPr>
        <w:spacing w:after="0" w:line="2" w:lineRule="exact"/>
        <w:rPr>
          <w:sz w:val="20"/>
          <w:szCs w:val="20"/>
          <w:color w:val="auto"/>
        </w:rPr>
      </w:pPr>
    </w:p>
    <w:p>
      <w:pPr>
        <w:jc w:val="both"/>
        <w:ind w:left="1300" w:hanging="323"/>
        <w:spacing w:after="0" w:line="249"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1"/>
          <w:szCs w:val="21"/>
          <w:u w:val="single" w:color="auto"/>
          <w:color w:val="auto"/>
        </w:rPr>
        <w:t>Reasonableness of Covenants</w:t>
      </w:r>
      <w:r>
        <w:rPr>
          <w:rFonts w:ascii="Times New Roman" w:cs="Times New Roman" w:eastAsia="Times New Roman" w:hAnsi="Times New Roman"/>
          <w:sz w:val="21"/>
          <w:szCs w:val="21"/>
          <w:color w:val="auto"/>
        </w:rPr>
        <w:t>. The Parties agree that the duration and area for which the covenants set forth in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Section 6 apply are reasonable. In the event that any arbitrator or court of competent jurisdiction determines that the time period or the area or both are</w:t>
      </w:r>
    </w:p>
    <w:p>
      <w:pPr>
        <w:spacing w:after="0" w:line="19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unreasonable and any such covenant is to that extent unenforceable, the Company and the Executive agree that such covenant shall be modified to remain in full force and effect for the greatest time period and in the greatest area that would not render it unenforceable.</w:t>
      </w:r>
    </w:p>
    <w:p>
      <w:pPr>
        <w:spacing w:after="0" w:line="3" w:lineRule="exact"/>
        <w:rPr>
          <w:sz w:val="20"/>
          <w:szCs w:val="20"/>
          <w:color w:val="auto"/>
        </w:rPr>
      </w:pPr>
    </w:p>
    <w:p>
      <w:pPr>
        <w:jc w:val="both"/>
        <w:ind w:left="1300" w:hanging="323"/>
        <w:spacing w:after="0"/>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1"/>
          <w:szCs w:val="21"/>
          <w:u w:val="single" w:color="auto"/>
          <w:color w:val="auto"/>
        </w:rPr>
        <w:t>Remedies; Specific Performance</w:t>
      </w:r>
      <w:r>
        <w:rPr>
          <w:rFonts w:ascii="Times New Roman" w:cs="Times New Roman" w:eastAsia="Times New Roman" w:hAnsi="Times New Roman"/>
          <w:sz w:val="21"/>
          <w:szCs w:val="21"/>
          <w:color w:val="auto"/>
        </w:rPr>
        <w:t>. The Parties acknowledge and agree that the Executive’s breach or threatened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breach of any of the restrictions set forth in Section 6 or the Company’s breach or threatened breach of the restrictions set forth in Section 6.6 shall result in irreparable and continuing damage to the Protected Parties or the Executive for which there may be no adequate remedy at law and that the Protected Parties or the Executive shall be entitled to seek equitable relief, including specific performance and injunctive relief as remedies for any such breach or threatened or attempted breach, without requiring the posting of a bond. The Parties hereby consent to the grant of an injunction (temporary or otherwise) against the other Party or the entry of any other court order against the other party prohibiting and enjoining him or it from violating, or directing him or it to comply with any provision of Section 6. The Parties also agree that such remedies shall be in addition to any and all remedies, including damages, available to the Protected Parties or the Executive for such breaches or threatened or attempted breaches.</w:t>
      </w:r>
    </w:p>
    <w:p>
      <w:pPr>
        <w:spacing w:after="0" w:line="235" w:lineRule="exact"/>
        <w:rPr>
          <w:sz w:val="20"/>
          <w:szCs w:val="20"/>
          <w:color w:val="auto"/>
        </w:rPr>
      </w:pPr>
    </w:p>
    <w:p>
      <w:pPr>
        <w:ind w:left="660" w:hanging="328"/>
        <w:spacing w:after="0"/>
        <w:tabs>
          <w:tab w:leader="none" w:pos="6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jc w:val="both"/>
        <w:ind w:left="1300" w:hanging="323"/>
        <w:spacing w:after="0" w:line="245"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Any notice or other communication required or which may be given hereunder shall be in writing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shall be delivered personally, sent by facsimile transmission or sent by certified, registered or express mail, postage prepaid or overnight mail and shall be deemed given when so delivered personally, or sent by facsimile transmission or, if mailed, four (4) business days after the date of mailing or one (1) business day after overnight mail, addressed to such party at</w:t>
      </w:r>
    </w:p>
    <w:p>
      <w:pPr>
        <w:sectPr>
          <w:pgSz w:w="11900" w:h="16838" w:orient="portrait"/>
          <w:cols w:equalWidth="0" w:num="1">
            <w:col w:w="11240"/>
          </w:cols>
          <w:pgMar w:left="320" w:top="1408" w:right="339" w:bottom="1440" w:gutter="0" w:footer="0" w:header="0"/>
        </w:sectPr>
      </w:pPr>
    </w:p>
    <w:bookmarkStart w:id="184" w:name="page185"/>
    <w:bookmarkEnd w:id="184"/>
    <w:p>
      <w:pPr>
        <w:ind w:left="1300"/>
        <w:spacing w:after="0" w:line="241" w:lineRule="auto"/>
        <w:rPr>
          <w:sz w:val="20"/>
          <w:szCs w:val="20"/>
          <w:color w:val="auto"/>
        </w:rPr>
      </w:pPr>
      <w:r>
        <w:rPr>
          <w:rFonts w:ascii="Times New Roman" w:cs="Times New Roman" w:eastAsia="Times New Roman" w:hAnsi="Times New Roman"/>
          <w:sz w:val="22"/>
          <w:szCs w:val="22"/>
          <w:color w:val="auto"/>
        </w:rPr>
        <w:t>the address set forth below or such other address as may hereafter be designated in writing by the addressee as follows:</w:t>
      </w:r>
    </w:p>
    <w:p>
      <w:pPr>
        <w:spacing w:after="0" w:line="2" w:lineRule="exact"/>
        <w:rPr>
          <w:sz w:val="20"/>
          <w:szCs w:val="20"/>
          <w:color w:val="auto"/>
        </w:rPr>
      </w:pPr>
    </w:p>
    <w:p>
      <w:pPr>
        <w:ind w:left="1620"/>
        <w:spacing w:after="0"/>
        <w:tabs>
          <w:tab w:leader="none" w:pos="258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21"/>
          <w:szCs w:val="21"/>
          <w:color w:val="auto"/>
        </w:rPr>
        <w:t>If the Company, to:</w:t>
      </w:r>
    </w:p>
    <w:p>
      <w:pPr>
        <w:ind w:left="2600"/>
        <w:spacing w:after="0" w:line="231" w:lineRule="auto"/>
        <w:rPr>
          <w:sz w:val="20"/>
          <w:szCs w:val="20"/>
          <w:color w:val="auto"/>
        </w:rPr>
      </w:pPr>
      <w:r>
        <w:rPr>
          <w:rFonts w:ascii="Times New Roman" w:cs="Times New Roman" w:eastAsia="Times New Roman" w:hAnsi="Times New Roman"/>
          <w:sz w:val="22"/>
          <w:szCs w:val="22"/>
          <w:color w:val="auto"/>
        </w:rPr>
        <w:t>Amalgamated Bank 275 Seventh Avenue</w:t>
      </w:r>
    </w:p>
    <w:p>
      <w:pPr>
        <w:ind w:left="2600"/>
        <w:spacing w:after="0" w:line="231" w:lineRule="auto"/>
        <w:rPr>
          <w:sz w:val="20"/>
          <w:szCs w:val="20"/>
          <w:color w:val="auto"/>
        </w:rPr>
      </w:pPr>
      <w:r>
        <w:rPr>
          <w:rFonts w:ascii="Times New Roman" w:cs="Times New Roman" w:eastAsia="Times New Roman" w:hAnsi="Times New Roman"/>
          <w:sz w:val="22"/>
          <w:szCs w:val="22"/>
          <w:color w:val="auto"/>
        </w:rPr>
        <w:t>New York, New York 10001 Attention: Chairman of the Board Telephone: (212) 255-6200</w:t>
      </w:r>
    </w:p>
    <w:p>
      <w:pPr>
        <w:ind w:left="2600"/>
        <w:spacing w:after="0" w:line="218" w:lineRule="auto"/>
        <w:rPr>
          <w:sz w:val="20"/>
          <w:szCs w:val="20"/>
          <w:color w:val="auto"/>
        </w:rPr>
      </w:pPr>
      <w:r>
        <w:rPr>
          <w:rFonts w:ascii="Times New Roman" w:cs="Times New Roman" w:eastAsia="Times New Roman" w:hAnsi="Times New Roman"/>
          <w:sz w:val="22"/>
          <w:szCs w:val="22"/>
          <w:color w:val="auto"/>
        </w:rPr>
        <w:t>Fax: (212) 895-4428</w:t>
      </w:r>
    </w:p>
    <w:p>
      <w:pPr>
        <w:ind w:left="1960"/>
        <w:spacing w:after="0" w:line="230" w:lineRule="auto"/>
        <w:rPr>
          <w:sz w:val="20"/>
          <w:szCs w:val="20"/>
          <w:color w:val="auto"/>
        </w:rPr>
      </w:pPr>
      <w:r>
        <w:rPr>
          <w:rFonts w:ascii="Times New Roman" w:cs="Times New Roman" w:eastAsia="Times New Roman" w:hAnsi="Times New Roman"/>
          <w:sz w:val="22"/>
          <w:szCs w:val="22"/>
          <w:color w:val="auto"/>
        </w:rPr>
        <w:t>With a copy to:</w:t>
      </w:r>
    </w:p>
    <w:p>
      <w:pPr>
        <w:ind w:left="2600"/>
        <w:spacing w:after="0" w:line="231" w:lineRule="auto"/>
        <w:rPr>
          <w:sz w:val="20"/>
          <w:szCs w:val="20"/>
          <w:color w:val="auto"/>
        </w:rPr>
      </w:pPr>
      <w:r>
        <w:rPr>
          <w:rFonts w:ascii="Times New Roman" w:cs="Times New Roman" w:eastAsia="Times New Roman" w:hAnsi="Times New Roman"/>
          <w:sz w:val="22"/>
          <w:szCs w:val="22"/>
          <w:color w:val="auto"/>
        </w:rPr>
        <w:t>Amalgamated Financial Corp. 275 Seventh Avenue</w:t>
      </w:r>
    </w:p>
    <w:p>
      <w:pPr>
        <w:ind w:left="2600"/>
        <w:spacing w:after="0" w:line="230" w:lineRule="auto"/>
        <w:rPr>
          <w:sz w:val="20"/>
          <w:szCs w:val="20"/>
          <w:color w:val="auto"/>
        </w:rPr>
      </w:pPr>
      <w:r>
        <w:rPr>
          <w:rFonts w:ascii="Times New Roman" w:cs="Times New Roman" w:eastAsia="Times New Roman" w:hAnsi="Times New Roman"/>
          <w:sz w:val="22"/>
          <w:szCs w:val="22"/>
          <w:color w:val="auto"/>
        </w:rPr>
        <w:t>New York, New York 10001 Attention: General Counsel Telephone: (212) 895 4431</w:t>
      </w:r>
    </w:p>
    <w:p>
      <w:pPr>
        <w:spacing w:after="0" w:line="1" w:lineRule="exact"/>
        <w:rPr>
          <w:sz w:val="20"/>
          <w:szCs w:val="20"/>
          <w:color w:val="auto"/>
        </w:rPr>
      </w:pPr>
    </w:p>
    <w:p>
      <w:pPr>
        <w:ind w:right="3020" w:firstLine="1620"/>
        <w:spacing w:after="0" w:line="258" w:lineRule="auto"/>
        <w:rPr>
          <w:sz w:val="20"/>
          <w:szCs w:val="20"/>
          <w:color w:val="auto"/>
        </w:rPr>
      </w:pPr>
      <w:r>
        <w:rPr>
          <w:rFonts w:ascii="Times New Roman" w:cs="Times New Roman" w:eastAsia="Times New Roman" w:hAnsi="Times New Roman"/>
          <w:sz w:val="20"/>
          <w:szCs w:val="20"/>
          <w:color w:val="auto"/>
        </w:rPr>
        <w:t xml:space="preserve">7.1.1. </w:t>
      </w:r>
      <w:r>
        <w:rPr>
          <w:rFonts w:ascii="Times New Roman" w:cs="Times New Roman" w:eastAsia="Times New Roman" w:hAnsi="Times New Roman"/>
          <w:sz w:val="21"/>
          <w:szCs w:val="21"/>
          <w:color w:val="auto"/>
        </w:rPr>
        <w:t>If the Executive, to the Executive’s home address reflected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Company’s records.</w:t>
      </w:r>
    </w:p>
    <w:p>
      <w:pPr>
        <w:spacing w:after="0" w:line="186" w:lineRule="exact"/>
        <w:rPr>
          <w:sz w:val="20"/>
          <w:szCs w:val="20"/>
          <w:color w:val="auto"/>
        </w:rPr>
      </w:pPr>
    </w:p>
    <w:p>
      <w:pPr>
        <w:jc w:val="both"/>
        <w:ind w:left="1300" w:hanging="323"/>
        <w:spacing w:after="0" w:line="247"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together with the other agreements referenced herein, contain the entire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understanding of the Parties with respect to the subject matter hereof and thereof and supersede all prior and contemporaneous oral or written agreements, negotiations, understandings, statements or proposals with respect to the subject matter hereof and thereof.</w:t>
      </w:r>
    </w:p>
    <w:p>
      <w:pPr>
        <w:spacing w:after="0" w:line="2" w:lineRule="exact"/>
        <w:rPr>
          <w:sz w:val="20"/>
          <w:szCs w:val="20"/>
          <w:color w:val="auto"/>
        </w:rPr>
      </w:pPr>
    </w:p>
    <w:p>
      <w:pPr>
        <w:jc w:val="both"/>
        <w:ind w:left="1300" w:hanging="323"/>
        <w:spacing w:after="0"/>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Executive represents and warrants that he is not a party to or subject to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restrictive covenants, legal restrictions or other agreements in favor of any entity or person which could preclude, inhibit, impair or limit the Executive’s ability to perform his obligations under this Agreement, including, but not limited to, non-competition agreements, non-solicitation agreements or confidentiality agreements. The Company represents and warrants that (a) it has full corporate power and authority to execute and deliver this Agreement and to perform its obligations contemplated hereunder, (b) it has taken all corporate action necessary to authorize the execution and performance of this Agreement, (c) it has obtained all required regulatory or other consents as may be necessary or appropriate to permit it to enter into this Agreement and (d) this Agreement has been duly executed and delivered by it and, assuming due authorization, execution, and delivery of this Agreement by the Executive, is the legal, valid and binding obligation of the Company enforceable against the Company in accordance with its terms.</w:t>
      </w:r>
    </w:p>
    <w:p>
      <w:pPr>
        <w:spacing w:after="0" w:line="245" w:lineRule="exact"/>
        <w:rPr>
          <w:sz w:val="20"/>
          <w:szCs w:val="20"/>
          <w:color w:val="auto"/>
        </w:rPr>
      </w:pPr>
    </w:p>
    <w:p>
      <w:pPr>
        <w:jc w:val="both"/>
        <w:ind w:left="1300" w:hanging="323"/>
        <w:spacing w:after="0" w:line="239"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1"/>
          <w:szCs w:val="21"/>
          <w:u w:val="single" w:color="auto"/>
          <w:color w:val="auto"/>
        </w:rPr>
        <w:t>Waiver and Amendments</w:t>
      </w:r>
      <w:r>
        <w:rPr>
          <w:rFonts w:ascii="Times New Roman" w:cs="Times New Roman" w:eastAsia="Times New Roman" w:hAnsi="Times New Roman"/>
          <w:sz w:val="21"/>
          <w:szCs w:val="21"/>
          <w:color w:val="auto"/>
        </w:rPr>
        <w:t>. This Agreement may be modified, amended, superseded, canceled, renewed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extended, and the terms and conditions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right, power or privilege hereunder, nor any single or partial exercise of any right, power or privilege hereunder, preclude any other or further exercise thereof or the exercise of any other right, power or privilege hereunder.</w:t>
      </w:r>
    </w:p>
    <w:p>
      <w:pPr>
        <w:spacing w:after="0" w:line="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1"/>
          <w:szCs w:val="21"/>
          <w:u w:val="single" w:color="auto"/>
          <w:color w:val="auto"/>
        </w:rPr>
        <w:t>Governing Law, Dispute Resolution and Venue</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1960" w:hanging="323"/>
        <w:spacing w:after="0" w:line="235" w:lineRule="auto"/>
        <w:rPr>
          <w:sz w:val="20"/>
          <w:szCs w:val="20"/>
          <w:color w:val="auto"/>
        </w:rPr>
      </w:pPr>
      <w:r>
        <w:rPr>
          <w:rFonts w:ascii="Times New Roman" w:cs="Times New Roman" w:eastAsia="Times New Roman" w:hAnsi="Times New Roman"/>
          <w:sz w:val="20"/>
          <w:szCs w:val="20"/>
          <w:color w:val="auto"/>
        </w:rPr>
        <w:t>7.4.1.</w:t>
      </w:r>
      <w:r>
        <w:rPr>
          <w:sz w:val="20"/>
          <w:szCs w:val="20"/>
          <w:color w:val="auto"/>
        </w:rPr>
        <w:t xml:space="preserve"> </w:t>
      </w:r>
      <w:r>
        <w:rPr>
          <w:rFonts w:ascii="Times New Roman" w:cs="Times New Roman" w:eastAsia="Times New Roman" w:hAnsi="Times New Roman"/>
          <w:sz w:val="22"/>
          <w:szCs w:val="22"/>
          <w:color w:val="auto"/>
        </w:rPr>
        <w:t>This Agreement shall be governed and construed in accordance with the laws of New York applicable to agreements made and to be performed entirely within such state, without regard to conflicts of laws principles, unless superseded by federal law.</w:t>
      </w:r>
    </w:p>
    <w:p>
      <w:pPr>
        <w:sectPr>
          <w:pgSz w:w="11900" w:h="16838" w:orient="portrait"/>
          <w:cols w:equalWidth="0" w:num="1">
            <w:col w:w="11240"/>
          </w:cols>
          <w:pgMar w:left="320" w:top="1408" w:right="339" w:bottom="1440" w:gutter="0" w:footer="0" w:header="0"/>
        </w:sectPr>
      </w:pPr>
    </w:p>
    <w:bookmarkStart w:id="185" w:name="page186"/>
    <w:bookmarkEnd w:id="185"/>
    <w:p>
      <w:pPr>
        <w:jc w:val="both"/>
        <w:ind w:left="1960" w:hanging="323"/>
        <w:spacing w:after="0" w:line="244" w:lineRule="auto"/>
        <w:rPr>
          <w:sz w:val="20"/>
          <w:szCs w:val="20"/>
          <w:color w:val="auto"/>
        </w:rPr>
      </w:pPr>
      <w:r>
        <w:rPr>
          <w:rFonts w:ascii="Times New Roman" w:cs="Times New Roman" w:eastAsia="Times New Roman" w:hAnsi="Times New Roman"/>
          <w:sz w:val="20"/>
          <w:szCs w:val="20"/>
          <w:color w:val="auto"/>
        </w:rPr>
        <w:t>7.4.2.</w:t>
      </w:r>
      <w:r>
        <w:rPr>
          <w:sz w:val="20"/>
          <w:szCs w:val="20"/>
          <w:color w:val="auto"/>
        </w:rPr>
        <w:t xml:space="preserve"> </w:t>
      </w:r>
      <w:r>
        <w:rPr>
          <w:rFonts w:ascii="Times New Roman" w:cs="Times New Roman" w:eastAsia="Times New Roman" w:hAnsi="Times New Roman"/>
          <w:sz w:val="21"/>
          <w:szCs w:val="21"/>
          <w:color w:val="auto"/>
        </w:rPr>
        <w:t>Any controversy or claim arising out of or relating to this Agreement or the breach 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xml:space="preserve"> ”) in New York, New York in accordance with the Employment Dispute Resolution Rules of the AAA, including, but not limited to, the rules and procedures applicable to the selection of arbitrators, except that the arbitrator shall apply the law as established by decisions of the U.S. Supreme Court, the Court of Appeals for the Second Circuit and the U.S. District Court for the Southern District of New York in deciding the merits of claims and defenses under federal law (including without limitation any federal antidiscrimination law). The Company and the Executive specifically agree that the</w:t>
      </w:r>
    </w:p>
    <w:p>
      <w:pPr>
        <w:spacing w:after="0" w:line="20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arbitrator may award injunctive relief.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The parties covenant that they shall participate in the arbitration in good faith. Each party to any arbitration proceeding shall bear its or his own costs and expenses in connection therewith, except as permitted by law or otherwise ordered by the arbitrator in such proceeding. Notwithstanding the foregoing, this Section 7.5 shall not preclude any party hereto from pursuing a court action pursuant to Section 6 or otherwise for the sole purpose of obtaining a temporary restraining order or a preliminary injunction.</w:t>
      </w:r>
    </w:p>
    <w:p>
      <w:pPr>
        <w:spacing w:after="0" w:line="7" w:lineRule="exact"/>
        <w:rPr>
          <w:sz w:val="20"/>
          <w:szCs w:val="20"/>
          <w:color w:val="auto"/>
        </w:rPr>
      </w:pPr>
    </w:p>
    <w:p>
      <w:pPr>
        <w:jc w:val="both"/>
        <w:ind w:left="1300" w:hanging="323"/>
        <w:spacing w:after="0" w:line="241"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Assignability by the Company and the Executive</w:t>
      </w:r>
      <w:r>
        <w:rPr>
          <w:rFonts w:ascii="Times New Roman" w:cs="Times New Roman" w:eastAsia="Times New Roman" w:hAnsi="Times New Roman"/>
          <w:sz w:val="21"/>
          <w:szCs w:val="21"/>
          <w:color w:val="auto"/>
        </w:rPr>
        <w:t>. This Agreement, and the rights and obligations hereunder,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not be assigned by the Company or the Executive without written consent signed by the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may assign this Agreement to any successor that continues the business of the Company, including any person or entity that acquires all or substantially all of the assets of the Company.</w:t>
      </w:r>
    </w:p>
    <w:p>
      <w:pPr>
        <w:spacing w:after="0" w:line="2" w:lineRule="exact"/>
        <w:rPr>
          <w:sz w:val="20"/>
          <w:szCs w:val="20"/>
          <w:color w:val="auto"/>
        </w:rPr>
      </w:pPr>
    </w:p>
    <w:p>
      <w:pPr>
        <w:jc w:val="both"/>
        <w:ind w:left="1300" w:hanging="323"/>
        <w:spacing w:after="0" w:line="241"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This Agreement may be executed in counterparts, each of which shall be deemed an original but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which shall constitute one and the same instrument.</w:t>
      </w:r>
    </w:p>
    <w:p>
      <w:pPr>
        <w:spacing w:after="0" w:line="1" w:lineRule="exact"/>
        <w:rPr>
          <w:sz w:val="20"/>
          <w:szCs w:val="20"/>
          <w:color w:val="auto"/>
        </w:rPr>
      </w:pPr>
    </w:p>
    <w:p>
      <w:pPr>
        <w:jc w:val="both"/>
        <w:ind w:left="1300" w:right="20" w:hanging="323"/>
        <w:spacing w:after="0" w:line="234"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The headings in this Agreement are for convenience of reference only and shall not limit or otherwise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affect the meaning of terms contained herein.</w:t>
      </w:r>
    </w:p>
    <w:p>
      <w:pPr>
        <w:spacing w:after="0" w:line="2" w:lineRule="exact"/>
        <w:rPr>
          <w:sz w:val="20"/>
          <w:szCs w:val="20"/>
          <w:color w:val="auto"/>
        </w:rPr>
      </w:pPr>
    </w:p>
    <w:p>
      <w:pPr>
        <w:jc w:val="both"/>
        <w:ind w:left="1300" w:hanging="323"/>
        <w:spacing w:after="0" w:line="244"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If any term, provision, covenant or restriction of this Agreement, or any part thereof, is held by 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court of competent jurisdiction of any foreign, federal, state, county or local government or any other governmental, regulatory or administrative agency or authority to be invalid, void, unenforceable or against public policy for any reason, the remainder of the terms, provisions, covenants and restrictions of this Agreement shall remain in full force and effect and shall in no way be affected or impaired or invalidated. The Executive acknowledges that the restrictive covenants contained in Section 6 are a condition of this Agreement and are reasonable and valid in temporal scope and in all other respects.</w:t>
      </w:r>
    </w:p>
    <w:p>
      <w:pPr>
        <w:sectPr>
          <w:pgSz w:w="11900" w:h="16838" w:orient="portrait"/>
          <w:cols w:equalWidth="0" w:num="1">
            <w:col w:w="11240"/>
          </w:cols>
          <w:pgMar w:left="320" w:top="1408" w:right="339" w:bottom="1440" w:gutter="0" w:footer="0" w:header="0"/>
        </w:sectPr>
      </w:pPr>
    </w:p>
    <w:bookmarkStart w:id="186" w:name="page187"/>
    <w:bookmarkEnd w:id="186"/>
    <w:p>
      <w:pPr>
        <w:jc w:val="both"/>
        <w:ind w:left="1300" w:hanging="323"/>
        <w:spacing w:after="0" w:line="247"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The Company or other payor is authorized to withhold from any benefit provided or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due hereunder, the amount of withholding taxes due any federal, state or local authority in respect of such benefit or payment and to take such other action as may be necessary in the opinion of the Board to satisfy all obligations for the payment of such withholding taxes.</w:t>
      </w:r>
    </w:p>
    <w:p>
      <w:pPr>
        <w:spacing w:after="0" w:line="2" w:lineRule="exact"/>
        <w:rPr>
          <w:sz w:val="20"/>
          <w:szCs w:val="20"/>
          <w:color w:val="auto"/>
        </w:rPr>
      </w:pPr>
    </w:p>
    <w:p>
      <w:pPr>
        <w:jc w:val="both"/>
        <w:ind w:left="1300" w:hanging="323"/>
        <w:spacing w:after="0" w:line="237"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1"/>
          <w:szCs w:val="21"/>
          <w:u w:val="single" w:color="auto"/>
          <w:color w:val="auto"/>
        </w:rPr>
        <w:t>Tax Advice</w:t>
      </w:r>
      <w:r>
        <w:rPr>
          <w:rFonts w:ascii="Times New Roman" w:cs="Times New Roman" w:eastAsia="Times New Roman" w:hAnsi="Times New Roman"/>
          <w:sz w:val="21"/>
          <w:szCs w:val="21"/>
          <w:color w:val="auto"/>
        </w:rPr>
        <w:t>. Executive acknowledges that no representative or agent of the Company has provided him with 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tax advice of any nature, and Executive has had the opportunity to consult with his own legal, tax and financial advisors as to tax and related matters concerning the compensation to be received under this Agreement.</w:t>
      </w:r>
    </w:p>
    <w:p>
      <w:pPr>
        <w:jc w:val="both"/>
        <w:ind w:left="1300" w:hanging="323"/>
        <w:spacing w:after="0" w:line="247"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1"/>
          <w:szCs w:val="21"/>
          <w:u w:val="single" w:color="auto"/>
          <w:color w:val="auto"/>
        </w:rPr>
        <w:t>Indemnification and Insurance</w:t>
      </w:r>
      <w:r>
        <w:rPr>
          <w:rFonts w:ascii="Times New Roman" w:cs="Times New Roman" w:eastAsia="Times New Roman" w:hAnsi="Times New Roman"/>
          <w:sz w:val="21"/>
          <w:szCs w:val="21"/>
          <w:color w:val="auto"/>
        </w:rPr>
        <w:t>. The Executive shall be indemnified in accordance with the Company’s certificate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incorporation, by-laws, and policies and to the fullest extent permitted by, and in accordance with, applicable law. The Company agrees that it shall promptly move to ensure that the Executive is insured under the Company’s Directors’ and</w:t>
      </w:r>
    </w:p>
    <w:p>
      <w:pPr>
        <w:spacing w:after="0" w:line="19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Officers’ liability insurance policy (including Side A coverage). Subject to the requirements of applicable law, the Company shall indemnify the Executive on a current basis and to the extent the Company acquires insurance to cover all or part of the Company’s indemnification obligations, the Company shall ensure that amounts paid in respect of such insurance are paid on a current basis.</w:t>
      </w:r>
    </w:p>
    <w:p>
      <w:pPr>
        <w:spacing w:after="0" w:line="1" w:lineRule="exact"/>
        <w:rPr>
          <w:sz w:val="20"/>
          <w:szCs w:val="20"/>
          <w:color w:val="auto"/>
        </w:rPr>
      </w:pPr>
    </w:p>
    <w:p>
      <w:pPr>
        <w:jc w:val="both"/>
        <w:ind w:left="1300" w:hanging="323"/>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This Agreement is intended to comply with Code Section 409A to the extent subject thereto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shall be interpreted and administered in compliance therewith. Any term used in this Agreement which is defined in Code Section 409A or the regulations promulgated thereunder (the “</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shall have the meaning set forth therein unless otherwise specifically defined herein. For purposes of determining the timing of payment of any obligations to pay nonqualified deferred compensation (within the meaning of Code Section 409A) under this Agreement that arise in connection with the Executive’s “termination of employment,” “termination” or other similar references, references to termination of employment or similar references shall mean a “separation from service” within the meaning of §1.409A-l(h) of the Regulations. Notwithstanding any other provision of this Agreement, if at the time of such “separation from service”, the Executive is a “specified employee,” as defined in Code Section 409A or the Regulations, and any payments upon such termination under this Agreement hereof shall result in additional tax or interest to the Executive under Code Section 409A, Executive shall not be entitled to receive such payments until the date which is six (6) months after the termination of the Executive’s employment for any reason or, if earlier, the date of the Executive’s death. Each amount to be paid or benefit to be provided to the Executive under this Agreement that constitutes nonqualified deferred compensation subject to Code Section 409A shall be construed as a separate identified payment for purposes of Code Section 409A. If any expense reimbursement payable to the Executive under this Agreement is determined to be “nonqualified deferred compensation” within the meaning of Code Section 409A, including, without limitation any reimbursement under Section 4.4, then the reimbursement shall be made to the Executive as soon as practicable after submission for the reimbursement, but no later than December</w:t>
      </w:r>
    </w:p>
    <w:p>
      <w:pPr>
        <w:sectPr>
          <w:pgSz w:w="11900" w:h="16838" w:orient="portrait"/>
          <w:cols w:equalWidth="0" w:num="1">
            <w:col w:w="11240"/>
          </w:cols>
          <w:pgMar w:left="320" w:top="1408" w:right="339" w:bottom="1440" w:gutter="0" w:footer="0" w:header="0"/>
        </w:sectPr>
      </w:pPr>
    </w:p>
    <w:bookmarkStart w:id="187" w:name="page188"/>
    <w:bookmarkEnd w:id="187"/>
    <w:p>
      <w:pPr>
        <w:ind w:left="1300"/>
        <w:spacing w:after="0" w:line="241" w:lineRule="auto"/>
        <w:rPr>
          <w:sz w:val="20"/>
          <w:szCs w:val="20"/>
          <w:color w:val="auto"/>
        </w:rPr>
      </w:pPr>
      <w:r>
        <w:rPr>
          <w:rFonts w:ascii="Times New Roman" w:cs="Times New Roman" w:eastAsia="Times New Roman" w:hAnsi="Times New Roman"/>
          <w:sz w:val="22"/>
          <w:szCs w:val="22"/>
          <w:color w:val="auto"/>
        </w:rPr>
        <w:t>31 of the year following the year during which such expense was incurred. Any offset, recoupment or clawback provided by Section</w:t>
      </w:r>
    </w:p>
    <w:p>
      <w:pPr>
        <w:spacing w:after="0" w:line="2" w:lineRule="exact"/>
        <w:rPr>
          <w:sz w:val="20"/>
          <w:szCs w:val="20"/>
          <w:color w:val="auto"/>
        </w:rPr>
      </w:pPr>
    </w:p>
    <w:p>
      <w:pPr>
        <w:jc w:val="both"/>
        <w:ind w:left="1300" w:hanging="323"/>
        <w:spacing w:after="0"/>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color w:val="auto"/>
        </w:rPr>
        <w:t>or 7.15, or otherwise permitted in this Agreement, shall be applied to the maximum extent possible to comply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Code Section 409A. In addition, if the Parties become aware that any provision of this Agreement could reasonably be expected to subject the Executive to any additional tax or interest under Code Section 409A, then the Company and the Executive agree to act in good faith to reform such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reform shall (x) maintain, to the maximum extent practicable, the original intent of the applicable provision without subjecting the Executive to such additional tax or interest, and (y) not incur any additional compensation expense as a result of such reformation. Notwithstanding the foregoing, the Company does not represent, warrant or guarantee that any payments that may be made pursuant to this Agreement will not result in inclusion in Executive’s gross income, or any penalty, pursuant to Section 409A(a)(1) of the Code or any similar state or local statute or regulation.</w:t>
      </w:r>
    </w:p>
    <w:p>
      <w:pPr>
        <w:spacing w:after="0" w:line="24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Golden Parachute Provisions</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jc w:val="both"/>
        <w:ind w:left="660" w:hanging="328"/>
        <w:spacing w:after="0" w:line="235" w:lineRule="auto"/>
        <w:tabs>
          <w:tab w:leader="none" w:pos="65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Anything in this Agreement to the contrary notwithstanding, if any payment or benefit to the Executive under this Agreement or otherwise would be a “golden parachute payment” or “indemnification payment” within the meaning of Section 18(k) of the Federal Deposit Insurance Act, such payment or benefit shall not be made unless permitted under</w:t>
      </w:r>
    </w:p>
    <w:p>
      <w:pPr>
        <w:spacing w:after="0" w:line="205" w:lineRule="exact"/>
        <w:rPr>
          <w:sz w:val="20"/>
          <w:szCs w:val="20"/>
          <w:color w:val="auto"/>
        </w:rPr>
      </w:pPr>
    </w:p>
    <w:p>
      <w:pPr>
        <w:ind w:right="1140"/>
        <w:spacing w:after="0" w:line="235" w:lineRule="auto"/>
        <w:rPr>
          <w:sz w:val="20"/>
          <w:szCs w:val="20"/>
          <w:color w:val="auto"/>
        </w:rPr>
      </w:pPr>
      <w:r>
        <w:rPr>
          <w:rFonts w:ascii="Times New Roman" w:cs="Times New Roman" w:eastAsia="Times New Roman" w:hAnsi="Times New Roman"/>
          <w:sz w:val="22"/>
          <w:szCs w:val="22"/>
          <w:color w:val="auto"/>
        </w:rPr>
        <w:t>applicable law. The Company shall use best efforts promptly to apply to the appropriate federal banking agency for a determination that any golden parachute payment is permissible.</w:t>
      </w:r>
    </w:p>
    <w:p>
      <w:pPr>
        <w:spacing w:after="0" w:line="1" w:lineRule="exact"/>
        <w:rPr>
          <w:sz w:val="20"/>
          <w:szCs w:val="20"/>
          <w:color w:val="auto"/>
        </w:rPr>
      </w:pPr>
    </w:p>
    <w:p>
      <w:pPr>
        <w:jc w:val="both"/>
        <w:ind w:left="660" w:hanging="328"/>
        <w:spacing w:after="0" w:line="230" w:lineRule="auto"/>
        <w:tabs>
          <w:tab w:leader="none" w:pos="649"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In the event that the benefits provided for in the Agreement, when aggregated with any other payments or benefits received by the Executive (the “</w:t>
      </w:r>
      <w:r>
        <w:rPr>
          <w:rFonts w:ascii="Times New Roman" w:cs="Times New Roman" w:eastAsia="Times New Roman" w:hAnsi="Times New Roman"/>
          <w:sz w:val="22"/>
          <w:szCs w:val="22"/>
          <w:u w:val="single" w:color="auto"/>
          <w:color w:val="auto"/>
        </w:rPr>
        <w:t>Aggregate Benefits</w:t>
      </w:r>
      <w:r>
        <w:rPr>
          <w:rFonts w:ascii="Times New Roman" w:cs="Times New Roman" w:eastAsia="Times New Roman" w:hAnsi="Times New Roman"/>
          <w:sz w:val="22"/>
          <w:szCs w:val="22"/>
          <w:color w:val="auto"/>
        </w:rPr>
        <w:t>”), would (i) constitute “parachute payments” within the meaning of Section 280G of the Code, and (ii) would be subject to the excise tax imposed by Section 4999 of the Code (the “</w:t>
      </w:r>
      <w:r>
        <w:rPr>
          <w:rFonts w:ascii="Times New Roman" w:cs="Times New Roman" w:eastAsia="Times New Roman" w:hAnsi="Times New Roman"/>
          <w:sz w:val="22"/>
          <w:szCs w:val="22"/>
          <w:u w:val="single" w:color="auto"/>
          <w:color w:val="auto"/>
        </w:rPr>
        <w:t>Excise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then the Executive’s Aggregate Benefits will be either: (a) delivered in full, or (b) delivered as to such lesser extent as would result in no portion of such Aggregate Benefits being subject to the Excise Tax, whichever of the foregoing amounts, taking into account the applicable federal, state and local income taxes and the Excise Tax, results in the receipt by the Executive on an after-tax basis of the greatest amount of Aggregate Benefits, notwithstanding that all or some portion of such Aggregate Benefits may be taxable under Section 4999 of the Code. Unless the Company and the Executive otherwise agree in writing, any determination required under this paragraph will be made in writing by an independent certified public accounting firm mutually agreeable to the Company and the Executive (the “</w:t>
      </w:r>
      <w:r>
        <w:rPr>
          <w:rFonts w:ascii="Times New Roman" w:cs="Times New Roman" w:eastAsia="Times New Roman" w:hAnsi="Times New Roman"/>
          <w:sz w:val="22"/>
          <w:szCs w:val="22"/>
          <w:u w:val="single" w:color="auto"/>
          <w:color w:val="auto"/>
        </w:rPr>
        <w:t>Accounting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Firm</w:t>
      </w:r>
      <w:r>
        <w:rPr>
          <w:rFonts w:ascii="Times New Roman" w:cs="Times New Roman" w:eastAsia="Times New Roman" w:hAnsi="Times New Roman"/>
          <w:sz w:val="22"/>
          <w:szCs w:val="22"/>
          <w:color w:val="auto"/>
        </w:rPr>
        <w:t>”) whose determination will be conclusive and binding upon Executive and the Company for all purposes. For purposes of making the calculations required by this paragraph, the Accounting Firm may make reasonable assumptions and approximations concerning applicable taxes and may rely on reasonable, good faith interpretations concerning the application of Sections 280G and 4999 of the Code. The Company and the Executive will furnish to the Accounting Firm such information and documents as the Accounting Firm may reasonably request in order to make a determination under this paragraph. To the extent any reduction in Aggregate Benefits is required by this paragraph, Aggregate Benefits shall be reduced or eliminated in reverse order of time of payment (that is, Aggregate Benefits payable later shall be reduced or eliminated before any reduction or elimination of Aggregate Benefits payable sooner), Aggregate Benefits payable at the same time shall be reduced or eliminated in</w:t>
      </w:r>
    </w:p>
    <w:p>
      <w:pPr>
        <w:sectPr>
          <w:pgSz w:w="11900" w:h="16838" w:orient="portrait"/>
          <w:cols w:equalWidth="0" w:num="1">
            <w:col w:w="11240"/>
          </w:cols>
          <w:pgMar w:left="320" w:top="1408" w:right="339" w:bottom="1440" w:gutter="0" w:footer="0" w:header="0"/>
        </w:sectPr>
      </w:pPr>
    </w:p>
    <w:bookmarkStart w:id="188" w:name="page189"/>
    <w:bookmarkEnd w:id="188"/>
    <w:p>
      <w:pPr>
        <w:jc w:val="both"/>
        <w:ind w:left="660"/>
        <w:spacing w:after="0" w:line="236" w:lineRule="auto"/>
        <w:rPr>
          <w:sz w:val="20"/>
          <w:szCs w:val="20"/>
          <w:color w:val="auto"/>
        </w:rPr>
      </w:pPr>
      <w:r>
        <w:rPr>
          <w:rFonts w:ascii="Times New Roman" w:cs="Times New Roman" w:eastAsia="Times New Roman" w:hAnsi="Times New Roman"/>
          <w:sz w:val="22"/>
          <w:szCs w:val="22"/>
          <w:color w:val="auto"/>
        </w:rPr>
        <w:t>accordance with the Executive’s instructions provided the Company has no reasonable objection thereto, and all reductions or eliminations shall be based on the value of the Aggregate Benefits established for purposes of the determination required under this paragraph. All fees and expenses of the Accounting Firm shall be borne solely by the Company.</w:t>
      </w:r>
    </w:p>
    <w:p>
      <w:pPr>
        <w:spacing w:after="0" w:line="1" w:lineRule="exact"/>
        <w:rPr>
          <w:sz w:val="20"/>
          <w:szCs w:val="20"/>
          <w:color w:val="auto"/>
        </w:rPr>
      </w:pPr>
    </w:p>
    <w:p>
      <w:pPr>
        <w:jc w:val="both"/>
        <w:ind w:left="660" w:hanging="328"/>
        <w:spacing w:after="0" w:line="230" w:lineRule="auto"/>
        <w:tabs>
          <w:tab w:leader="none" w:pos="6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provisions of this Agreement are subject to and shall be interpreted to be consistent with Applicable Law, which terms control over the terms of this Agreement in the event of a conflict between Applicable Law and this Agreement. Notwithstanding anything herein to the contrary, no payment or benefit shall be paid or provided to the Executive or be vested or accrued if any such payment or benefit, vesting or accrual would violate Applicable Law and, to the extent any such payment or benefit that has been paid, provided, vested or accrued is determined to be in violation of Applicable Law, any such payment or benefit shall be subject to recoupment or cancellation. In the event of any such violation, the Executive and the Company shall cooperate in good faith to endeavor to meet the requirements of Applicable Law in a manner that preserves to the greatest extent possible the intent and purposes of this Amendment.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the laws, statutes, rules, regulations, treaties, directives, guidelines, ordinances, codes, administrative or judicial precedents or authorities and orders of any Governmental Authority, as well as the interpretation or administration thereof by any Governmental Authority charged with the enforcement, interpretation or administration thereof, and all applicable administrative orders, decisions, judgments, directed duties, requests, licenses, authorizations, decrees and permits of, and agreements with any Governmental Authority, to which</w:t>
      </w:r>
    </w:p>
    <w:p>
      <w:pPr>
        <w:spacing w:after="0" w:line="19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or the Executive are a party or by which the Company or the Executive are bound, in each case whether or not having the force of law, and all orders, decisions, judgments, and decrees of all courts or arbitrators in proceedings or actions to which the Company or the Executive are a party or by which the Company or the Executive are bound. “</w:t>
      </w:r>
      <w:r>
        <w:rPr>
          <w:rFonts w:ascii="Times New Roman" w:cs="Times New Roman" w:eastAsia="Times New Roman" w:hAnsi="Times New Roman"/>
          <w:sz w:val="22"/>
          <w:szCs w:val="22"/>
          <w:u w:val="single" w:color="auto"/>
          <w:color w:val="auto"/>
        </w:rPr>
        <w:t>Governmental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Authority</w:t>
      </w:r>
      <w:r>
        <w:rPr>
          <w:rFonts w:ascii="Times New Roman" w:cs="Times New Roman" w:eastAsia="Times New Roman" w:hAnsi="Times New Roman"/>
          <w:sz w:val="22"/>
          <w:szCs w:val="22"/>
          <w:color w:val="auto"/>
        </w:rPr>
        <w:t>” means the United States of America, any state or territory thereof and any federal, state, provincial, city, town, municipality, county or local authority, including without limitation, the Federal Deposit Insurance Corporation, the New York State Department of Financial Services, and any board, bureau, instrumentality, agency or other entity exercising executive, legislative, judicial, taxing, regulatory or administrative powers or functions of or pertaining to government.</w:t>
      </w:r>
    </w:p>
    <w:p>
      <w:pPr>
        <w:spacing w:after="0" w:line="6" w:lineRule="exact"/>
        <w:rPr>
          <w:sz w:val="20"/>
          <w:szCs w:val="20"/>
          <w:color w:val="auto"/>
        </w:rPr>
      </w:pPr>
    </w:p>
    <w:p>
      <w:pPr>
        <w:jc w:val="both"/>
        <w:ind w:left="1300" w:hanging="323"/>
        <w:spacing w:after="0" w:line="241"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1"/>
          <w:szCs w:val="21"/>
          <w:u w:val="single" w:color="auto"/>
          <w:color w:val="auto"/>
        </w:rPr>
        <w:t>Claw-Back and Forfeiture</w:t>
      </w:r>
      <w:r>
        <w:rPr>
          <w:rFonts w:ascii="Times New Roman" w:cs="Times New Roman" w:eastAsia="Times New Roman" w:hAnsi="Times New Roman"/>
          <w:sz w:val="21"/>
          <w:szCs w:val="21"/>
          <w:color w:val="auto"/>
        </w:rPr>
        <w:t>. This Agreement and any Annual Bonus, Equity Plan or other incentive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performance-based compensation paid or payable to the Executive pursuant to this Agreement or under any other plan or arrangement adopted by the Company (collectively, “</w:t>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shall be subject in all respects to the Company’s Policy on Sound Executive Compensation and any other compensation claw-back or forfeiture policy implemented by the Company from time to time and applicable to all officers of the Company on the same terms and conditions, including without limitation, any such policy adopted to comply with the requirements of applicable law or the rules and regulations of any stock exchange applicable to the Company, and any revisions or amendments to any of the foregoing policies adopted by the Company from time to time and applicable to all officers of the Company on the same terms and conditions (collectively,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The Executive acknowledges and agrees that, if the Company is permitted to and does</w:t>
      </w:r>
    </w:p>
    <w:p>
      <w:pPr>
        <w:sectPr>
          <w:pgSz w:w="11900" w:h="16838" w:orient="portrait"/>
          <w:cols w:equalWidth="0" w:num="1">
            <w:col w:w="11240"/>
          </w:cols>
          <w:pgMar w:left="320" w:top="1408" w:right="339" w:bottom="1440" w:gutter="0" w:footer="0" w:header="0"/>
        </w:sectPr>
      </w:pPr>
    </w:p>
    <w:bookmarkStart w:id="189" w:name="page190"/>
    <w:bookmarkEnd w:id="189"/>
    <w:p>
      <w:pPr>
        <w:jc w:val="both"/>
        <w:ind w:left="1300"/>
        <w:spacing w:after="0" w:line="238" w:lineRule="auto"/>
        <w:rPr>
          <w:sz w:val="20"/>
          <w:szCs w:val="20"/>
          <w:color w:val="auto"/>
        </w:rPr>
      </w:pPr>
      <w:r>
        <w:rPr>
          <w:rFonts w:ascii="Times New Roman" w:cs="Times New Roman" w:eastAsia="Times New Roman" w:hAnsi="Times New Roman"/>
          <w:sz w:val="22"/>
          <w:szCs w:val="22"/>
          <w:color w:val="auto"/>
        </w:rPr>
        <w:t>affirmatively effect a claw-back or forfeiture of Incentive Compensation pursuant to the Claw-Back Policy, the Company shall be entitled to recover or retain any Incentive Compensation paid or payable to the Executive in accordance with the terms and conditions of the Claw-Back Policy.</w:t>
      </w:r>
    </w:p>
    <w:p>
      <w:pPr>
        <w:jc w:val="both"/>
        <w:ind w:left="1300" w:hanging="323"/>
        <w:spacing w:after="0" w:line="238"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1"/>
          <w:szCs w:val="21"/>
          <w:u w:val="single" w:color="auto"/>
          <w:color w:val="auto"/>
        </w:rPr>
        <w:t>Execution</w:t>
      </w:r>
      <w:r>
        <w:rPr>
          <w:rFonts w:ascii="Times New Roman" w:cs="Times New Roman" w:eastAsia="Times New Roman" w:hAnsi="Times New Roman"/>
          <w:sz w:val="21"/>
          <w:szCs w:val="21"/>
          <w:color w:val="auto"/>
        </w:rPr>
        <w:t>. This Agreement may be executed in several counterparts (including counterparts by email, facsimile,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portable document format (pdf) or any electronic signature complying with the U.S. federal ESIGN Act of 2000 (including DocuSign)), each of which shall be deemed an original and all of which shall together constitute one and the same instrument.</w:t>
      </w:r>
    </w:p>
    <w:p>
      <w:pPr>
        <w:spacing w:after="0" w:line="1" w:lineRule="exact"/>
        <w:rPr>
          <w:sz w:val="20"/>
          <w:szCs w:val="20"/>
          <w:color w:val="auto"/>
        </w:rPr>
      </w:pPr>
    </w:p>
    <w:p>
      <w:pPr>
        <w:jc w:val="both"/>
        <w:ind w:left="1300" w:hanging="323"/>
        <w:spacing w:after="0" w:line="241"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1"/>
          <w:szCs w:val="21"/>
          <w:u w:val="single" w:color="auto"/>
          <w:color w:val="auto"/>
        </w:rPr>
        <w:t>Legal Representation and Independent Review</w:t>
      </w:r>
      <w:r>
        <w:rPr>
          <w:rFonts w:ascii="Times New Roman" w:cs="Times New Roman" w:eastAsia="Times New Roman" w:hAnsi="Times New Roman"/>
          <w:sz w:val="21"/>
          <w:szCs w:val="21"/>
          <w:color w:val="auto"/>
        </w:rPr>
        <w:t>. Executive acknowledges that he was advised to consult with,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has had ample opportunity to receive the advice of, independent legal counsel before executing this Agreement – and the Company hereby advises Executive to do so – and that Executive has fully exercised that opportunity to the extent he desired. Executive acknowledges that he had ample opportunity to consider this Agreement and to receive an explanation from such legal counsel of the legal nature, effect, ramifications, and consequences of this Agreement. Executive warrants that he has carefully read this Agreement, that he understands completely its contents, that he understands the significance, nature, effect, and consequences of signing it, and that he has agreed to and signed this Agreement knowingly and voluntarily of his own free will, act, and deed, and for full and sufficient consideration.</w:t>
      </w:r>
    </w:p>
    <w:p>
      <w:pPr>
        <w:spacing w:after="0" w:line="247" w:lineRule="exact"/>
        <w:rPr>
          <w:sz w:val="20"/>
          <w:szCs w:val="20"/>
          <w:color w:val="auto"/>
        </w:rPr>
      </w:pPr>
    </w:p>
    <w:p>
      <w:pPr>
        <w:ind w:right="180"/>
        <w:spacing w:after="0" w:line="231" w:lineRule="auto"/>
        <w:rPr>
          <w:sz w:val="20"/>
          <w:szCs w:val="20"/>
          <w:color w:val="auto"/>
        </w:rPr>
      </w:pPr>
      <w:r>
        <w:rPr>
          <w:rFonts w:ascii="Times New Roman" w:cs="Times New Roman" w:eastAsia="Times New Roman" w:hAnsi="Times New Roman"/>
          <w:sz w:val="22"/>
          <w:szCs w:val="22"/>
          <w:color w:val="auto"/>
        </w:rPr>
        <w:t>IN WITNESS WHEREOF, the Parties hereto, intending to be legally bound hereby, have executed this Agreement as of the day and year first above mentioned.</w:t>
      </w:r>
    </w:p>
    <w:p>
      <w:pPr>
        <w:spacing w:after="0" w:line="272" w:lineRule="exact"/>
        <w:rPr>
          <w:sz w:val="20"/>
          <w:szCs w:val="20"/>
          <w:color w:val="auto"/>
        </w:rPr>
      </w:pPr>
    </w:p>
    <w:p>
      <w:pPr>
        <w:ind w:left="80"/>
        <w:spacing w:after="0"/>
        <w:tabs>
          <w:tab w:leader="none" w:pos="5480" w:val="left"/>
        </w:tabs>
        <w:rPr>
          <w:sz w:val="20"/>
          <w:szCs w:val="20"/>
          <w:color w:val="auto"/>
        </w:rPr>
      </w:pPr>
      <w:r>
        <w:rPr>
          <w:rFonts w:ascii="Times New Roman" w:cs="Times New Roman" w:eastAsia="Times New Roman" w:hAnsi="Times New Roman"/>
          <w:sz w:val="22"/>
          <w:szCs w:val="22"/>
          <w:color w:val="auto"/>
        </w:rPr>
        <w:t>EXECUTIVE:</w:t>
      </w:r>
      <w:r>
        <w:rPr>
          <w:sz w:val="20"/>
          <w:szCs w:val="20"/>
          <w:color w:val="auto"/>
        </w:rPr>
        <w:tab/>
      </w:r>
      <w:r>
        <w:rPr>
          <w:rFonts w:ascii="Times New Roman" w:cs="Times New Roman" w:eastAsia="Times New Roman" w:hAnsi="Times New Roman"/>
          <w:sz w:val="22"/>
          <w:szCs w:val="22"/>
          <w:color w:val="auto"/>
        </w:rPr>
        <w:t>COMPANY:</w:t>
      </w:r>
    </w:p>
    <w:p>
      <w:pPr>
        <w:spacing w:after="0" w:line="2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AMALGAMATED FINANCIAL CORP</w:t>
      </w:r>
    </w:p>
    <w:p>
      <w:pPr>
        <w:spacing w:after="0" w:line="23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By: Name: Priscilla Brown</w:t>
      </w:r>
    </w:p>
    <w:p>
      <w:pPr>
        <w:spacing w:after="0" w:line="22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Title : President and CEO</w:t>
      </w:r>
    </w:p>
    <w:p>
      <w:pPr>
        <w:ind w:left="80"/>
        <w:spacing w:after="0"/>
        <w:rPr>
          <w:sz w:val="20"/>
          <w:szCs w:val="20"/>
          <w:color w:val="auto"/>
        </w:rPr>
      </w:pPr>
      <w:r>
        <w:rPr>
          <w:rFonts w:ascii="Times New Roman" w:cs="Times New Roman" w:eastAsia="Times New Roman" w:hAnsi="Times New Roman"/>
          <w:sz w:val="22"/>
          <w:szCs w:val="22"/>
          <w:color w:val="auto"/>
        </w:rPr>
        <w:t>Tyrone Graham, an individual</w:t>
      </w:r>
    </w:p>
    <w:p>
      <w:pPr>
        <w:sectPr>
          <w:pgSz w:w="11900" w:h="16838" w:orient="portrait"/>
          <w:cols w:equalWidth="0" w:num="1">
            <w:col w:w="11240"/>
          </w:cols>
          <w:pgMar w:left="320" w:top="1408" w:right="339" w:bottom="1440" w:gutter="0" w:footer="0" w:header="0"/>
        </w:sectPr>
      </w:pPr>
    </w:p>
    <w:bookmarkStart w:id="190" w:name="page191"/>
    <w:bookmarkEnd w:id="19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8" w:lineRule="exact"/>
        <w:rPr>
          <w:sz w:val="20"/>
          <w:szCs w:val="20"/>
          <w:color w:val="auto"/>
        </w:rPr>
      </w:pPr>
    </w:p>
    <w:p>
      <w:pPr>
        <w:spacing w:after="0" w:line="244"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April 1, 2024 is entered into by and between Amalgamated Financial Corp.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and Margaret Lanning (the “</w:t>
      </w:r>
      <w:r>
        <w:rPr>
          <w:rFonts w:ascii="Arial" w:cs="Arial" w:eastAsia="Arial" w:hAnsi="Arial"/>
          <w:sz w:val="22"/>
          <w:szCs w:val="22"/>
          <w:u w:val="single" w:color="auto"/>
          <w:color w:val="auto"/>
        </w:rPr>
        <w:t>Executive</w:t>
      </w:r>
      <w:r>
        <w:rPr>
          <w:rFonts w:ascii="Arial" w:cs="Arial" w:eastAsia="Arial" w:hAnsi="Arial"/>
          <w:sz w:val="22"/>
          <w:szCs w:val="22"/>
          <w:color w:val="auto"/>
        </w:rPr>
        <w:t>”)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 References to the Company in this Agreement also include Amalgamated Bank (the “</w:t>
      </w:r>
      <w:r>
        <w:rPr>
          <w:rFonts w:ascii="Arial" w:cs="Arial" w:eastAsia="Arial" w:hAnsi="Arial"/>
          <w:sz w:val="22"/>
          <w:szCs w:val="22"/>
          <w:u w:val="single" w:color="auto"/>
          <w:color w:val="auto"/>
        </w:rPr>
        <w:t>Bank</w:t>
      </w:r>
      <w:r>
        <w:rPr>
          <w:rFonts w:ascii="Arial" w:cs="Arial" w:eastAsia="Arial" w:hAnsi="Arial"/>
          <w:sz w:val="22"/>
          <w:szCs w:val="22"/>
          <w:color w:val="auto"/>
        </w:rPr>
        <w:t>”) and all other subsidiaries of the Company and of the Bank.</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8" w:lineRule="exact"/>
        <w:rPr>
          <w:sz w:val="20"/>
          <w:szCs w:val="20"/>
          <w:color w:val="auto"/>
        </w:rPr>
      </w:pPr>
    </w:p>
    <w:p>
      <w:pPr>
        <w:ind w:right="100"/>
        <w:spacing w:after="0" w:line="269" w:lineRule="auto"/>
        <w:rPr>
          <w:sz w:val="20"/>
          <w:szCs w:val="20"/>
          <w:color w:val="auto"/>
        </w:rPr>
      </w:pPr>
      <w:r>
        <w:rPr>
          <w:rFonts w:ascii="Arial" w:cs="Arial" w:eastAsia="Arial" w:hAnsi="Arial"/>
          <w:sz w:val="21"/>
          <w:szCs w:val="21"/>
          <w:color w:val="auto"/>
        </w:rPr>
        <w:t>WHEREAS, the Company desires to employ the Executive as Executive Vice President and Chief Credit Risk Officer of Amalgamated Financial Corp. and of the Bank, and the Parties wish to establish the terms of such employment effective April 1, 2024, or such earlier date as to which the Parties may mutually agree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 xml:space="preserve">NOW, THEREFORE, in consideration of the mutual promises and conditions herein set forth, the Parties agree as follows: </w:t>
      </w:r>
      <w:r>
        <w:rPr>
          <w:rFonts w:ascii="Times New Roman" w:cs="Times New Roman" w:eastAsia="Times New Roman" w:hAnsi="Times New Roman"/>
          <w:sz w:val="22"/>
          <w:szCs w:val="22"/>
          <w:u w:val="single" w:color="auto"/>
          <w:color w:val="auto"/>
        </w:rPr>
        <w:t>Employment and Acceptance</w:t>
      </w:r>
      <w:r>
        <w:rPr>
          <w:rFonts w:ascii="Times New Roman" w:cs="Times New Roman" w:eastAsia="Times New Roman" w:hAnsi="Times New Roman"/>
          <w:sz w:val="22"/>
          <w:szCs w:val="22"/>
          <w:color w:val="auto"/>
        </w:rPr>
        <w:t>. The Company shall agree to continue to employ the Executive, and the Executive accepts</w:t>
      </w:r>
      <w:r>
        <w:rPr>
          <w:rFonts w:ascii="Arial" w:cs="Arial" w:eastAsia="Arial" w:hAnsi="Arial"/>
          <w:sz w:val="22"/>
          <w:szCs w:val="22"/>
          <w:color w:val="auto"/>
        </w:rPr>
        <w:t xml:space="preserve"> </w:t>
      </w:r>
      <w:r>
        <w:rPr>
          <w:rFonts w:ascii="Times New Roman" w:cs="Times New Roman" w:eastAsia="Times New Roman" w:hAnsi="Times New Roman"/>
          <w:sz w:val="22"/>
          <w:szCs w:val="22"/>
          <w:color w:val="auto"/>
        </w:rPr>
        <w:t xml:space="preserve">such continued employment, subject to the terms of this Agreement. By executing this Agreement, Executive acknowledges and agrees that she is an “at-will” employee, and accordingly that her employment may be terminated at any time, with or without cause, and with or without reason (subject to the termination provisions of Section 5 below).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earlier termination pursuant to Section 5 of this Agreement, the term of this Agreement and the period of Executive’s employment hereunder shall begin as of the Effective Date and shall continue for thirty-six (36) full calendar months thereafter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which shall include any periods covered by renewals hereunder). Commencing on January 1, 2025, and continuing on January 1 of each year thereafter (the “Anniversary Date”), this Agreement shall renew for an additional twelve months such that the remaining term shall be thirty-six months (36) months, unless written notice of nonrenewal is provided to Executive at least ninety (90) days prior to any such Anniversary Date, and such end date, as it may prior thereto be extended by mutual written agreement of the Parties, being the </w:t>
      </w:r>
      <w:r>
        <w:rPr>
          <w:rFonts w:ascii="Times New Roman" w:cs="Times New Roman" w:eastAsia="Times New Roman" w:hAnsi="Times New Roman"/>
          <w:sz w:val="22"/>
          <w:szCs w:val="22"/>
          <w:u w:val="single" w:color="auto"/>
          <w:color w:val="auto"/>
        </w:rPr>
        <w:t>“Term Date”</w:t>
      </w:r>
      <w:r>
        <w:rPr>
          <w:rFonts w:ascii="Times New Roman" w:cs="Times New Roman" w:eastAsia="Times New Roman" w:hAnsi="Times New Roman"/>
          <w:sz w:val="22"/>
          <w:szCs w:val="22"/>
          <w:color w:val="auto"/>
        </w:rPr>
        <w:t>. As used in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refer to the period beginning on the Effective Date and ending on the Term Date, or, if earlier, on the date the Executive’s employment terminates in accordance with Section 5 below. </w:t>
      </w:r>
      <w:r>
        <w:rPr>
          <w:rFonts w:ascii="Times New Roman" w:cs="Times New Roman" w:eastAsia="Times New Roman" w:hAnsi="Times New Roman"/>
          <w:sz w:val="22"/>
          <w:szCs w:val="22"/>
          <w:u w:val="single" w:color="auto"/>
          <w:color w:val="auto"/>
        </w:rPr>
        <w:t>Title and Duties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xml:space="preserve">. The Executive shall serve in the capacity of Executive Vice President and Chief Credit Risk Officer of Amalgamated Financial Corp. and of the Bank and shall report directly to the President and Chief Executive Officer of Amalgamated Financial Corp. and of the Bank (the “CEO”). The Executive shall be classified as an employee exempt from overtime pay pursuant to the executive exemption under federal and state overtime laws.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xml:space="preserve">. The Executive shall have such authority and responsibilities and shall perform such executive duties customarily performed by the Chief Credit Risk Officer of a commercial bank and shall have such other powers and duties as may from time to time be prescribed by the CEO,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duties are consistent with the Executive’s position or other positions that she may hold from time to time. Without limiting the generality of the foregoing, Executive shall have such duties and responsibilities as usually appertain to the CCRO position, as well as those as shall be assigned by the Chief Executive Officer or by the Board of Directors, in accordance with Executive’s</w:t>
      </w:r>
    </w:p>
    <w:p>
      <w:pPr>
        <w:sectPr>
          <w:pgSz w:w="11900" w:h="16838" w:orient="portrait"/>
          <w:cols w:equalWidth="0" w:num="1">
            <w:col w:w="11240"/>
          </w:cols>
          <w:pgMar w:left="320" w:top="1404" w:right="339" w:bottom="1440" w:gutter="0" w:footer="0" w:header="0"/>
        </w:sectPr>
      </w:pPr>
    </w:p>
    <w:bookmarkStart w:id="191" w:name="page192"/>
    <w:bookmarkEnd w:id="191"/>
    <w:p>
      <w:pPr>
        <w:spacing w:after="0" w:line="247" w:lineRule="auto"/>
        <w:rPr>
          <w:sz w:val="20"/>
          <w:szCs w:val="20"/>
          <w:color w:val="auto"/>
        </w:rPr>
      </w:pPr>
      <w:r>
        <w:rPr>
          <w:rFonts w:ascii="Times New Roman" w:cs="Times New Roman" w:eastAsia="Times New Roman" w:hAnsi="Times New Roman"/>
          <w:sz w:val="21"/>
          <w:szCs w:val="21"/>
          <w:color w:val="auto"/>
        </w:rPr>
        <w:t xml:space="preserve">accountability statement. The Executive agrees that during the Term she shall devote her entire working time to the performance of her duties under this Agreement and shall not work for anyone else;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the Company acknowledges that the Executive may serve on such corporate, civic or charitable boards or committees as have been or in the future are disclosed to, and not objected to by, the CEO, such approval not to be unreasonably withheld, and manage the Executive’s personal investments, so long as any such activities do not, individually or in the aggregate, materially interfere with the performance of the Executive’s duties hereunder. </w:t>
      </w:r>
      <w:r>
        <w:rPr>
          <w:rFonts w:ascii="Times New Roman" w:cs="Times New Roman" w:eastAsia="Times New Roman" w:hAnsi="Times New Roman"/>
          <w:sz w:val="21"/>
          <w:szCs w:val="21"/>
          <w:u w:val="single" w:color="auto"/>
          <w:color w:val="auto"/>
        </w:rPr>
        <w:t>Location</w:t>
      </w:r>
      <w:r>
        <w:rPr>
          <w:rFonts w:ascii="Times New Roman" w:cs="Times New Roman" w:eastAsia="Times New Roman" w:hAnsi="Times New Roman"/>
          <w:sz w:val="21"/>
          <w:szCs w:val="21"/>
          <w:color w:val="auto"/>
        </w:rPr>
        <w:t xml:space="preserve">. The Executive’s principal place of work shall be at the Company’s principal office located in New York, New York, subject to reasonable travel requirements on behalf of the Company. </w:t>
      </w:r>
      <w:r>
        <w:rPr>
          <w:rFonts w:ascii="Times New Roman" w:cs="Times New Roman" w:eastAsia="Times New Roman" w:hAnsi="Times New Roman"/>
          <w:sz w:val="21"/>
          <w:szCs w:val="21"/>
          <w:u w:val="single" w:color="auto"/>
          <w:color w:val="auto"/>
        </w:rPr>
        <w:t>Compensation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Term, the Company shall pay the Executive a base salary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xml:space="preserve">”) initially at an annual rate equal to U.S. $360,594, to be paid in accordance with the Company’s payroll practice for all employees, which payroll practices the Company reserves the right to modify at any time. During the Term, the Company may, at the discretion of the Board, at any time and from time to time prospectively (i) increase the Executive’s Base Salary, or (ii) decrease the Executive’s Base Salary as part of an across-the-board percentage reduction,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reduction shall be pari passu with the CEO. </w:t>
      </w:r>
      <w:r>
        <w:rPr>
          <w:rFonts w:ascii="Times New Roman" w:cs="Times New Roman" w:eastAsia="Times New Roman" w:hAnsi="Times New Roman"/>
          <w:sz w:val="21"/>
          <w:szCs w:val="21"/>
          <w:u w:val="single" w:color="auto"/>
          <w:color w:val="auto"/>
        </w:rPr>
        <w:t>Bonuses and Incentive Compensation</w:t>
      </w:r>
      <w:r>
        <w:rPr>
          <w:rFonts w:ascii="Times New Roman" w:cs="Times New Roman" w:eastAsia="Times New Roman" w:hAnsi="Times New Roman"/>
          <w:sz w:val="21"/>
          <w:szCs w:val="21"/>
          <w:color w:val="auto"/>
        </w:rPr>
        <w:t>. During the Term, subject to Section 7.15 of this Agreement, the Executive shall be eligible for incentive compensation to be paid to her by the Company as follows: The Executive shall be eligible to receive an annual bonus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for each fiscal year of the Company during the Term, targeted at forty percent (40%) of Base Salary (as determined on July 1 of each fiscal year in accordance with Section 4.1) (the “</w:t>
      </w:r>
      <w:r>
        <w:rPr>
          <w:rFonts w:ascii="Times New Roman" w:cs="Times New Roman" w:eastAsia="Times New Roman" w:hAnsi="Times New Roman"/>
          <w:sz w:val="21"/>
          <w:szCs w:val="21"/>
          <w:u w:val="single" w:color="auto"/>
          <w:color w:val="auto"/>
        </w:rPr>
        <w:t>Annual Bonus Target</w:t>
      </w:r>
      <w:r>
        <w:rPr>
          <w:rFonts w:ascii="Times New Roman" w:cs="Times New Roman" w:eastAsia="Times New Roman" w:hAnsi="Times New Roman"/>
          <w:sz w:val="21"/>
          <w:szCs w:val="21"/>
          <w:color w:val="auto"/>
        </w:rPr>
        <w:t>”), based on the achievement of multiple specific annual quantitative and qualitative performance metrics established by the CEO, in consultation with the Executive, for such fiscal year, and subject to the terms and conditions of the Company’s annual incentive plan, as it may be amended from time to time. The Executive also shall be entitled to incentive compensation pursuant to the Company’s equity incentive plans (each an “</w:t>
      </w:r>
      <w:r>
        <w:rPr>
          <w:rFonts w:ascii="Times New Roman" w:cs="Times New Roman" w:eastAsia="Times New Roman" w:hAnsi="Times New Roman"/>
          <w:sz w:val="21"/>
          <w:szCs w:val="21"/>
          <w:u w:val="single" w:color="auto"/>
          <w:color w:val="auto"/>
        </w:rPr>
        <w:t>Equity Plan</w:t>
      </w:r>
      <w:r>
        <w:rPr>
          <w:rFonts w:ascii="Times New Roman" w:cs="Times New Roman" w:eastAsia="Times New Roman" w:hAnsi="Times New Roman"/>
          <w:sz w:val="21"/>
          <w:szCs w:val="21"/>
          <w:color w:val="auto"/>
        </w:rPr>
        <w:t>”) adopted by the Board of Directors of Amalgamated Financial Corp. (the “Board”) for each fiscal year of the Term. The aggregate potential value of any annual Equity Plan awards granted to the Executive shall be an amount equal to forty percent (40%) of Base Salary in effect at the commencement of the applicable fiscal year (the “</w:t>
      </w:r>
      <w:r>
        <w:rPr>
          <w:rFonts w:ascii="Times New Roman" w:cs="Times New Roman" w:eastAsia="Times New Roman" w:hAnsi="Times New Roman"/>
          <w:sz w:val="21"/>
          <w:szCs w:val="21"/>
          <w:u w:val="single" w:color="auto"/>
          <w:color w:val="auto"/>
        </w:rPr>
        <w:t>Target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Grant</w:t>
      </w:r>
      <w:r>
        <w:rPr>
          <w:rFonts w:ascii="Times New Roman" w:cs="Times New Roman" w:eastAsia="Times New Roman" w:hAnsi="Times New Roman"/>
          <w:sz w:val="21"/>
          <w:szCs w:val="21"/>
          <w:color w:val="auto"/>
        </w:rPr>
        <w:t xml:space="preserve">”). However, at the discretion of the Compensation Committee, the Target Grant for any fiscal year may be increased. Notwithstanding anything to the contrary set forth herein, the Executive’s participation in any such Equity Plan shall be governed by the terms of such plan, specifically including its vesting and exercise provisions,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terms of the Executive’s awards shall be not less favorable to her than those granted at such time to the Company’s other executive officers. On the Effective Date, the Executive shall be eligible to, and subject to the terms and conditions herein, shall receive a Long Term Incentive Award (50% RSU and 50% PSU shares) in the form attached hereto as Exhibit A, with respect to shares of the Company’s common stock that have a value on the Effective Date equal to U.S. $150,000 (based upon the closing price on the immediately preceding day). </w:t>
      </w:r>
      <w:r>
        <w:rPr>
          <w:rFonts w:ascii="Times New Roman" w:cs="Times New Roman" w:eastAsia="Times New Roman" w:hAnsi="Times New Roman"/>
          <w:sz w:val="21"/>
          <w:szCs w:val="21"/>
          <w:u w:val="single" w:color="auto"/>
          <w:color w:val="auto"/>
        </w:rPr>
        <w:t>Participation in Employee Benefit Plans</w:t>
      </w:r>
      <w:r>
        <w:rPr>
          <w:rFonts w:ascii="Times New Roman" w:cs="Times New Roman" w:eastAsia="Times New Roman" w:hAnsi="Times New Roman"/>
          <w:sz w:val="21"/>
          <w:szCs w:val="21"/>
          <w:color w:val="auto"/>
        </w:rPr>
        <w:t>. During the Term, the Executive shall be entitled to participate in all of the applicable employee benefit plans and perquisite programs of the Company generally made available to other senior executives of Amalgamated Financial Corp., on the same terms as such other senior executives. The Company may at any time or from time to time amend, modify, suspend or terminate any employee benefit plan, program or arrangement for any reason without the Executive’s consent if such amendment, modification, suspension or termination is consistent with the amendment, modification, suspension or termination for other active senior executives of the Company.</w:t>
      </w:r>
    </w:p>
    <w:p>
      <w:pPr>
        <w:sectPr>
          <w:pgSz w:w="11900" w:h="16838" w:orient="portrait"/>
          <w:cols w:equalWidth="0" w:num="1">
            <w:col w:w="11220"/>
          </w:cols>
          <w:pgMar w:left="320" w:top="1408" w:right="359" w:bottom="1440" w:gutter="0" w:footer="0" w:header="0"/>
        </w:sectPr>
      </w:pPr>
    </w:p>
    <w:bookmarkStart w:id="192" w:name="page193"/>
    <w:bookmarkEnd w:id="192"/>
    <w:p>
      <w:pPr>
        <w:spacing w:after="0" w:line="247" w:lineRule="auto"/>
        <w:rPr>
          <w:sz w:val="20"/>
          <w:szCs w:val="20"/>
          <w:color w:val="auto"/>
        </w:rPr>
      </w:pPr>
      <w:r>
        <w:rPr>
          <w:rFonts w:ascii="Times New Roman" w:cs="Times New Roman" w:eastAsia="Times New Roman" w:hAnsi="Times New Roman"/>
          <w:sz w:val="21"/>
          <w:szCs w:val="21"/>
          <w:u w:val="single" w:color="auto"/>
          <w:color w:val="auto"/>
        </w:rPr>
        <w:t>Expense Reimbursement.</w:t>
      </w:r>
      <w:r>
        <w:rPr>
          <w:rFonts w:ascii="Times New Roman" w:cs="Times New Roman" w:eastAsia="Times New Roman" w:hAnsi="Times New Roman"/>
          <w:sz w:val="21"/>
          <w:szCs w:val="21"/>
          <w:color w:val="auto"/>
        </w:rPr>
        <w:t xml:space="preserve"> During the Term, the Executive shall be entitled to receive reimbursement for all appropriate business expenses incurred by her in connection with her duties under this Agreement, in accordance with the policies of the Company as in effect from time to time, and subject to the Company’s requirements with respect to reporting and documentation of such expenses. </w:t>
      </w:r>
      <w:r>
        <w:rPr>
          <w:rFonts w:ascii="Times New Roman" w:cs="Times New Roman" w:eastAsia="Times New Roman" w:hAnsi="Times New Roman"/>
          <w:sz w:val="21"/>
          <w:szCs w:val="21"/>
          <w:u w:val="single" w:color="auto"/>
          <w:color w:val="auto"/>
        </w:rPr>
        <w:t>Termination of Employment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Termination upon the Term Date by Executive’s Non-Renewal, By the Company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Cause, by the Executive without Good Reason, or Due to Executive’s Death or Disability</w:t>
      </w:r>
      <w:r>
        <w:rPr>
          <w:rFonts w:ascii="Times New Roman" w:cs="Times New Roman" w:eastAsia="Times New Roman" w:hAnsi="Times New Roman"/>
          <w:sz w:val="21"/>
          <w:szCs w:val="21"/>
          <w:color w:val="auto"/>
        </w:rPr>
        <w:t>. If the Executive’s employment terminates upon the Term Date, as applicable, due to the Executive’s election of non-renewal or if during the Term: (i) the Company terminates the Executive’s employment with the Company for Cause upon written notice; (ii) the Executive terminates employment without Good Reason; (iii) the Company terminates the Executive’s employment with the Company by reason of the Executive’s Disability upon written notice, or (iv) the Executive’s employment terminates upon the Executive’s death, the Executive (or following the Executive’s death, her estate) shall be entitled to receive the following: the Executive’s accrued but unpaid Base Salary through the date of termination and any employee benefits, including accrued but unused vacation pay, that the Executive is entitled to receive pursuant to the employee benefit plans of the Company (other than any severance plans) in accordance with the terms of such employee benefit plans; and expenses reimbursable under Section 4.4 above incurred but not yet reimbursed to the Executive to the date of termination (the items under Sections 5.1(a) and 5.1(b) collectively, the “</w:t>
      </w:r>
      <w:r>
        <w:rPr>
          <w:rFonts w:ascii="Times New Roman" w:cs="Times New Roman" w:eastAsia="Times New Roman" w:hAnsi="Times New Roman"/>
          <w:sz w:val="21"/>
          <w:szCs w:val="21"/>
          <w:u w:val="single" w:color="auto"/>
          <w:color w:val="auto"/>
        </w:rPr>
        <w:t>Accrued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Benefits</w:t>
      </w:r>
      <w:r>
        <w:rPr>
          <w:rFonts w:ascii="Times New Roman" w:cs="Times New Roman" w:eastAsia="Times New Roman" w:hAnsi="Times New Roman"/>
          <w:sz w:val="21"/>
          <w:szCs w:val="21"/>
          <w:color w:val="auto"/>
        </w:rPr>
        <w:t>”). The Executive may only terminate her employment without Good Reason by providing ninety (90) days’ advance written notice (which notice period the Company may shorten in its sole discretion and which shall not be deemed a termination without Cause). As used in this Agreement, the following terms shall have the meanings set forth below: “</w:t>
      </w:r>
      <w:r>
        <w:rPr>
          <w:rFonts w:ascii="Times New Roman" w:cs="Times New Roman" w:eastAsia="Times New Roman" w:hAnsi="Times New Roman"/>
          <w:sz w:val="21"/>
          <w:szCs w:val="21"/>
          <w:u w:val="single" w:color="auto"/>
          <w:color w:val="auto"/>
        </w:rPr>
        <w:t>Cause</w:t>
      </w:r>
      <w:r>
        <w:rPr>
          <w:rFonts w:ascii="Times New Roman" w:cs="Times New Roman" w:eastAsia="Times New Roman" w:hAnsi="Times New Roman"/>
          <w:sz w:val="21"/>
          <w:szCs w:val="21"/>
          <w:color w:val="auto"/>
        </w:rPr>
        <w:t xml:space="preserve">” means, (A) the Executive’s conviction of a felony or any crime involving dishonesty or theft; (B) the Executive’s conduct in connection with her employment duties or responsibilities that is fraudulent, unlawful or grossly negligent; (C) the Executive’s misconduct; (D) the Executive’s contravention of specific lawful directions of the Board related to a material duty or responsibility; (E) the Executive’s material breach of the Executive’s obligations under this Agreement; (F) any acts of dishonesty by the Executive resulting or intending to result in personal gain or enrichment at the expense of the Company; or (G) the Executive’s failure to comply with a material policy of the Company, including, but not limited to, any policies prohibiting harassment or discrimination and any Code of Business Conduct and Ethics, as in effect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shall have ninety (90) days from the occurrence of the event that constitutes Cause to provide notice to the Executive that the Company intends to terminate the Executive’s employment for Cause. In the event the Company determines facts exist to justify a Cause termination, the Executive shall be given at least fifteen (15) days’ notice of such determination and a written explanation of the facts used by the Board to justify Cause. The Executive shall then be given ten (10) days to cure same, if there is a reasonably feasible way to cure, to the reasonable determination of the Board prior to any termination. “</w:t>
      </w:r>
      <w:r>
        <w:rPr>
          <w:rFonts w:ascii="Times New Roman" w:cs="Times New Roman" w:eastAsia="Times New Roman" w:hAnsi="Times New Roman"/>
          <w:sz w:val="21"/>
          <w:szCs w:val="21"/>
          <w:u w:val="single" w:color="auto"/>
          <w:color w:val="auto"/>
        </w:rPr>
        <w:t>Change in Control</w:t>
      </w:r>
      <w:r>
        <w:rPr>
          <w:rFonts w:ascii="Times New Roman" w:cs="Times New Roman" w:eastAsia="Times New Roman" w:hAnsi="Times New Roman"/>
          <w:sz w:val="21"/>
          <w:szCs w:val="21"/>
          <w:color w:val="auto"/>
        </w:rPr>
        <w:t>” means the occurrence of any one or more of the following events: the consummation of a transaction, or a series of related transactions undertaken with a common purpose, in which any individual, entity or group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acquires ownership of stock of the Company that, together with stock held by such Person, constitutes more than fifty percent (50%) of the total fair market value or total voting power of the Company’s stock; or a sale, lease, exchange or other transfer, in one transaction or a series of related transactions undertaken with a common purpose, of the Company’s assets having a total gross fair market value of forty percent (40%) or more of the total gross fair market value of all of the assets of the</w:t>
      </w:r>
    </w:p>
    <w:p>
      <w:pPr>
        <w:sectPr>
          <w:pgSz w:w="11900" w:h="16838" w:orient="portrait"/>
          <w:cols w:equalWidth="0" w:num="1">
            <w:col w:w="11240"/>
          </w:cols>
          <w:pgMar w:left="320" w:top="1408" w:right="339" w:bottom="1440" w:gutter="0" w:footer="0" w:header="0"/>
        </w:sectPr>
      </w:pPr>
    </w:p>
    <w:bookmarkStart w:id="193" w:name="page194"/>
    <w:bookmarkEnd w:id="193"/>
    <w:p>
      <w:pPr>
        <w:spacing w:after="0" w:line="260" w:lineRule="auto"/>
        <w:rPr>
          <w:sz w:val="20"/>
          <w:szCs w:val="20"/>
          <w:color w:val="auto"/>
        </w:rPr>
      </w:pPr>
      <w:r>
        <w:rPr>
          <w:rFonts w:ascii="Times New Roman" w:cs="Times New Roman" w:eastAsia="Times New Roman" w:hAnsi="Times New Roman"/>
          <w:sz w:val="20"/>
          <w:szCs w:val="20"/>
          <w:color w:val="auto"/>
        </w:rPr>
        <w:t>Company. For this purpose, “</w:t>
      </w:r>
      <w:r>
        <w:rPr>
          <w:rFonts w:ascii="Times New Roman" w:cs="Times New Roman" w:eastAsia="Times New Roman" w:hAnsi="Times New Roman"/>
          <w:sz w:val="20"/>
          <w:szCs w:val="20"/>
          <w:b w:val="1"/>
          <w:bCs w:val="1"/>
          <w:i w:val="1"/>
          <w:iCs w:val="1"/>
          <w:color w:val="auto"/>
        </w:rPr>
        <w:t>gross fair market value</w:t>
      </w:r>
      <w:r>
        <w:rPr>
          <w:rFonts w:ascii="Times New Roman" w:cs="Times New Roman" w:eastAsia="Times New Roman" w:hAnsi="Times New Roman"/>
          <w:sz w:val="20"/>
          <w:szCs w:val="20"/>
          <w:color w:val="auto"/>
        </w:rPr>
        <w:t>” means the value of the assets of the Company, or the value of the assets being disposed of, determined without regard to any liabilities associated with such assets. For purposes of this Agreement, a Change In Control will not include (1) a transaction in which the holders of the outstanding voting securities of the Company immediately prior to the transaction hold at least fifty percent (50%) of the outstanding voting securities of the successor Company immediately after the transaction; (2) any transaction or series of transactions approved by the Board principally for bona fide equity financing purposes in which cash is received by the Company or any successor thereto or indebtedness of the Company is cancelled or converted or a combination thereof; (3) a sale, lease, exchange or other transfer of all or substantially all of the Company’s assets to a majority-owned Subsidiary; or (4) a transaction undertaken for the principal purpose of restructuring the capital of the Company, including, but not limited to, reincorporating the Company in a different jurisdiction. Notwithstanding the foregoing, a “Change in Control” will only be deemed to occur if the consummation of the corporate transaction meets the requirements of Treas. Reg. Section 1.409A-3(a)(5). “</w:t>
      </w:r>
      <w:r>
        <w:rPr>
          <w:rFonts w:ascii="Times New Roman" w:cs="Times New Roman" w:eastAsia="Times New Roman" w:hAnsi="Times New Roman"/>
          <w:sz w:val="20"/>
          <w:szCs w:val="20"/>
          <w:u w:val="single" w:color="auto"/>
          <w:color w:val="auto"/>
        </w:rPr>
        <w:t>Disability</w:t>
      </w:r>
      <w:r>
        <w:rPr>
          <w:rFonts w:ascii="Times New Roman" w:cs="Times New Roman" w:eastAsia="Times New Roman" w:hAnsi="Times New Roman"/>
          <w:sz w:val="20"/>
          <w:szCs w:val="20"/>
          <w:color w:val="auto"/>
        </w:rPr>
        <w:t>” means that, as a result of a permanent physical or mental injury or illness, the Executive has been unable to perform the essential functions of her job, with or without reasonable accommodation, for (a) 60 consecutive days or (b) a period of 150 days in any 12-month period. The Company shall make its determination in a reasonable manner and shall take into consideration the opinion of Executive’s personal physician, if reasonably available, and any other physician deemed appropriate by the Company, but such determination by the Company shall be final and binding on the parties hereto. This provision shall be interpreted and applied in a manner consistent with all applicable laws, including laws regarding workers’ compensation, disability, and family and medical leave laws. “</w:t>
      </w:r>
      <w:r>
        <w:rPr>
          <w:rFonts w:ascii="Times New Roman" w:cs="Times New Roman" w:eastAsia="Times New Roman" w:hAnsi="Times New Roman"/>
          <w:sz w:val="20"/>
          <w:szCs w:val="20"/>
          <w:u w:val="single" w:color="auto"/>
          <w:color w:val="auto"/>
        </w:rPr>
        <w:t>Good Reason</w:t>
      </w:r>
      <w:r>
        <w:rPr>
          <w:rFonts w:ascii="Times New Roman" w:cs="Times New Roman" w:eastAsia="Times New Roman" w:hAnsi="Times New Roman"/>
          <w:sz w:val="20"/>
          <w:szCs w:val="20"/>
          <w:color w:val="auto"/>
        </w:rPr>
        <w:t xml:space="preserve">” means, without the Executive’s written consent: (A) a reduction in the Executive’s Base Salary; (B) subject to Section 5.3 of this Agreement, a substantial diminution in the Executive’s title, duties or responsibilities; (C) the Company’s breach of any material covenant or obligation under this Agreement; or (D) relocation of the Executive’s principal work location to a location outside of New York county;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Company shall have thirty (30) days after receipt of notice from the Executive in writing specifying the deficiency to cure the deficiency that would result in Good Reason, to the extent curable;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Executive delivered such written notice within 90 days after the first occurrence of the action alleged to be Good Reason;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the Company has not cured the deficiency before expiration of such 30-day period, Executive shall have resigned within ninety (90) days thereafter. </w:t>
      </w:r>
      <w:r>
        <w:rPr>
          <w:rFonts w:ascii="Times New Roman" w:cs="Times New Roman" w:eastAsia="Times New Roman" w:hAnsi="Times New Roman"/>
          <w:sz w:val="20"/>
          <w:szCs w:val="20"/>
          <w:u w:val="single" w:color="auto"/>
          <w:color w:val="auto"/>
        </w:rPr>
        <w:t>By the Company Without Cause, by the Company’s Non-renewal of the Term, or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the Executive with Good Reason.</w:t>
      </w:r>
      <w:r>
        <w:rPr>
          <w:rFonts w:ascii="Times New Roman" w:cs="Times New Roman" w:eastAsia="Times New Roman" w:hAnsi="Times New Roman"/>
          <w:sz w:val="20"/>
          <w:szCs w:val="20"/>
          <w:color w:val="auto"/>
        </w:rPr>
        <w:t xml:space="preserve"> If at any time during the Term, the Company terminates the Executive’s employment without Cause other than due to Disability, the Executive’s employment terminates on the Term Date due to the Company non-renewal of the then-current Term, or the Executive terminates her employment upon notice (except as described in the definition of Good Reason) with Good Reason, other than following the occurrence of an event that could reasonably be expected to result in a termination of her employment by the Company for Cause, the Executive shall be entitled to receive: the Accrued Benefits; and beginning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such termination of employment, but only if the Executive has executed and not revoked within the revocation period a valid release agreement in a form reasonably acceptable to the Company (but which shall not release any right to indemnification nor impose any further restrictive covenants), a severance payment in an amount equal to the sum of (i) twelve (12) months of the Executive’s Base Salary in effect on the date of such termination, (ii) an amount equal to the Annual Target Bonus in effect for the fiscal year in which the date of such termination occurs, and (iii) an</w:t>
      </w:r>
    </w:p>
    <w:p>
      <w:pPr>
        <w:sectPr>
          <w:pgSz w:w="11900" w:h="16838" w:orient="portrait"/>
          <w:cols w:equalWidth="0" w:num="1">
            <w:col w:w="11240"/>
          </w:cols>
          <w:pgMar w:left="320" w:top="1402" w:right="339" w:bottom="1440" w:gutter="0" w:footer="0" w:header="0"/>
        </w:sectPr>
      </w:pPr>
    </w:p>
    <w:bookmarkStart w:id="194" w:name="page195"/>
    <w:bookmarkEnd w:id="194"/>
    <w:p>
      <w:pPr>
        <w:spacing w:after="0" w:line="260" w:lineRule="auto"/>
        <w:rPr>
          <w:sz w:val="20"/>
          <w:szCs w:val="20"/>
          <w:color w:val="auto"/>
        </w:rPr>
      </w:pPr>
      <w:r>
        <w:rPr>
          <w:rFonts w:ascii="Times New Roman" w:cs="Times New Roman" w:eastAsia="Times New Roman" w:hAnsi="Times New Roman"/>
          <w:sz w:val="20"/>
          <w:szCs w:val="20"/>
          <w:color w:val="auto"/>
        </w:rPr>
        <w:t>amount equal to the Annual Target Bonus in effect for the fiscal year in which Executive’s employment terminates, pro-rated based on the portion of such fiscal year prior to her termination date during which the Executive was employed, which sum shall be payable in equal monthly installments for a period of twelve (12) months; provided that, if (A) such termination occurs within twelve (12) months following a Change in Control or (B) the Company terminates the Executive’s employment without Cause other than due to Disability within ninety (90) days’ prior to a Change in Control and the Executive reasonably demonstrates that such termination was at the request of the eventual acquirer in connection with such Change in Control, such severance payment shall be in an amount equal to the sum of (i) twenty-one (21) months of the Executive’s Base Salary in effect on the date of such termination, and (ii) an amount equal to one hundred seventy-five percent (175%) of the Annual Target Bonus in effect for the fiscal year in which the date of such termination occurs, payable in equal monthly installments for a period of twenty-one (21) months. If not yet paid, Executive will also receive in full any prior year’s Annual Bonus not yet paid as of the termination date, payable on the normal payment date provided under the plan and paid entirely in cash. Payments that would otherwise have been owed to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termination of employment shall be made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such termination of employment. In addition, if the Executive satisfies the release condition set forth in the preceding paragraph, then from the date of her termination of employment until twelve (12) months following the end of the month in which such termination occurs, the Company shall pay the premiums for any “COBRA” continuation health coverage for which the Executive is eligible during such 12-month period under Section 4980B of the Internal Revenue Code of 1986, as amended (the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xml:space="preserve">”) (or any successor provision);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COBRA payments that would otherwise have been paid on behalf of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termination of employment shall be paid by the Executive and reimbursed by the Company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such termination of employment. </w:t>
      </w:r>
      <w:r>
        <w:rPr>
          <w:rFonts w:ascii="Times New Roman" w:cs="Times New Roman" w:eastAsia="Times New Roman" w:hAnsi="Times New Roman"/>
          <w:sz w:val="20"/>
          <w:szCs w:val="20"/>
          <w:u w:val="single" w:color="auto"/>
          <w:color w:val="auto"/>
        </w:rPr>
        <w:t>Duties prior to Termination</w:t>
      </w:r>
      <w:r>
        <w:rPr>
          <w:rFonts w:ascii="Times New Roman" w:cs="Times New Roman" w:eastAsia="Times New Roman" w:hAnsi="Times New Roman"/>
          <w:sz w:val="20"/>
          <w:szCs w:val="20"/>
          <w:color w:val="auto"/>
        </w:rPr>
        <w:t xml:space="preserve">. Following a notice of termination of the Executive’s employment hereunder from either Party and prior to the applicable date of termination, the Company may (a) require the Executive to continue to perform the Executive’s duties hereunder on the Company’s behalf, (b) limit or impose reasonable restrictions on the Executive’s activities as it deems necessary, or (c) modify the Executive’s authorities, responsibilities and/or duties (including as provided in Section 3.2 of this Agreement) without such action constituting a violation of this Agreement or Good Reason. </w:t>
      </w:r>
      <w:r>
        <w:rPr>
          <w:rFonts w:ascii="Times New Roman" w:cs="Times New Roman" w:eastAsia="Times New Roman" w:hAnsi="Times New Roman"/>
          <w:sz w:val="20"/>
          <w:szCs w:val="20"/>
          <w:u w:val="single" w:color="auto"/>
          <w:color w:val="auto"/>
        </w:rPr>
        <w:t>Continued Employment Beyond the Expiration of the Term</w:t>
      </w:r>
      <w:r>
        <w:rPr>
          <w:rFonts w:ascii="Times New Roman" w:cs="Times New Roman" w:eastAsia="Times New Roman" w:hAnsi="Times New Roman"/>
          <w:sz w:val="20"/>
          <w:szCs w:val="20"/>
          <w:color w:val="auto"/>
        </w:rPr>
        <w:t xml:space="preserve">. Unless the Parties otherwise agree in writing and except for those Accrued Benefits or severance obligations owed under Section 5.1 or 5.2 above, in connection with any termination due to non-renewal, continuation of the Executive’s employment with the Company beyond the expiration of the Term shall only occur if mutually agreed to by the Parties in writing, in which event her employment shall be deemed an employment at-will and shall not be deemed to extend any of the provisions of this Agreement and the Executive’s employment may thereafter be terminated at-will by either the Executive or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provisions of this Agreement that contemplate performance following the expiration of the Term shall survive not only any termination of this Agreement but also the termination of the Executive’s employment hereunder, including, without limitation, Sections 6, 7 and 8.12 of this Agreement. </w:t>
      </w:r>
      <w:r>
        <w:rPr>
          <w:rFonts w:ascii="Times New Roman" w:cs="Times New Roman" w:eastAsia="Times New Roman" w:hAnsi="Times New Roman"/>
          <w:sz w:val="20"/>
          <w:szCs w:val="20"/>
          <w:u w:val="single" w:color="auto"/>
          <w:color w:val="auto"/>
        </w:rPr>
        <w:t>Removal from Boards and Positions</w:t>
      </w:r>
      <w:r>
        <w:rPr>
          <w:rFonts w:ascii="Times New Roman" w:cs="Times New Roman" w:eastAsia="Times New Roman" w:hAnsi="Times New Roman"/>
          <w:sz w:val="20"/>
          <w:szCs w:val="20"/>
          <w:color w:val="auto"/>
        </w:rPr>
        <w:t xml:space="preserve">. If Executive’s employment terminates for any reason, the Executive shall be deemed to resign (a) if a member, from the Board or boards of directors to which she has been appointed or nominated by or on behalf of the Company and (b) from any position with the Company and its subsidiaries and affiliates or any fiduciary positions that she holds as a result thereof. </w:t>
      </w:r>
      <w:r>
        <w:rPr>
          <w:rFonts w:ascii="Times New Roman" w:cs="Times New Roman" w:eastAsia="Times New Roman" w:hAnsi="Times New Roman"/>
          <w:sz w:val="20"/>
          <w:szCs w:val="20"/>
          <w:u w:val="single" w:color="auto"/>
          <w:color w:val="auto"/>
        </w:rPr>
        <w:t>Remedies</w:t>
      </w:r>
      <w:r>
        <w:rPr>
          <w:rFonts w:ascii="Times New Roman" w:cs="Times New Roman" w:eastAsia="Times New Roman" w:hAnsi="Times New Roman"/>
          <w:sz w:val="20"/>
          <w:szCs w:val="20"/>
          <w:color w:val="auto"/>
        </w:rPr>
        <w:t>. The rights and</w:t>
      </w:r>
    </w:p>
    <w:p>
      <w:pPr>
        <w:sectPr>
          <w:pgSz w:w="11900" w:h="16838" w:orient="portrait"/>
          <w:cols w:equalWidth="0" w:num="1">
            <w:col w:w="11160"/>
          </w:cols>
          <w:pgMar w:left="320" w:top="1408" w:right="419" w:bottom="1440" w:gutter="0" w:footer="0" w:header="0"/>
        </w:sectPr>
      </w:pPr>
    </w:p>
    <w:bookmarkStart w:id="195" w:name="page196"/>
    <w:bookmarkEnd w:id="195"/>
    <w:p>
      <w:pPr>
        <w:spacing w:after="0" w:line="247" w:lineRule="auto"/>
        <w:rPr>
          <w:sz w:val="20"/>
          <w:szCs w:val="20"/>
          <w:color w:val="auto"/>
        </w:rPr>
      </w:pPr>
      <w:r>
        <w:rPr>
          <w:rFonts w:ascii="Times New Roman" w:cs="Times New Roman" w:eastAsia="Times New Roman" w:hAnsi="Times New Roman"/>
          <w:sz w:val="21"/>
          <w:szCs w:val="21"/>
          <w:color w:val="auto"/>
        </w:rPr>
        <w:t xml:space="preserve">remedies set forth in this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are Executive’s sole rights and remedies in the event of the termination of her employment, except for any rights and remedies that are not waivable. </w:t>
      </w:r>
      <w:r>
        <w:rPr>
          <w:rFonts w:ascii="Times New Roman" w:cs="Times New Roman" w:eastAsia="Times New Roman" w:hAnsi="Times New Roman"/>
          <w:sz w:val="21"/>
          <w:szCs w:val="21"/>
          <w:u w:val="single" w:color="auto"/>
          <w:color w:val="auto"/>
        </w:rPr>
        <w:t>Restrictions and Obligations of the Executive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During the course of the Executive’s employment by the Company, the Executive will have access to certain trade secrets and confidential information relating to the Company, its subsidiaries and affiliates (the “</w:t>
      </w:r>
      <w:r>
        <w:rPr>
          <w:rFonts w:ascii="Times New Roman" w:cs="Times New Roman" w:eastAsia="Times New Roman" w:hAnsi="Times New Roman"/>
          <w:sz w:val="21"/>
          <w:szCs w:val="21"/>
          <w:u w:val="single" w:color="auto"/>
          <w:color w:val="auto"/>
        </w:rPr>
        <w:t>Protected Parties</w:t>
      </w:r>
      <w:r>
        <w:rPr>
          <w:rFonts w:ascii="Times New Roman" w:cs="Times New Roman" w:eastAsia="Times New Roman" w:hAnsi="Times New Roman"/>
          <w:sz w:val="21"/>
          <w:szCs w:val="21"/>
          <w:color w:val="auto"/>
        </w:rPr>
        <w:t>”) which is not readily available from sources outside the Company. The confidential and proprietary information and, in any material respect, trade secrets of the Protected Parties are among their most valuable assets, including but not limited to, their customer, supplier and vendor lists, databases, competitive strategies, computer programs, frameworks, or models, their marketing programs, their sales, financial, marketing, training and technical information, and any other information, whether communicated orally, electronically, in writing or in other tangible forms concerning how the Protected Parties create, develop, acquire or maintain their products and marketing plans, target their potential customers and operate their businesses. The Protected Parties invested, and continue to invest, considerable amounts of time and money in their process, technology, know-how, obtaining and developing the goodwill of their customers, their other external relationships, their data systems and data bases, and all the information described above (hereinafter collectively referred to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and any misappropriation or unauthorized disclosure of Confidential Information in any form would irreparably harm the Protected Parties. The Executive acknowledges that such Confidential Information constitutes valuable, highly confidential, special and unique property of the Protected Parties. The Executive shall hold in a fiduciary capacity for the benefit of the Protected Parties all Confidential Information relating to the Protected Parties and their businesses, which shall have been obtained by the Executive during the Executive’s employment by the Company and which shall not be or become public knowledge (other than by acts by the Executive or representatives of the Executive in violation of this Agreement). During the period the Executive is employed by the Company and at any time thereafter, the Executive shall not disclose any Confidential Information, directly or indirectly, to any person or entity for any reason or purpose whatsoever, nor shall the Executive use it in any way, except (i) in the course of the Executive’s employment with, and for the benefit of, the Protected Parties, (ii) to enforce any rights or defend any claims hereunder or under any other agreement to which the Executive is a party with any Protected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disclosure is relevant to the enforcement of such rights or defense of such claims and is only disclosed in the formal proceedings related thereto, (iii) when required to do so by a court of law, by any governmental agency having supervisory authority over the business of any of the Protected Parties or by any administrative or legislative body (including a committee thereof) with jurisdiction to order her to divulge, disclose or make accessible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permitted by law, the Executive shall give prompt written notice to the Company of such requirement, disclose no more information than is so required, and cooperate with any attempts by any Protected Party (coordinated in all events through the Company) to obtain a protective order or similar treatment, (iv) as to such Confidential Information that becomes generally known to the public without her violation of this Section 6.1(a), or (v) to the Executive’s spouse, attorney, and/or her personal tax and financial advisors as reasonably necessary or appropriate to advance the Executive’s tax, financial and other personal planning (each an “</w:t>
      </w:r>
      <w:r>
        <w:rPr>
          <w:rFonts w:ascii="Times New Roman" w:cs="Times New Roman" w:eastAsia="Times New Roman" w:hAnsi="Times New Roman"/>
          <w:sz w:val="21"/>
          <w:szCs w:val="21"/>
          <w:u w:val="single" w:color="auto"/>
          <w:color w:val="auto"/>
        </w:rPr>
        <w:t>Exempt Person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any disclosure or use of Confidential Information by an Exempt Person other than the exceptions set forth in (i)-(iv) above shall be deemed to be a breach of this Section 6.1(a) by the Executive. The Executive shall take all reasonable steps to safeguard the Confidential Information and to protect it against disclosure,</w:t>
      </w:r>
    </w:p>
    <w:p>
      <w:pPr>
        <w:sectPr>
          <w:pgSz w:w="11900" w:h="16838" w:orient="portrait"/>
          <w:cols w:equalWidth="0" w:num="1">
            <w:col w:w="11220"/>
          </w:cols>
          <w:pgMar w:left="320" w:top="1408" w:right="359" w:bottom="1440" w:gutter="0" w:footer="0" w:header="0"/>
        </w:sectPr>
      </w:pPr>
    </w:p>
    <w:bookmarkStart w:id="196" w:name="page197"/>
    <w:bookmarkEnd w:id="196"/>
    <w:p>
      <w:pPr>
        <w:spacing w:after="0" w:line="247" w:lineRule="auto"/>
        <w:rPr>
          <w:sz w:val="20"/>
          <w:szCs w:val="20"/>
          <w:color w:val="auto"/>
        </w:rPr>
      </w:pPr>
      <w:r>
        <w:rPr>
          <w:rFonts w:ascii="Times New Roman" w:cs="Times New Roman" w:eastAsia="Times New Roman" w:hAnsi="Times New Roman"/>
          <w:sz w:val="21"/>
          <w:szCs w:val="21"/>
          <w:color w:val="auto"/>
        </w:rPr>
        <w:t>misuse, espionage, loss and theft. The Executive understands and agrees that the Executive shall acquire no rights to any such Confidential Information. For the sake of clarity, the Executive may retain documentation concerning her employment terms and compensation without violation of any section herein. All files, records, documents, drawings, specifications, data, computer programs, evaluation mechanisms and analytics and similar items relating thereto or to the Business (for the purposes of this Agreement,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shall be as defined in Section 6.4 hereof), as well as all customer lists, specific customer information, compilations of product research and marketing techniques of any of the Protected Parties, whether prepared by the Executive or otherwise coming into the Executive’s possession, shall remain the exclusive property of the Protected Parties. It is understood that while employed by the Company, the Executive shall promptly disclose to it, and assign to it the Executive’s interest in any invention, improvement or discovery made or conceived by the Executive, either alone or jointly with others, which arises out of the Executive’s employment. At the Company’s request and expense, the Executive shall assist any Protected Party during the period of the Executive’s employment by the Company and thereafter (but subject to reasonable notice and taking into account the Executive’s schedule) in connection with any controversy or legal proceeding relating to such invention, improvement or discovery and in obtaining domestic and foreign patent or other protection covering the same. The Executive understands that nothing contained in this Agreement limits the Executive’s ability to file a charge or complaint with the Equal Employment Opportunity Commission, the National Labor Relations Board, the Securities and Exchange Commission or any other federal, state or local governmental agency or commission (each, a “</w:t>
      </w:r>
      <w:r>
        <w:rPr>
          <w:rFonts w:ascii="Times New Roman" w:cs="Times New Roman" w:eastAsia="Times New Roman" w:hAnsi="Times New Roman"/>
          <w:sz w:val="21"/>
          <w:szCs w:val="21"/>
          <w:u w:val="single" w:color="auto"/>
          <w:color w:val="auto"/>
        </w:rPr>
        <w:t>Government Agency</w:t>
      </w:r>
      <w:r>
        <w:rPr>
          <w:rFonts w:ascii="Times New Roman" w:cs="Times New Roman" w:eastAsia="Times New Roman" w:hAnsi="Times New Roman"/>
          <w:sz w:val="21"/>
          <w:szCs w:val="21"/>
          <w:color w:val="auto"/>
        </w:rPr>
        <w:t xml:space="preserve">”). The Executive further understands that this Agreement does not limit the Executive’s ability to communicate with any Government Agency, including to report possible violations of federal law or regulation or making other disclosures that are protected under the whistleblower provisions of applicable federal, state or local law or regulation, or otherwise participate in any investigation or proceeding that may be conducted by any Government Agency, including providing documents or other information, without notice to the Company. This Agreement does not limit the Executive’s right to receive an award for information provided to any Government Agency. The Executive will not be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w:t>
      </w: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xml:space="preserve">. During the period the Executive is employed by the Company and thereafter, the Executive shall cooperate with any investigation or inquiry by the Company or any governmental or regulatory agency or body that relates to the operations of a Protected Party during the period of the Executive’s employment by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cooperation shall take into account the Executive’s then current business and other obligations. Employee shall be reimbursed all out of pocket reasonable costs incurred by way of any such cooperation. </w:t>
      </w:r>
      <w:r>
        <w:rPr>
          <w:rFonts w:ascii="Times New Roman" w:cs="Times New Roman" w:eastAsia="Times New Roman" w:hAnsi="Times New Roman"/>
          <w:sz w:val="21"/>
          <w:szCs w:val="21"/>
          <w:u w:val="single" w:color="auto"/>
          <w:color w:val="auto"/>
        </w:rPr>
        <w:t>Non-Solicitation or Hire</w:t>
      </w:r>
      <w:r>
        <w:rPr>
          <w:rFonts w:ascii="Times New Roman" w:cs="Times New Roman" w:eastAsia="Times New Roman" w:hAnsi="Times New Roman"/>
          <w:sz w:val="21"/>
          <w:szCs w:val="21"/>
          <w:color w:val="auto"/>
        </w:rPr>
        <w:t>. During the period the Executive is employed by the Company and for a period following the termination of the Executive’s employment for any reason equal to the longer of either (a) one (1) year following the Executive’s termination of employment and (b) the applicable period during which the severance payments are scheduled to be paid pursuant to Section 5.2(b) (such longer period,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the Executive shall not (i) directly or indirectly solicit, attempt to solicit or induce (x) any party who is a customer of a Protected Party, who was a customer of a Protected Party at any time during the twelve (12) month period immediately prior to the date the</w:t>
      </w:r>
    </w:p>
    <w:p>
      <w:pPr>
        <w:sectPr>
          <w:pgSz w:w="11900" w:h="16838" w:orient="portrait"/>
          <w:cols w:equalWidth="0" w:num="1">
            <w:col w:w="11220"/>
          </w:cols>
          <w:pgMar w:left="320" w:top="1408" w:right="359" w:bottom="1440" w:gutter="0" w:footer="0" w:header="0"/>
        </w:sectPr>
      </w:pPr>
    </w:p>
    <w:bookmarkStart w:id="197" w:name="page198"/>
    <w:bookmarkEnd w:id="197"/>
    <w:p>
      <w:pPr>
        <w:spacing w:after="0" w:line="247" w:lineRule="auto"/>
        <w:rPr>
          <w:sz w:val="20"/>
          <w:szCs w:val="20"/>
          <w:color w:val="auto"/>
        </w:rPr>
      </w:pPr>
      <w:r>
        <w:rPr>
          <w:rFonts w:ascii="Times New Roman" w:cs="Times New Roman" w:eastAsia="Times New Roman" w:hAnsi="Times New Roman"/>
          <w:sz w:val="21"/>
          <w:szCs w:val="21"/>
          <w:color w:val="auto"/>
        </w:rPr>
        <w:t xml:space="preserve">Executive’s employment terminates or who was a prospective customer that has been identified and targeted by a Protected Party immediately prior to the date the Executive’s employment terminates, for the purpose of marketing, selling or providing to any such party any services or products offered by or available from a Protected Party on the date the Executive’s employment terminates, or (y) any supplier or prospective supplier to a Protected Party as of the date the Executive’s employment terminates to terminate, reduce or alter negatively its relationship with the Protected Party or in any manner interfere with any agreement or contract between the Protected Party and such supplier, or (ii) directly or indirectly solicit or induce any current employee of a Protected Party or any person who was an employee of a Protected Party during the twelve (12) month period immediately prior to the date the Executive’s employment terminates to terminate such employee’s employment relationship with a Protected Party in order, in either case, to enter into a similar relationship with the Executive, or any other person or any entity. </w:t>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Restricted Period, the Executive shall not, without the Company’s prior written consent, whether individually, as a director, manager, member, stockholder, partner, owner, employee, consultant or agent of any business, or in any other capacity, other than on behalf of a Protected Party, organize, establish, own, operate, manage, control, engage in, participate in, invest in, permit her name to be used by, act as a consultant or advisor to, render services for (alone or in association with any person, firm, corporation or business organization), or otherwise engage in the business of providing financial products or services to Taft-Hartley employee benefit plans, labor unions, employee benefit plans associated with labor unions in any manner, or other entities associated or affiliated with labor unions (the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Notwithstanding the foregoing, nothing in this Agreement shall prevent the Executive from (a) owning for passive investment purposes not intended to circumvent this Agreement, less than three percent (3%) of the publicly traded common equity securities of any company engaged in the Business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 or (b) being employed by or otherwise associated with (including as a director) an organization or entity of which a subsidiary, division, segment, unit, etc. is engaged in the Business (a “</w:t>
      </w:r>
      <w:r>
        <w:rPr>
          <w:rFonts w:ascii="Times New Roman" w:cs="Times New Roman" w:eastAsia="Times New Roman" w:hAnsi="Times New Roman"/>
          <w:sz w:val="21"/>
          <w:szCs w:val="21"/>
          <w:u w:val="single" w:color="auto"/>
          <w:color w:val="auto"/>
        </w:rPr>
        <w:t>Competing Division</w:t>
      </w:r>
      <w:r>
        <w:rPr>
          <w:rFonts w:ascii="Times New Roman" w:cs="Times New Roman" w:eastAsia="Times New Roman" w:hAnsi="Times New Roman"/>
          <w:sz w:val="21"/>
          <w:szCs w:val="21"/>
          <w:color w:val="auto"/>
        </w:rPr>
        <w:t xml:space="preserve">”), including in a position to which employees of the Competing Division report, directly or indirectly,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has no direct responsibilities with such Competing Division other than having general responsibility for the operation of such Competing Division. For the avoidance of doubt, the Executive may be an officer of a bank or investment advisor or a union or related organization that engages in the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is not directly employed in, or working in, the Competing Division. </w:t>
      </w: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The Executive acknowledges that all originals and copies of materials, records and documents generated by her or coming into her possession during her employment by the Company (prior to or during the Term) are the sole property of the Company or its subsidiaries or affiliates (“</w:t>
      </w: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 During the period the Executive is employed by the Company, and at all times thereafter, the Executive shall not remove, or cause to be removed, from the premises of the Company or any of its subsidiaries or affiliates, copies of any record, file, memorandum, document, computer related information or equipment, or any other item relating to the business of the Company, except in furtherance of her duties under this Agreement. When the Executive’s employment with the Company terminates, or upon request of the Company at any time, the Executive shall promptly deliver to the Company all copies of Company Property in his</w:t>
      </w:r>
    </w:p>
    <w:p>
      <w:pPr>
        <w:sectPr>
          <w:pgSz w:w="11900" w:h="16838" w:orient="portrait"/>
          <w:cols w:equalWidth="0" w:num="1">
            <w:col w:w="11240"/>
          </w:cols>
          <w:pgMar w:left="320" w:top="1408" w:right="339" w:bottom="1440" w:gutter="0" w:footer="0" w:header="0"/>
        </w:sectPr>
      </w:pPr>
    </w:p>
    <w:bookmarkStart w:id="198" w:name="page199"/>
    <w:bookmarkEnd w:id="198"/>
    <w:p>
      <w:pPr>
        <w:spacing w:after="0" w:line="247" w:lineRule="auto"/>
        <w:rPr>
          <w:sz w:val="20"/>
          <w:szCs w:val="20"/>
          <w:color w:val="auto"/>
        </w:rPr>
      </w:pPr>
      <w:r>
        <w:rPr>
          <w:rFonts w:ascii="Times New Roman" w:cs="Times New Roman" w:eastAsia="Times New Roman" w:hAnsi="Times New Roman"/>
          <w:sz w:val="21"/>
          <w:szCs w:val="21"/>
          <w:color w:val="auto"/>
        </w:rPr>
        <w:t xml:space="preserve">possession or control. </w:t>
      </w: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xml:space="preserve">. The Executive agrees that she shall not, during the period the Executive is employed by the Company and at any time thereafter, publish or communicate to any person or entity any Disparaging remarks, comments or statements concerning the Company and its directors, officers, shareholders, employees, agents, attorneys, successors and assigns and the Company agrees that during the period the Executive is employed by the Company and at any time thereafter, it shall not, and it shall use its reasonable efforts to cause its directors and officers not to, publish or communicate to any person or entity any Disparaging remarks, comments or statements concerning the Executive;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nothing contained in this Section 6.6 shall preclude either Party from providing truthful testimony in connection with a valid subpoena, court order, regulatory request, other legal proceeding, or as may be required by law. “</w:t>
      </w:r>
      <w:r>
        <w:rPr>
          <w:rFonts w:ascii="Times New Roman" w:cs="Times New Roman" w:eastAsia="Times New Roman" w:hAnsi="Times New Roman"/>
          <w:sz w:val="21"/>
          <w:szCs w:val="21"/>
          <w:u w:val="single" w:color="auto"/>
          <w:color w:val="auto"/>
        </w:rPr>
        <w:t>Disparaging</w:t>
      </w:r>
      <w:r>
        <w:rPr>
          <w:rFonts w:ascii="Times New Roman" w:cs="Times New Roman" w:eastAsia="Times New Roman" w:hAnsi="Times New Roman"/>
          <w:sz w:val="21"/>
          <w:szCs w:val="21"/>
          <w:color w:val="auto"/>
        </w:rPr>
        <w:t xml:space="preserve">” remarks, comments or statements are those that impugn the character, honesty, integrity or morality of the individual or entity being disparaged. </w:t>
      </w:r>
      <w:r>
        <w:rPr>
          <w:rFonts w:ascii="Times New Roman" w:cs="Times New Roman" w:eastAsia="Times New Roman" w:hAnsi="Times New Roman"/>
          <w:sz w:val="21"/>
          <w:szCs w:val="21"/>
          <w:u w:val="single" w:color="auto"/>
          <w:color w:val="auto"/>
        </w:rPr>
        <w:t>Reasonableness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Covenants</w:t>
      </w:r>
      <w:r>
        <w:rPr>
          <w:rFonts w:ascii="Times New Roman" w:cs="Times New Roman" w:eastAsia="Times New Roman" w:hAnsi="Times New Roman"/>
          <w:sz w:val="21"/>
          <w:szCs w:val="21"/>
          <w:color w:val="auto"/>
        </w:rPr>
        <w:t xml:space="preserve">. The Parties agree that the duration and area for which the covenants set forth in this Section 6 apply are reasonable. In the event that any arbitrator or court of competent jurisdiction determines that the time period or the area or both are unreasonable and any such covenant is to that extent unenforceable, the Company and the Executive agree that such covenant shall be modified to remain in full force and effect for the greatest time period and in the greatest area that would not render it unenforceable. </w:t>
      </w:r>
      <w:r>
        <w:rPr>
          <w:rFonts w:ascii="Times New Roman" w:cs="Times New Roman" w:eastAsia="Times New Roman" w:hAnsi="Times New Roman"/>
          <w:sz w:val="21"/>
          <w:szCs w:val="21"/>
          <w:u w:val="single" w:color="auto"/>
          <w:color w:val="auto"/>
        </w:rPr>
        <w:t>Remedies; Specific Performance</w:t>
      </w:r>
      <w:r>
        <w:rPr>
          <w:rFonts w:ascii="Times New Roman" w:cs="Times New Roman" w:eastAsia="Times New Roman" w:hAnsi="Times New Roman"/>
          <w:sz w:val="21"/>
          <w:szCs w:val="21"/>
          <w:color w:val="auto"/>
        </w:rPr>
        <w:t xml:space="preserve">. The Parties acknowledge and agree that the Executive’s breach or threatened breach of any of the restrictions set forth in Section 6 or the Company’s breach or threatened breach of the restrictions set forth in Section 6.6 shall result in irreparable and continuing damage to the Protected Parties or the Executive for which there may be no adequate remedy at law and that the Protected Parties or the Executive shall be entitled to seek equitable relief, including specific performance and injunctive relief as remedies for any such breach or threatened or attempted breach, without requiring the posting of a bond. The Parties hereby consent to the grant of an injunction (temporary or otherwise) against the other Party or the entry of any other court order against the other party prohibiting and enjoining her or it from violating, or directing her or it to comply with any provision of Section 6. The Parties also agree that such remedies shall be in addition to any and all remedies, including damages, available to the Protected Parties or the Executive for such breaches or threatened or attempted breaches. </w:t>
      </w:r>
      <w:r>
        <w:rPr>
          <w:rFonts w:ascii="Times New Roman" w:cs="Times New Roman" w:eastAsia="Times New Roman" w:hAnsi="Times New Roman"/>
          <w:sz w:val="21"/>
          <w:szCs w:val="21"/>
          <w:u w:val="single" w:color="auto"/>
          <w:color w:val="auto"/>
        </w:rPr>
        <w:t>Other Provisions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xml:space="preserve">. Any notice or other communication required or which may be given hereunder shall be in writing and shall be delivered personally, sent by facsimile transmission or sent by certified, registered or express mail, postage prepaid or overnight mail and shall be deemed given when so delivered personally, or sent by facsimile transmission or, if mailed, four (4) business days after the date of mailing or one (1) business day after overnight mail, addressed to such party at the address set forth below or such other address as may hereafter be designated in writing by the addressee as follows: If the Company, to: Amalgamated Bank 275 Seventh Avenue New York, New York 10001 Attention: Chairman of the Board Telephone: (212) 255-6200 Fax: (212) 895-4428 With a copy to: Amalgamated Financial Corp. 275 Seventh Avenue New York, New York 10001 Attention: General Counsel Telephone: (212) 895 4431 If the Executive, to the Executive’s home address reflected in the Company’s records. </w:t>
      </w: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xml:space="preserve">. This Agreement, together with the other agreements referenced herein, contain the entire understanding of the Parties with respect to the subject matter hereof and thereof and supersede all prior and contemporaneous oral or written agreements, negotiations, understandings, statements or proposals with respect to the subject matter hereof and thereof. </w:t>
      </w:r>
      <w:r>
        <w:rPr>
          <w:rFonts w:ascii="Times New Roman" w:cs="Times New Roman" w:eastAsia="Times New Roman" w:hAnsi="Times New Roman"/>
          <w:sz w:val="21"/>
          <w:szCs w:val="21"/>
          <w:u w:val="single" w:color="auto"/>
          <w:color w:val="auto"/>
        </w:rPr>
        <w:t>Representations and Warranties</w:t>
      </w:r>
      <w:r>
        <w:rPr>
          <w:rFonts w:ascii="Times New Roman" w:cs="Times New Roman" w:eastAsia="Times New Roman" w:hAnsi="Times New Roman"/>
          <w:sz w:val="21"/>
          <w:szCs w:val="21"/>
          <w:color w:val="auto"/>
        </w:rPr>
        <w:t>. The Executive represents and warrants that she is not a party to or subject to any restrictive covenants, legal restrictions or</w:t>
      </w:r>
    </w:p>
    <w:p>
      <w:pPr>
        <w:sectPr>
          <w:pgSz w:w="11900" w:h="16838" w:orient="portrait"/>
          <w:cols w:equalWidth="0" w:num="1">
            <w:col w:w="11240"/>
          </w:cols>
          <w:pgMar w:left="320" w:top="1408" w:right="339" w:bottom="1440" w:gutter="0" w:footer="0" w:header="0"/>
        </w:sectPr>
      </w:pPr>
    </w:p>
    <w:bookmarkStart w:id="199" w:name="page200"/>
    <w:bookmarkEnd w:id="199"/>
    <w:p>
      <w:pPr>
        <w:spacing w:after="0" w:line="247" w:lineRule="auto"/>
        <w:rPr>
          <w:sz w:val="20"/>
          <w:szCs w:val="20"/>
          <w:color w:val="auto"/>
        </w:rPr>
      </w:pPr>
      <w:r>
        <w:rPr>
          <w:rFonts w:ascii="Times New Roman" w:cs="Times New Roman" w:eastAsia="Times New Roman" w:hAnsi="Times New Roman"/>
          <w:sz w:val="21"/>
          <w:szCs w:val="21"/>
          <w:color w:val="auto"/>
        </w:rPr>
        <w:t xml:space="preserve">other agreements in favor of any entity or person which could preclude, inhibit, impair or limit the Executive’s ability to perform her obligations under this Agreement, including, but not limited to, non-competition agreements, non-solicitation agreements or confidentiality agreements. The Company represents and warrants that (a) it has full corporate power and authority to execute and deliver this Agreement and to perform its obligations contemplated hereunder, (b) it has taken all corporate action necessary to authorize the execution and performance of this Agreement, (c) it has obtained all required regulatory or other consents as may be necessary or appropriate to permit it to enter into this Agreement and (d) this Agreement has been duly executed and delivered by it and, assuming due authorization, execution, and delivery of this Agreement by the Executive, is the legal, valid and binding obligation of the Company enforceable against the Company in accordance with its terms. </w:t>
      </w:r>
      <w:r>
        <w:rPr>
          <w:rFonts w:ascii="Times New Roman" w:cs="Times New Roman" w:eastAsia="Times New Roman" w:hAnsi="Times New Roman"/>
          <w:sz w:val="21"/>
          <w:szCs w:val="21"/>
          <w:u w:val="single" w:color="auto"/>
          <w:color w:val="auto"/>
        </w:rPr>
        <w:t>Waiver and Amendments</w:t>
      </w:r>
      <w:r>
        <w:rPr>
          <w:rFonts w:ascii="Times New Roman" w:cs="Times New Roman" w:eastAsia="Times New Roman" w:hAnsi="Times New Roman"/>
          <w:sz w:val="21"/>
          <w:szCs w:val="21"/>
          <w:color w:val="auto"/>
        </w:rPr>
        <w:t xml:space="preserve">. This Agreement may be modified, amended, superseded, canceled, renewed or extended, and the terms and conditions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right, power or privilege hereunder, nor any single or partial exercise of any right, power or privilege hereunder, preclude any other or further exercise thereof or the exercise of any other right, power or privilege hereunder. </w:t>
      </w:r>
      <w:r>
        <w:rPr>
          <w:rFonts w:ascii="Times New Roman" w:cs="Times New Roman" w:eastAsia="Times New Roman" w:hAnsi="Times New Roman"/>
          <w:sz w:val="21"/>
          <w:szCs w:val="21"/>
          <w:u w:val="single" w:color="auto"/>
          <w:color w:val="auto"/>
        </w:rPr>
        <w:t>Governing Law, Dispute Resolution and Venue</w:t>
      </w:r>
      <w:r>
        <w:rPr>
          <w:rFonts w:ascii="Times New Roman" w:cs="Times New Roman" w:eastAsia="Times New Roman" w:hAnsi="Times New Roman"/>
          <w:sz w:val="21"/>
          <w:szCs w:val="21"/>
          <w:color w:val="auto"/>
        </w:rPr>
        <w:t>. This Agreement shall be governed and construed in accordance with the laws of New York applicable to agreements made and to be performed entirely within such state, without regard to conflicts of laws principles, unless superseded by federal law. Any controversy or claim arising out of or relating to this Agreement or the breach 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xml:space="preserve">”) in New York, New York in accordance with the Employment Dispute Resolution Rules of the AAA, including, but not limited to, the rules and procedures applicable to the selection of arbitrators, except that the arbitrator shall apply the law as established by decisions of the U.S. Supreme Court, the Court of Appeals for the Second Circuit and the U.S. District Court for the Southern District of New York in deciding the merits of claims and defenses under federal law (including without limitation any federal antidiscrimination law). The Company and the Executive specifically agree that the arbitrator may award injunctive relief.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The parties covenant that they shall participate in the arbitration in good faith. Each party to any arbitration proceeding shall bear its or her own costs and expenses in connection therewith, except as permitted by law or otherwise ordered by the arbitrator in such proceeding. Notwithstanding the foregoing, this Section 7.5 shall not preclude any party hereto from pursuing a court action pursuant to Section 6 or otherwise for the sole purpose of obtaining a temporary restraining order or a preliminary injunction. </w:t>
      </w:r>
      <w:r>
        <w:rPr>
          <w:rFonts w:ascii="Times New Roman" w:cs="Times New Roman" w:eastAsia="Times New Roman" w:hAnsi="Times New Roman"/>
          <w:sz w:val="21"/>
          <w:szCs w:val="21"/>
          <w:u w:val="single" w:color="auto"/>
          <w:color w:val="auto"/>
        </w:rPr>
        <w:t>Assignability by the Company and the Executive</w:t>
      </w:r>
      <w:r>
        <w:rPr>
          <w:rFonts w:ascii="Times New Roman" w:cs="Times New Roman" w:eastAsia="Times New Roman" w:hAnsi="Times New Roman"/>
          <w:sz w:val="21"/>
          <w:szCs w:val="21"/>
          <w:color w:val="auto"/>
        </w:rPr>
        <w:t xml:space="preserve">. This Agreement, and the rights and obligations hereunder, may not be assigned by the Company or the Executive without written consent signed by the other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may assign this Agreement to any successor that continues the business of the Company, including any person or entity that acquires all or</w:t>
      </w:r>
    </w:p>
    <w:p>
      <w:pPr>
        <w:sectPr>
          <w:pgSz w:w="11900" w:h="16838" w:orient="portrait"/>
          <w:cols w:equalWidth="0" w:num="1">
            <w:col w:w="11220"/>
          </w:cols>
          <w:pgMar w:left="320" w:top="1408" w:right="359" w:bottom="1440" w:gutter="0" w:footer="0" w:header="0"/>
        </w:sectPr>
      </w:pPr>
    </w:p>
    <w:bookmarkStart w:id="200" w:name="page201"/>
    <w:bookmarkEnd w:id="200"/>
    <w:p>
      <w:pPr>
        <w:spacing w:after="0" w:line="247" w:lineRule="auto"/>
        <w:rPr>
          <w:sz w:val="20"/>
          <w:szCs w:val="20"/>
          <w:color w:val="auto"/>
        </w:rPr>
      </w:pPr>
      <w:r>
        <w:rPr>
          <w:rFonts w:ascii="Times New Roman" w:cs="Times New Roman" w:eastAsia="Times New Roman" w:hAnsi="Times New Roman"/>
          <w:sz w:val="21"/>
          <w:szCs w:val="21"/>
          <w:color w:val="auto"/>
        </w:rPr>
        <w:t xml:space="preserve">substantially all of the assets of the Company. </w:t>
      </w:r>
      <w:r>
        <w:rPr>
          <w:rFonts w:ascii="Times New Roman" w:cs="Times New Roman" w:eastAsia="Times New Roman" w:hAnsi="Times New Roman"/>
          <w:sz w:val="21"/>
          <w:szCs w:val="21"/>
          <w:u w:val="single" w:color="auto"/>
          <w:color w:val="auto"/>
        </w:rPr>
        <w:t>Counterparts</w:t>
      </w:r>
      <w:r>
        <w:rPr>
          <w:rFonts w:ascii="Times New Roman" w:cs="Times New Roman" w:eastAsia="Times New Roman" w:hAnsi="Times New Roman"/>
          <w:sz w:val="21"/>
          <w:szCs w:val="21"/>
          <w:color w:val="auto"/>
        </w:rPr>
        <w:t xml:space="preserve">. This Agreement may be executed in counterparts, each of which shall be deemed an original but all of which shall constitute one and the same instrument. </w:t>
      </w:r>
      <w:r>
        <w:rPr>
          <w:rFonts w:ascii="Times New Roman" w:cs="Times New Roman" w:eastAsia="Times New Roman" w:hAnsi="Times New Roman"/>
          <w:sz w:val="21"/>
          <w:szCs w:val="21"/>
          <w:u w:val="single" w:color="auto"/>
          <w:color w:val="auto"/>
        </w:rPr>
        <w:t>Headings</w:t>
      </w:r>
      <w:r>
        <w:rPr>
          <w:rFonts w:ascii="Times New Roman" w:cs="Times New Roman" w:eastAsia="Times New Roman" w:hAnsi="Times New Roman"/>
          <w:sz w:val="21"/>
          <w:szCs w:val="21"/>
          <w:color w:val="auto"/>
        </w:rPr>
        <w:t xml:space="preserve">. The headings in this Agreement are for convenience of reference only and shall not limit or otherwise affect the meaning of terms contained herein. </w:t>
      </w:r>
      <w:r>
        <w:rPr>
          <w:rFonts w:ascii="Times New Roman" w:cs="Times New Roman" w:eastAsia="Times New Roman" w:hAnsi="Times New Roman"/>
          <w:sz w:val="21"/>
          <w:szCs w:val="21"/>
          <w:u w:val="single" w:color="auto"/>
          <w:color w:val="auto"/>
        </w:rPr>
        <w:t>Severability</w:t>
      </w:r>
      <w:r>
        <w:rPr>
          <w:rFonts w:ascii="Times New Roman" w:cs="Times New Roman" w:eastAsia="Times New Roman" w:hAnsi="Times New Roman"/>
          <w:sz w:val="21"/>
          <w:szCs w:val="21"/>
          <w:color w:val="auto"/>
        </w:rPr>
        <w:t xml:space="preserve">. If any term, provision, covenant or restriction of this Agreement, or any part thereof, is held by a court of competent jurisdiction of any foreign, federal, state, county or local government or any other governmental, regulatory or administrative agency or authority to be invalid, void, unenforceable or against public policy for any reason, the remainder of the terms, provisions, covenants and restrictions of this Agreement shall remain in full force and effect and shall in no way be affected or impaired or invalidated. The Executive acknowledges that the restrictive covenants contained in Section 6 are a condition of this Agreement and are reasonable and valid in temporal scope and in all other respects. </w:t>
      </w:r>
      <w:r>
        <w:rPr>
          <w:rFonts w:ascii="Times New Roman" w:cs="Times New Roman" w:eastAsia="Times New Roman" w:hAnsi="Times New Roman"/>
          <w:sz w:val="21"/>
          <w:szCs w:val="21"/>
          <w:u w:val="single" w:color="auto"/>
          <w:color w:val="auto"/>
        </w:rPr>
        <w:t>Tax Withholding</w:t>
      </w:r>
      <w:r>
        <w:rPr>
          <w:rFonts w:ascii="Times New Roman" w:cs="Times New Roman" w:eastAsia="Times New Roman" w:hAnsi="Times New Roman"/>
          <w:sz w:val="21"/>
          <w:szCs w:val="21"/>
          <w:color w:val="auto"/>
        </w:rPr>
        <w:t xml:space="preserve">. The Company or other payor is authorized to withhold from any benefit provided or payment due hereunder, the amount of withholding taxes due any federal, state or local authority in respect of such benefit or payment and to take such other action as may be necessary in the opinion of the Board to satisfy all obligations for the payment of such withholding taxes. </w:t>
      </w:r>
      <w:r>
        <w:rPr>
          <w:rFonts w:ascii="Times New Roman" w:cs="Times New Roman" w:eastAsia="Times New Roman" w:hAnsi="Times New Roman"/>
          <w:sz w:val="21"/>
          <w:szCs w:val="21"/>
          <w:u w:val="single" w:color="auto"/>
          <w:color w:val="auto"/>
        </w:rPr>
        <w:t>Tax Advice</w:t>
      </w:r>
      <w:r>
        <w:rPr>
          <w:rFonts w:ascii="Times New Roman" w:cs="Times New Roman" w:eastAsia="Times New Roman" w:hAnsi="Times New Roman"/>
          <w:sz w:val="21"/>
          <w:szCs w:val="21"/>
          <w:color w:val="auto"/>
        </w:rPr>
        <w:t xml:space="preserve">. Executive acknowledges that no representative or agent of the Company has provided her with any tax advice of any nature, and Executive has had the opportunity to consult with her own legal, tax and financial advisors as to tax and related matters concerning the compensation to be received under this Agreement. </w:t>
      </w:r>
      <w:r>
        <w:rPr>
          <w:rFonts w:ascii="Times New Roman" w:cs="Times New Roman" w:eastAsia="Times New Roman" w:hAnsi="Times New Roman"/>
          <w:sz w:val="21"/>
          <w:szCs w:val="21"/>
          <w:u w:val="single" w:color="auto"/>
          <w:color w:val="auto"/>
        </w:rPr>
        <w:t>Indemnification and Insurance</w:t>
      </w:r>
      <w:r>
        <w:rPr>
          <w:rFonts w:ascii="Times New Roman" w:cs="Times New Roman" w:eastAsia="Times New Roman" w:hAnsi="Times New Roman"/>
          <w:sz w:val="21"/>
          <w:szCs w:val="21"/>
          <w:color w:val="auto"/>
        </w:rPr>
        <w:t xml:space="preserve">. The Executive shall be indemnified in accordance with the Company’s certificate of incorporation, by-laws, and policies and to the fullest extent permitted by, and in accordance with, applicable law. The Company agrees that it shall promptly move to ensure that the Executive is insured under the Company’s Directors’ and Officers’ liability insurance policy (including Side A coverage). Subject to the requirements of applicable law, the Company shall indemnify the Executive on a current basis and to the extent the Company acquires insurance to cover all or part of the Company’s indemnification obligations, the Company shall ensure that amounts paid in respect of such insurance are paid on a current basis.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xml:space="preserve"> This Agreement is intended to comply with Code Section 409A to the extent subject thereto and shall be interpreted and administered in compliance therewith. Any term used in this Agreement which is defined in Code Section 409A or the regulations promulgated thereunder (the “</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shall have the meaning set forth therein unless otherwise specifically defined herein. For purposes of determining the timing of payment of any obligations to pay nonqualified deferred compensation (within the meaning of Code Section 409A) under this Agreement that arise in connection with the Executive’s “termination of employment,” “termination” or other similar references, references to termination of employment or similar references shall mean a “separation from service” within the meaning of §1.409A-l(h) of the Regulations. Notwithstanding any other provision of this Agreement, if at the time of such “separation from service”, the Executive is a “specified employee,” as defined in Code Section 409A or the Regulations, and any payments upon such termination under this Agreement hereof shall result in additional tax or interest to the Executive under Code Section 409A, Executive shall not be entitled to receive such payments until the date which is six (6) months after the termination of the Executive’s employment for any reason or, if earlier, the date of the Executive’s death. Each amount to be paid or benefit to be provided to the Executive under this Agreement that constitutes nonqualified deferred compensation subject to Code Section 409A shall be construed as a separate identified payment for purposes of Code Section 409A. If any expense reimbursement payable to the Executive under this Agreement is determined to be “nonqualified deferred compensation” within the meaning of Code Section</w:t>
      </w:r>
    </w:p>
    <w:p>
      <w:pPr>
        <w:sectPr>
          <w:pgSz w:w="11900" w:h="16838" w:orient="portrait"/>
          <w:cols w:equalWidth="0" w:num="1">
            <w:col w:w="11240"/>
          </w:cols>
          <w:pgMar w:left="320" w:top="1408" w:right="339" w:bottom="1440" w:gutter="0" w:footer="0" w:header="0"/>
        </w:sectPr>
      </w:pPr>
    </w:p>
    <w:bookmarkStart w:id="201" w:name="page202"/>
    <w:bookmarkEnd w:id="201"/>
    <w:p>
      <w:pPr>
        <w:spacing w:after="0" w:line="247" w:lineRule="auto"/>
        <w:rPr>
          <w:sz w:val="20"/>
          <w:szCs w:val="20"/>
          <w:color w:val="auto"/>
        </w:rPr>
      </w:pPr>
      <w:r>
        <w:rPr>
          <w:rFonts w:ascii="Times New Roman" w:cs="Times New Roman" w:eastAsia="Times New Roman" w:hAnsi="Times New Roman"/>
          <w:sz w:val="21"/>
          <w:szCs w:val="21"/>
          <w:color w:val="auto"/>
        </w:rPr>
        <w:t xml:space="preserve">409A, including, without limitation any reimbursement under Section 4.4, then the reimbursement shall be made to the Executive as soon as practicable after submission for the reimbursement, but no later than December 31 of the year following the year during which such expense was incurred. Any offset, recoupment or clawback provided by Section 7.14 or 7.15, or otherwise permitted in this Agreement, shall be applied to the maximum extent possible to comply with Code Section 409A. In addition, if the Parties become aware that any provision of this Agreement could reasonably be expected to subject the Executive to any additional tax or interest under Code Section 409A, then the Company and the Executive agree to act in good faith to reform such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reform shall (x) maintain, to the maximum extent practicable, the original intent of the applicable provision without subjecting the Executive to such additional tax or interest, and (y) not incur any additional compensation expense as a result of such reformation. Notwithstanding the foregoing, the Company does not represent, warrant or guarantee that any payments that may be made pursuant to this Agreement will not result in inclusion in Executive’s gross income, or any penalty, pursuant to Section 409A(a)(1) of the Code or any similar state or local statute or regulation. </w:t>
      </w:r>
      <w:r>
        <w:rPr>
          <w:rFonts w:ascii="Times New Roman" w:cs="Times New Roman" w:eastAsia="Times New Roman" w:hAnsi="Times New Roman"/>
          <w:sz w:val="21"/>
          <w:szCs w:val="21"/>
          <w:u w:val="single" w:color="auto"/>
          <w:color w:val="auto"/>
        </w:rPr>
        <w:t>Golden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Parachute Provisions</w:t>
      </w:r>
      <w:r>
        <w:rPr>
          <w:rFonts w:ascii="Times New Roman" w:cs="Times New Roman" w:eastAsia="Times New Roman" w:hAnsi="Times New Roman"/>
          <w:sz w:val="21"/>
          <w:szCs w:val="21"/>
          <w:color w:val="auto"/>
        </w:rPr>
        <w:t>. Anything in this Agreement to the contrary notwithstanding, if any payment or benefit to the Executive under this Agreement or otherwise would be a “golden parachute payment” or “indemnification payment” within the meaning of Section 18(k) of the Federal Deposit Insurance Act, such payment or benefit shall not be made unless permitted under applicable law. The Company shall use best efforts promptly to apply to the appropriate federal banking agency for a determination that any golden parachute payment is permissible. In the event that the benefits provided for in the Agreement, when aggregated with any other payments or benefits received by the Executive (the “</w:t>
      </w:r>
      <w:r>
        <w:rPr>
          <w:rFonts w:ascii="Times New Roman" w:cs="Times New Roman" w:eastAsia="Times New Roman" w:hAnsi="Times New Roman"/>
          <w:sz w:val="21"/>
          <w:szCs w:val="21"/>
          <w:u w:val="single" w:color="auto"/>
          <w:color w:val="auto"/>
        </w:rPr>
        <w:t>Aggregate Benefits</w:t>
      </w:r>
      <w:r>
        <w:rPr>
          <w:rFonts w:ascii="Times New Roman" w:cs="Times New Roman" w:eastAsia="Times New Roman" w:hAnsi="Times New Roman"/>
          <w:sz w:val="21"/>
          <w:szCs w:val="21"/>
          <w:color w:val="auto"/>
        </w:rPr>
        <w:t>”), would (i) constitute “parachute payments” within the meaning of Section 280G of the Code, and (ii) would be subject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Executive’s Aggregate Benefits will be either: (a) delivered in full, or (b) delivered as to such lesser extent as would result in no portion of such Aggregate Benefits being subject to the Excise Tax, whichever of the foregoing amounts, taking into account the applicable federal, state and local income taxes and the Excise Tax, results in the receipt by the Executive on an after-tax basis of the greatest amount of Aggregate Benefits, notwithstanding that all or some portion of such Aggregate Benefits may be taxable under Section 4999 of the Code. Unless the Company and the Executive otherwise agree in writing, any determination required under this paragraph will be made in writing by an independent certified public accounting firm mutually agreeable to the Company and the Executive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whose determination will be conclusive and binding upon Executive and the Company for all purposes. For purposes of making the calculations required by this paragraph, the Accounting Firm may make reasonable assumptions and approximations concerning applicable taxes and may rely on reasonable, good faith interpretations concerning the application of Sections 280G and 4999 of the Code. The Company and the Executive will furnish to the Accounting Firm such information and documents as the Accounting Firm may reasonably request in order to make a determination under this paragraph. To the extent any reduction in Aggregate Benefits is required by this paragraph, Aggregate Benefits shall be reduced or eliminated in reverse order of time of payment (that is, Aggregate Benefits payable later shall be reduced or eliminated before any reduction or elimination of Aggregate Benefits payable sooner), Aggregate Benefits payable at the same time shall be reduced or eliminated in accordance with the Executive’s instructions provided the Company has no reasonable objection thereto, and all reductions or eliminations shall be based on the value of the Aggregate Benefits established for purposes of the determination required under this paragraph. All fees and</w:t>
      </w:r>
    </w:p>
    <w:p>
      <w:pPr>
        <w:sectPr>
          <w:pgSz w:w="11900" w:h="16838" w:orient="portrait"/>
          <w:cols w:equalWidth="0" w:num="1">
            <w:col w:w="11220"/>
          </w:cols>
          <w:pgMar w:left="320" w:top="1408" w:right="359" w:bottom="1440" w:gutter="0" w:footer="0" w:header="0"/>
        </w:sectPr>
      </w:pPr>
    </w:p>
    <w:bookmarkStart w:id="202" w:name="page203"/>
    <w:bookmarkEnd w:id="202"/>
    <w:p>
      <w:pPr>
        <w:spacing w:after="0" w:line="247" w:lineRule="auto"/>
        <w:rPr>
          <w:sz w:val="20"/>
          <w:szCs w:val="20"/>
          <w:color w:val="auto"/>
        </w:rPr>
      </w:pPr>
      <w:r>
        <w:rPr>
          <w:rFonts w:ascii="Times New Roman" w:cs="Times New Roman" w:eastAsia="Times New Roman" w:hAnsi="Times New Roman"/>
          <w:sz w:val="21"/>
          <w:szCs w:val="21"/>
          <w:color w:val="auto"/>
        </w:rPr>
        <w:t>expenses of the Accounting Firm shall be borne solely by the Company. The provisions of this Agreement are subject to and shall be interpreted to be consistent with Applicable Law, which terms control over the terms of this Agreement in the event of a conflict between Applicable Law and this Agreement. Notwithstanding anything herein to the contrary, no payment or benefit shall be paid or provided to the Executive or be vested or accrued if any such payment or benefit, vesting or accrual would violate Applicable Law and, to the extent any such payment or benefit that has been paid, provided, vested or accrued is determined to be in violation of Applicable Law, any such payment or benefit shall be subject to recoupment or cancellation. In the event of any such violation, the Executive and the Company shall cooperate in good faith to endeavor to meet the requirements of Applicable Law in a manner that preserves to the greatest extent possible the intent and purposes of this Amendment. “</w:t>
      </w:r>
      <w:r>
        <w:rPr>
          <w:rFonts w:ascii="Times New Roman" w:cs="Times New Roman" w:eastAsia="Times New Roman" w:hAnsi="Times New Roman"/>
          <w:sz w:val="21"/>
          <w:szCs w:val="21"/>
          <w:u w:val="single" w:color="auto"/>
          <w:color w:val="auto"/>
        </w:rPr>
        <w:t>Applicable Law</w:t>
      </w:r>
      <w:r>
        <w:rPr>
          <w:rFonts w:ascii="Times New Roman" w:cs="Times New Roman" w:eastAsia="Times New Roman" w:hAnsi="Times New Roman"/>
          <w:sz w:val="21"/>
          <w:szCs w:val="21"/>
          <w:color w:val="auto"/>
        </w:rPr>
        <w:t>” means the laws, statutes, rules, regulations, treaties, directives, guidelines, ordinances, codes, administrative or judicial precedents or authorities and orders of any Governmental Authority, as well as the interpretation or administration thereof by any Governmental Authority charged with the enforcement, interpretation or administration thereof, and all applicable administrative orders, decisions, judgments, directed duties, requests, licenses, authorizations, decrees and permits of, and agreements with any Governmental Authority, to which the Company or the Executive are a party or by which the Company or the Executive are bound, in each case whether or not having the force of law, and all orders, decisions, judgments, and decrees of all courts or arbitrators in proceedings or actions to which the Company or the Executive are a party or by which the Company or the Executive are bound.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xml:space="preserve">” means the United States of America, any state or territory thereof and any federal, state, provincial, city, town, municipality, county or local authority, including without limitation, the Federal Deposit Insurance Corporation, the New York State Department of Financial Services, and any board, bureau, instrumentality, agency or other entity exercising executive, legislative, judicial, taxing, regulatory or administrative powers or functions of or pertaining to government. </w:t>
      </w:r>
      <w:r>
        <w:rPr>
          <w:rFonts w:ascii="Times New Roman" w:cs="Times New Roman" w:eastAsia="Times New Roman" w:hAnsi="Times New Roman"/>
          <w:sz w:val="21"/>
          <w:szCs w:val="21"/>
          <w:u w:val="single" w:color="auto"/>
          <w:color w:val="auto"/>
        </w:rPr>
        <w:t>Claw-Back and Forfeiture</w:t>
      </w:r>
      <w:r>
        <w:rPr>
          <w:rFonts w:ascii="Times New Roman" w:cs="Times New Roman" w:eastAsia="Times New Roman" w:hAnsi="Times New Roman"/>
          <w:sz w:val="21"/>
          <w:szCs w:val="21"/>
          <w:color w:val="auto"/>
        </w:rPr>
        <w:t>. This Agreement and any Annual Bonus, Equity Plan or other incentive or performance-based compensation paid or payable to the Executive pursuant to this Agreement or under any other plan or arrangement adopted by the Company (collectively, “</w:t>
      </w: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shall be subject in all respects to the Company’s Policy on Sound Executive Compensation and any other compensation claw-back or forfeiture policy implemented by the Company from time to time and applicable to all officers of the Company on the same terms and conditions, including without limitation, any such policy adopted to comply with the requirements of applicable law or the rules and regulations of any stock exchange applicable to the Company, and any revisions or amendments to any of the foregoing policies adopted by the Company from time to time and applicable to all officers of the Company on the same terms and conditions (collectively, the “</w:t>
      </w:r>
      <w:r>
        <w:rPr>
          <w:rFonts w:ascii="Times New Roman" w:cs="Times New Roman" w:eastAsia="Times New Roman" w:hAnsi="Times New Roman"/>
          <w:sz w:val="21"/>
          <w:szCs w:val="21"/>
          <w:u w:val="single" w:color="auto"/>
          <w:color w:val="auto"/>
        </w:rPr>
        <w:t>Claw-Back Policy</w:t>
      </w:r>
      <w:r>
        <w:rPr>
          <w:rFonts w:ascii="Times New Roman" w:cs="Times New Roman" w:eastAsia="Times New Roman" w:hAnsi="Times New Roman"/>
          <w:sz w:val="21"/>
          <w:szCs w:val="21"/>
          <w:color w:val="auto"/>
        </w:rPr>
        <w:t xml:space="preserve">”). The Executive acknowledges and agrees that, if the Company is permitted to and does affirmatively effect a claw-back or forfeiture of Incentive Compensation pursuant to the Claw-Back Policy, the Company shall be entitled to recover or retain any Incentive Compensation paid or payable to the Executive in accordance with the terms and conditions of the Claw-Back Policy. </w:t>
      </w:r>
      <w:r>
        <w:rPr>
          <w:rFonts w:ascii="Times New Roman" w:cs="Times New Roman" w:eastAsia="Times New Roman" w:hAnsi="Times New Roman"/>
          <w:sz w:val="21"/>
          <w:szCs w:val="21"/>
          <w:u w:val="single" w:color="auto"/>
          <w:color w:val="auto"/>
        </w:rPr>
        <w:t>Execution</w:t>
      </w:r>
      <w:r>
        <w:rPr>
          <w:rFonts w:ascii="Times New Roman" w:cs="Times New Roman" w:eastAsia="Times New Roman" w:hAnsi="Times New Roman"/>
          <w:sz w:val="21"/>
          <w:szCs w:val="21"/>
          <w:color w:val="auto"/>
        </w:rPr>
        <w:t xml:space="preserve">. This Agreement may be executed in several counterparts (including counterparts by email, facsimile, portable document format (pdf) or any electronic signature complying with the U.S. federal ESIGN Act of 2000 (including DocuSign)), each of which shall be deemed an original and all of which shall together constitute one and the same instrument. </w:t>
      </w:r>
      <w:r>
        <w:rPr>
          <w:rFonts w:ascii="Times New Roman" w:cs="Times New Roman" w:eastAsia="Times New Roman" w:hAnsi="Times New Roman"/>
          <w:sz w:val="21"/>
          <w:szCs w:val="21"/>
          <w:u w:val="single" w:color="auto"/>
          <w:color w:val="auto"/>
        </w:rPr>
        <w:t>Legal Representation and Independent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Review</w:t>
      </w:r>
      <w:r>
        <w:rPr>
          <w:rFonts w:ascii="Times New Roman" w:cs="Times New Roman" w:eastAsia="Times New Roman" w:hAnsi="Times New Roman"/>
          <w:sz w:val="21"/>
          <w:szCs w:val="21"/>
          <w:color w:val="auto"/>
        </w:rPr>
        <w:t>. Executive acknowledges that she was advised to consult with, and has had ample opportunity to receive the advice of, independent legal counsel before executing this Agreement – and the</w:t>
      </w:r>
    </w:p>
    <w:p>
      <w:pPr>
        <w:sectPr>
          <w:pgSz w:w="11900" w:h="16838" w:orient="portrait"/>
          <w:cols w:equalWidth="0" w:num="1">
            <w:col w:w="11240"/>
          </w:cols>
          <w:pgMar w:left="320" w:top="1408" w:right="339" w:bottom="1440" w:gutter="0" w:footer="0" w:header="0"/>
        </w:sectPr>
      </w:pPr>
    </w:p>
    <w:bookmarkStart w:id="203" w:name="page204"/>
    <w:bookmarkEnd w:id="203"/>
    <w:p>
      <w:pPr>
        <w:ind w:right="60"/>
        <w:spacing w:after="0" w:line="238" w:lineRule="auto"/>
        <w:rPr>
          <w:sz w:val="20"/>
          <w:szCs w:val="20"/>
          <w:color w:val="auto"/>
        </w:rPr>
      </w:pPr>
      <w:r>
        <w:rPr>
          <w:rFonts w:ascii="Times New Roman" w:cs="Times New Roman" w:eastAsia="Times New Roman" w:hAnsi="Times New Roman"/>
          <w:sz w:val="22"/>
          <w:szCs w:val="22"/>
          <w:color w:val="auto"/>
        </w:rPr>
        <w:t xml:space="preserve">Company hereby advises Executive to do so – and that Executive has fully exercised that opportunity to the extent she desired. Executive acknowledges that she had ample opportunity to consider this Agreement and to receive an explanation from such legal counsel of the legal nature, effect, ramifications, and consequences of this Agreement. Executive warrants that she has carefully read this Agreement, that she understands completely its contents, that she understands the significance, nature, effect, and consequences of signing it, and that she has agreed to and signed this Agreement knowingly and voluntarily of her own free will, act, and deed, and for full and sufficient consideration. IN WITNESS WHEREOF, the Parties hereto, intending to be legally bound hereby, have executed this Agreement as of the day and year first above mentioned. </w:t>
      </w:r>
      <w:r>
        <w:rPr>
          <w:rFonts w:ascii="Arial" w:cs="Arial" w:eastAsia="Arial" w:hAnsi="Arial"/>
          <w:sz w:val="22"/>
          <w:szCs w:val="22"/>
          <w:color w:val="auto"/>
        </w:rPr>
        <w:t>EXECUTIVE:</w:t>
      </w:r>
    </w:p>
    <w:p>
      <w:pPr>
        <w:spacing w:after="0" w:line="235" w:lineRule="auto"/>
        <w:rPr>
          <w:sz w:val="20"/>
          <w:szCs w:val="20"/>
          <w:color w:val="auto"/>
        </w:rPr>
      </w:pPr>
      <w:r>
        <w:rPr>
          <w:rFonts w:ascii="Arial" w:cs="Arial" w:eastAsia="Arial" w:hAnsi="Arial"/>
          <w:sz w:val="22"/>
          <w:szCs w:val="22"/>
          <w:color w:val="auto"/>
        </w:rPr>
        <w:t>_________________________________Margaret Lanning an individualCOMPANY:AMALGAMATED FINANCIAL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CORP. By:__________________________________ Name: Priscilla Brown </w:t>
      </w:r>
      <w:r>
        <w:rPr>
          <w:rFonts w:ascii="Times New Roman" w:cs="Times New Roman" w:eastAsia="Times New Roman" w:hAnsi="Times New Roman"/>
          <w:sz w:val="22"/>
          <w:szCs w:val="22"/>
          <w:color w:val="auto"/>
        </w:rPr>
        <w:t>Title: President and CEO</w:t>
      </w:r>
    </w:p>
    <w:p>
      <w:pPr>
        <w:spacing w:after="0" w:line="3" w:lineRule="exact"/>
        <w:rPr>
          <w:sz w:val="20"/>
          <w:szCs w:val="20"/>
          <w:color w:val="auto"/>
        </w:rPr>
      </w:pPr>
    </w:p>
    <w:p>
      <w:pPr>
        <w:spacing w:after="0" w:line="227"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April 1, 2024 is entered into by and between Amalgamated Financial Corp.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and Margaret Lanning (the “</w:t>
      </w:r>
      <w:r>
        <w:rPr>
          <w:rFonts w:ascii="Arial" w:cs="Arial" w:eastAsia="Arial" w:hAnsi="Arial"/>
          <w:sz w:val="22"/>
          <w:szCs w:val="22"/>
          <w:u w:val="single" w:color="auto"/>
          <w:color w:val="auto"/>
        </w:rPr>
        <w:t>Executive</w:t>
      </w:r>
      <w:r>
        <w:rPr>
          <w:rFonts w:ascii="Arial" w:cs="Arial" w:eastAsia="Arial" w:hAnsi="Arial"/>
          <w:sz w:val="22"/>
          <w:szCs w:val="22"/>
          <w:color w:val="auto"/>
        </w:rPr>
        <w:t>”)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 References to the Company in this Agreement also include Amalgamated Bank (the “</w:t>
      </w:r>
      <w:r>
        <w:rPr>
          <w:rFonts w:ascii="Arial" w:cs="Arial" w:eastAsia="Arial" w:hAnsi="Arial"/>
          <w:sz w:val="22"/>
          <w:szCs w:val="22"/>
          <w:u w:val="single" w:color="auto"/>
          <w:color w:val="auto"/>
        </w:rPr>
        <w:t>Bank</w:t>
      </w:r>
      <w:r>
        <w:rPr>
          <w:rFonts w:ascii="Arial" w:cs="Arial" w:eastAsia="Arial" w:hAnsi="Arial"/>
          <w:sz w:val="22"/>
          <w:szCs w:val="22"/>
          <w:color w:val="auto"/>
        </w:rPr>
        <w:t>”) and all other subsidiaries of the Company and of the Bank.</w:t>
      </w:r>
    </w:p>
    <w:p>
      <w:pPr>
        <w:jc w:val="center"/>
        <w:spacing w:after="0" w:line="231" w:lineRule="auto"/>
        <w:rPr>
          <w:sz w:val="20"/>
          <w:szCs w:val="20"/>
          <w:color w:val="auto"/>
        </w:rPr>
      </w:pPr>
      <w:r>
        <w:rPr>
          <w:rFonts w:ascii="Arial" w:cs="Arial" w:eastAsia="Arial" w:hAnsi="Arial"/>
          <w:sz w:val="22"/>
          <w:szCs w:val="22"/>
          <w:b w:val="1"/>
          <w:bCs w:val="1"/>
          <w:color w:val="auto"/>
        </w:rPr>
        <w:t>RECITALS</w:t>
      </w:r>
    </w:p>
    <w:p>
      <w:pPr>
        <w:spacing w:after="0" w:line="1" w:lineRule="exact"/>
        <w:rPr>
          <w:sz w:val="20"/>
          <w:szCs w:val="20"/>
          <w:color w:val="auto"/>
        </w:rPr>
      </w:pPr>
    </w:p>
    <w:p>
      <w:pPr>
        <w:ind w:right="100"/>
        <w:spacing w:after="0" w:line="241" w:lineRule="auto"/>
        <w:rPr>
          <w:sz w:val="20"/>
          <w:szCs w:val="20"/>
          <w:color w:val="auto"/>
        </w:rPr>
      </w:pPr>
      <w:r>
        <w:rPr>
          <w:rFonts w:ascii="Arial" w:cs="Arial" w:eastAsia="Arial" w:hAnsi="Arial"/>
          <w:sz w:val="21"/>
          <w:szCs w:val="21"/>
          <w:color w:val="auto"/>
        </w:rPr>
        <w:t>WHEREAS, the Company desires to employ the Executive as Executive Vice President and Chief Credit Risk Officer of Amalgamated Financial Corp. and of the Bank, and the Parties wish to establish the terms of such employment effective April 1, 2024, or such earlier date as to which the Parties may mutually agree (the “</w:t>
      </w:r>
      <w:r>
        <w:rPr>
          <w:rFonts w:ascii="Arial" w:cs="Arial" w:eastAsia="Arial" w:hAnsi="Arial"/>
          <w:sz w:val="21"/>
          <w:szCs w:val="21"/>
          <w:u w:val="single" w:color="auto"/>
          <w:color w:val="auto"/>
        </w:rPr>
        <w:t>Effective Date</w:t>
      </w:r>
      <w:r>
        <w:rPr>
          <w:rFonts w:ascii="Arial" w:cs="Arial" w:eastAsia="Arial" w:hAnsi="Arial"/>
          <w:sz w:val="21"/>
          <w:szCs w:val="21"/>
          <w:color w:val="auto"/>
        </w:rPr>
        <w:t>”).</w:t>
      </w:r>
    </w:p>
    <w:p>
      <w:pPr>
        <w:jc w:val="center"/>
        <w:spacing w:after="0" w:line="232" w:lineRule="auto"/>
        <w:rPr>
          <w:sz w:val="20"/>
          <w:szCs w:val="20"/>
          <w:color w:val="auto"/>
        </w:rPr>
      </w:pPr>
      <w:r>
        <w:rPr>
          <w:rFonts w:ascii="Arial" w:cs="Arial" w:eastAsia="Arial" w:hAnsi="Arial"/>
          <w:sz w:val="22"/>
          <w:szCs w:val="22"/>
          <w:b w:val="1"/>
          <w:bCs w:val="1"/>
          <w:color w:val="auto"/>
        </w:rPr>
        <w:t>AGREEMENT</w:t>
      </w:r>
    </w:p>
    <w:p>
      <w:pPr>
        <w:ind w:right="380"/>
        <w:spacing w:after="0" w:line="225" w:lineRule="auto"/>
        <w:rPr>
          <w:sz w:val="20"/>
          <w:szCs w:val="20"/>
          <w:color w:val="auto"/>
        </w:rPr>
      </w:pPr>
      <w:r>
        <w:rPr>
          <w:rFonts w:ascii="Arial" w:cs="Arial" w:eastAsia="Arial" w:hAnsi="Arial"/>
          <w:sz w:val="22"/>
          <w:szCs w:val="22"/>
          <w:color w:val="auto"/>
        </w:rPr>
        <w:t>NOW, THEREFORE, in consideration of the mutual promises and conditions herein set forth, the Parties agree as follows:</w:t>
      </w:r>
    </w:p>
    <w:p>
      <w:pPr>
        <w:spacing w:after="0" w:line="1" w:lineRule="exact"/>
        <w:rPr>
          <w:sz w:val="20"/>
          <w:szCs w:val="20"/>
          <w:color w:val="auto"/>
        </w:rPr>
      </w:pPr>
    </w:p>
    <w:p>
      <w:pPr>
        <w:jc w:val="both"/>
        <w:ind w:left="660" w:hanging="328"/>
        <w:spacing w:after="0" w:line="230" w:lineRule="auto"/>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Acceptance</w:t>
      </w:r>
      <w:r>
        <w:rPr>
          <w:rFonts w:ascii="Times New Roman" w:cs="Times New Roman" w:eastAsia="Times New Roman" w:hAnsi="Times New Roman"/>
          <w:sz w:val="22"/>
          <w:szCs w:val="22"/>
          <w:color w:val="auto"/>
        </w:rPr>
        <w:t>. The Company shall agree to continue to employ the Executive, and the Executive accepts such continued employment, subject to the terms of this Agreement. By executing this Agreement, Executive acknowledges and agrees that she is an “at-will” employee, and accordingly that her employment may be terminated at any time, with or without cause, and with or without reason (subject to the termination provisions of Section 5 below).</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29" w:lineRule="auto"/>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earlier termination pursuant to Section 5 of this Agreement, the term of this Agreement and the period of Executive’s employment hereunder shall begin as of the Effective Date and shall continue for thirty-six (36) full calendar months thereafter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which shall include any periods covered by renewals hereunder). Commencing on January 1, 2025, and continuing on January 1 of each year thereafter (the “Anniversary Date”), this Agreement shall renew for an additional twelve months such that the remaining term shall be thirty-six months (36) months, unless written notice of nonrenewal is provided to Executive at least ninety (90) days prior to any such Anniversary Date, and such end date, as it may prior thereto be extended by mutual written agreement of the Parties, being the </w:t>
      </w:r>
      <w:r>
        <w:rPr>
          <w:rFonts w:ascii="Times New Roman" w:cs="Times New Roman" w:eastAsia="Times New Roman" w:hAnsi="Times New Roman"/>
          <w:sz w:val="22"/>
          <w:szCs w:val="22"/>
          <w:u w:val="single" w:color="auto"/>
          <w:color w:val="auto"/>
        </w:rPr>
        <w:t>“Term Date”</w:t>
      </w:r>
      <w:r>
        <w:rPr>
          <w:rFonts w:ascii="Times New Roman" w:cs="Times New Roman" w:eastAsia="Times New Roman" w:hAnsi="Times New Roman"/>
          <w:sz w:val="22"/>
          <w:szCs w:val="22"/>
          <w:color w:val="auto"/>
        </w:rPr>
        <w:t>. As used in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refer to the period beginning on the Effective Date and ending on the Term Date, or, if earlier, on the date the Executive’s employment terminates in accordance with Section 5 below.</w:t>
      </w:r>
    </w:p>
    <w:p>
      <w:pPr>
        <w:spacing w:after="0" w:line="1"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and Duties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ind w:left="1300" w:right="20" w:hanging="323"/>
        <w:spacing w:after="0" w:line="237"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The Executive shall serve in the capacity of Executive Vice President and Chief Credit Risk Officer of Amalgamated Financial Corp. and of the Bank and</w:t>
      </w:r>
    </w:p>
    <w:p>
      <w:pPr>
        <w:sectPr>
          <w:pgSz w:w="11900" w:h="16838" w:orient="portrait"/>
          <w:cols w:equalWidth="0" w:num="1">
            <w:col w:w="11240"/>
          </w:cols>
          <w:pgMar w:left="320" w:top="1408" w:right="339" w:bottom="1440" w:gutter="0" w:footer="0" w:header="0"/>
        </w:sectPr>
      </w:pPr>
    </w:p>
    <w:bookmarkStart w:id="204" w:name="page205"/>
    <w:bookmarkEnd w:id="204"/>
    <w:p>
      <w:pPr>
        <w:jc w:val="both"/>
        <w:ind w:left="968"/>
        <w:spacing w:after="0" w:line="238" w:lineRule="auto"/>
        <w:rPr>
          <w:sz w:val="20"/>
          <w:szCs w:val="20"/>
          <w:color w:val="auto"/>
        </w:rPr>
      </w:pPr>
      <w:r>
        <w:rPr>
          <w:rFonts w:ascii="Times New Roman" w:cs="Times New Roman" w:eastAsia="Times New Roman" w:hAnsi="Times New Roman"/>
          <w:sz w:val="22"/>
          <w:szCs w:val="22"/>
          <w:color w:val="auto"/>
        </w:rPr>
        <w:t>shall report directly to the President and Chief Executive Officer of Amalgamated Financial Corp. and of the Bank (the “CEO”). The Executive shall be classified as an employee exempt from overtime pay pursuant to the executive exemption under federal and state overtime laws.</w:t>
      </w:r>
    </w:p>
    <w:p>
      <w:pPr>
        <w:jc w:val="both"/>
        <w:ind w:left="968" w:hanging="323"/>
        <w:spacing w:after="0" w:line="229"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xml:space="preserve">. The Executive shall have such authority and responsibilities and shall perform such executive duties customarily performed by the Chief Credit Risk Officer of a commercial bank and shall have such other powers and duties as may from time to time be prescribed by the CEO,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duties are consistent with the Executive’s position or other positions that she may hold from time to time. Without limiting the generality of the foregoing, Executive shall have such duties and responsibilities as usually appertain to the CCRO position, as well as those as shall be assigned by the Chief Executive Officer or by the Board of Directors, in accordance with Executive’s accountability statement. The Executive agrees that during the Term she shall devote her entire working time to the performance of her duties under this Agreement and shall not work for anyone else;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the Company acknowledges that the Executive may serve on such corporate, civic or charitable boards or committees as have been or in the future are disclosed to, and not objected to by, the CEO, such approval not to be unreasonably withheld, and manage the Executive’s personal investments, so long as any such activities do not, individually or in the aggregate, materially interfere with the performance of the Executive’s duties hereunder.</w:t>
      </w:r>
    </w:p>
    <w:p>
      <w:pPr>
        <w:spacing w:after="0" w:line="8" w:lineRule="exact"/>
        <w:rPr>
          <w:sz w:val="20"/>
          <w:szCs w:val="20"/>
          <w:color w:val="auto"/>
        </w:rPr>
      </w:pPr>
    </w:p>
    <w:p>
      <w:pPr>
        <w:jc w:val="both"/>
        <w:ind w:left="968" w:hanging="323"/>
        <w:spacing w:after="0" w:line="22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The Executive’s principal place of work shall be at the Company’s principal office located in New York, New York, subject to reasonable travel requirements on behalf of the Company.</w:t>
      </w:r>
    </w:p>
    <w:p>
      <w:pPr>
        <w:ind w:left="328" w:hanging="328"/>
        <w:spacing w:after="0" w:line="230" w:lineRule="auto"/>
        <w:tabs>
          <w:tab w:leader="none" w:pos="328"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968" w:hanging="323"/>
        <w:spacing w:after="0" w:line="230"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Company shall pay the Executive a base salary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xml:space="preserve">”) initially at an annual rate equal to U.S. $360,594, to be paid in accordance with the Company’s payroll practice for all employees, which payroll practices the Company reserves the right to modify at any time. During the Term, the Company may, at the discretion of the Board, at any time and from time to time prospectively (i) increase the Executive’s Base Salary, or (ii) decrease the Executive’s Base Salary as part of an across-the-board percentage reduction,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reduction shall be pari passu with the CEO.</w:t>
      </w:r>
    </w:p>
    <w:p>
      <w:pPr>
        <w:spacing w:after="0" w:line="3" w:lineRule="exact"/>
        <w:rPr>
          <w:sz w:val="20"/>
          <w:szCs w:val="20"/>
          <w:color w:val="auto"/>
        </w:rPr>
      </w:pPr>
    </w:p>
    <w:p>
      <w:pPr>
        <w:jc w:val="both"/>
        <w:ind w:left="968" w:hanging="323"/>
        <w:spacing w:after="0" w:line="224"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Bonuses and Incentive Compensation</w:t>
      </w:r>
      <w:r>
        <w:rPr>
          <w:rFonts w:ascii="Times New Roman" w:cs="Times New Roman" w:eastAsia="Times New Roman" w:hAnsi="Times New Roman"/>
          <w:sz w:val="22"/>
          <w:szCs w:val="22"/>
          <w:color w:val="auto"/>
        </w:rPr>
        <w:t>. During the Term, subject to Section 7.15 of this Agreement, the Executive shall be eligible for incentive compensation to be paid to her by the Company as follows:</w:t>
      </w:r>
    </w:p>
    <w:p>
      <w:pPr>
        <w:jc w:val="both"/>
        <w:ind w:left="2268" w:hanging="323"/>
        <w:spacing w:after="0" w:line="230" w:lineRule="auto"/>
        <w:rPr>
          <w:sz w:val="20"/>
          <w:szCs w:val="20"/>
          <w:color w:val="auto"/>
        </w:rPr>
      </w:pPr>
      <w:r>
        <w:rPr>
          <w:rFonts w:ascii="Times New Roman" w:cs="Times New Roman" w:eastAsia="Times New Roman" w:hAnsi="Times New Roman"/>
          <w:sz w:val="22"/>
          <w:szCs w:val="22"/>
          <w:color w:val="auto"/>
        </w:rPr>
        <w:t>4.2.1)1)</w:t>
      </w:r>
      <w:r>
        <w:rPr>
          <w:sz w:val="20"/>
          <w:szCs w:val="20"/>
          <w:color w:val="auto"/>
        </w:rPr>
        <w:t xml:space="preserve"> </w:t>
      </w:r>
      <w:r>
        <w:rPr>
          <w:rFonts w:ascii="Times New Roman" w:cs="Times New Roman" w:eastAsia="Times New Roman" w:hAnsi="Times New Roman"/>
          <w:sz w:val="22"/>
          <w:szCs w:val="22"/>
          <w:color w:val="auto"/>
        </w:rPr>
        <w:t>The Executive shall be eligible to receive an annual bonus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for each fiscal year of the Company during the Term, targeted at forty percent (40%) of Base Salary (as determined on July 1 of each fiscal year in accordance with Section 4.1)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based on the achievement of multiple specific annual quantitative and qualitative performance metrics established by the CEO, in consultation with the Executive, for such fiscal year, and subject to the terms and conditions of the Company’s annual incentive plan, as it may be amended from time to time.</w:t>
      </w:r>
    </w:p>
    <w:p>
      <w:pPr>
        <w:spacing w:after="0" w:line="4" w:lineRule="exact"/>
        <w:rPr>
          <w:sz w:val="20"/>
          <w:szCs w:val="20"/>
          <w:color w:val="auto"/>
        </w:rPr>
      </w:pPr>
    </w:p>
    <w:p>
      <w:pPr>
        <w:jc w:val="both"/>
        <w:ind w:left="2268" w:hanging="323"/>
        <w:spacing w:after="0" w:line="237" w:lineRule="auto"/>
        <w:rPr>
          <w:sz w:val="20"/>
          <w:szCs w:val="20"/>
          <w:color w:val="auto"/>
        </w:rPr>
      </w:pPr>
      <w:r>
        <w:rPr>
          <w:rFonts w:ascii="Times New Roman" w:cs="Times New Roman" w:eastAsia="Times New Roman" w:hAnsi="Times New Roman"/>
          <w:sz w:val="22"/>
          <w:szCs w:val="22"/>
          <w:color w:val="auto"/>
        </w:rPr>
        <w:t>4.2.1)2)</w:t>
      </w:r>
      <w:r>
        <w:rPr>
          <w:sz w:val="20"/>
          <w:szCs w:val="20"/>
          <w:color w:val="auto"/>
        </w:rPr>
        <w:t xml:space="preserve"> </w:t>
      </w:r>
      <w:r>
        <w:rPr>
          <w:rFonts w:ascii="Times New Roman" w:cs="Times New Roman" w:eastAsia="Times New Roman" w:hAnsi="Times New Roman"/>
          <w:sz w:val="22"/>
          <w:szCs w:val="22"/>
          <w:color w:val="auto"/>
        </w:rPr>
        <w:t>The Executive also shall be entitled to incentive compensation pursuant to the Company’s equity incentive plans</w:t>
      </w:r>
    </w:p>
    <w:p>
      <w:pPr>
        <w:sectPr>
          <w:pgSz w:w="11900" w:h="16838" w:orient="portrait"/>
          <w:cols w:equalWidth="0" w:num="1">
            <w:col w:w="10908"/>
          </w:cols>
          <w:pgMar w:left="652" w:top="1408" w:right="339" w:bottom="1440" w:gutter="0" w:footer="0" w:header="0"/>
        </w:sectPr>
      </w:pPr>
    </w:p>
    <w:bookmarkStart w:id="205" w:name="page206"/>
    <w:bookmarkEnd w:id="205"/>
    <w:p>
      <w:pPr>
        <w:jc w:val="both"/>
        <w:ind w:left="2268"/>
        <w:spacing w:after="0" w:line="231" w:lineRule="auto"/>
        <w:rPr>
          <w:sz w:val="20"/>
          <w:szCs w:val="20"/>
          <w:color w:val="auto"/>
        </w:rPr>
      </w:pPr>
      <w:r>
        <w:rPr>
          <w:rFonts w:ascii="Times New Roman" w:cs="Times New Roman" w:eastAsia="Times New Roman" w:hAnsi="Times New Roman"/>
          <w:sz w:val="22"/>
          <w:szCs w:val="22"/>
          <w:color w:val="auto"/>
        </w:rPr>
        <w:t>(each an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adopted by the Board of Directors of Amalgamated Financial Corp. (the “Board”) for each fiscal year of the Term. The aggregate potential value of any annual Equity Plan awards granted to the Executive shall be an amount equal to forty percent (40%) of Base Salary in effect at the commencement of the applicable fiscal year (the “</w:t>
      </w:r>
      <w:r>
        <w:rPr>
          <w:rFonts w:ascii="Times New Roman" w:cs="Times New Roman" w:eastAsia="Times New Roman" w:hAnsi="Times New Roman"/>
          <w:sz w:val="22"/>
          <w:szCs w:val="22"/>
          <w:u w:val="single" w:color="auto"/>
          <w:color w:val="auto"/>
        </w:rPr>
        <w:t>Target Grant</w:t>
      </w:r>
      <w:r>
        <w:rPr>
          <w:rFonts w:ascii="Times New Roman" w:cs="Times New Roman" w:eastAsia="Times New Roman" w:hAnsi="Times New Roman"/>
          <w:sz w:val="22"/>
          <w:szCs w:val="22"/>
          <w:color w:val="auto"/>
        </w:rPr>
        <w:t xml:space="preserve">”). However, at the discretion of the Compensation Committee, the Target Grant for any fiscal year may be increased. Notwithstanding anything to the contrary set forth herein, the Executive’s participation in any such Equity Plan shall be governed by the terms of such plan, specifically including its vesting and exercise provisions,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terms of the Executive’s awards shall be not less favorable to her than those granted at such time to the Company’s other executive officers.</w:t>
      </w:r>
    </w:p>
    <w:p>
      <w:pPr>
        <w:spacing w:after="0" w:line="6" w:lineRule="exact"/>
        <w:rPr>
          <w:sz w:val="20"/>
          <w:szCs w:val="20"/>
          <w:color w:val="auto"/>
        </w:rPr>
      </w:pPr>
    </w:p>
    <w:p>
      <w:pPr>
        <w:jc w:val="both"/>
        <w:ind w:left="2268" w:hanging="323"/>
        <w:spacing w:after="0" w:line="230" w:lineRule="auto"/>
        <w:rPr>
          <w:sz w:val="20"/>
          <w:szCs w:val="20"/>
          <w:color w:val="auto"/>
        </w:rPr>
      </w:pPr>
      <w:r>
        <w:rPr>
          <w:rFonts w:ascii="Times New Roman" w:cs="Times New Roman" w:eastAsia="Times New Roman" w:hAnsi="Times New Roman"/>
          <w:sz w:val="22"/>
          <w:szCs w:val="22"/>
          <w:color w:val="auto"/>
        </w:rPr>
        <w:t>4.2.1)3)</w:t>
      </w:r>
      <w:r>
        <w:rPr>
          <w:sz w:val="20"/>
          <w:szCs w:val="20"/>
          <w:color w:val="auto"/>
        </w:rPr>
        <w:t xml:space="preserve"> </w:t>
      </w:r>
      <w:r>
        <w:rPr>
          <w:rFonts w:ascii="Times New Roman" w:cs="Times New Roman" w:eastAsia="Times New Roman" w:hAnsi="Times New Roman"/>
          <w:sz w:val="22"/>
          <w:szCs w:val="22"/>
          <w:color w:val="auto"/>
        </w:rPr>
        <w:t>On the Effective Date, the Executive shall be eligible to, and subject to the terms and conditions herein, shall receive a Long Term Incentive Award (50% RSU and 50% PSU shares) in the form attached hereto as Exhibit A, with respect to shares of the Company’s common stock that have a value on the Effective Date equal to U.S. $150,000 (based upon the closing price on the immediately preceding day).</w:t>
      </w:r>
    </w:p>
    <w:p>
      <w:pPr>
        <w:spacing w:after="0" w:line="3" w:lineRule="exact"/>
        <w:rPr>
          <w:sz w:val="20"/>
          <w:szCs w:val="20"/>
          <w:color w:val="auto"/>
        </w:rPr>
      </w:pPr>
    </w:p>
    <w:p>
      <w:pPr>
        <w:jc w:val="both"/>
        <w:ind w:left="968" w:hanging="323"/>
        <w:spacing w:after="0" w:line="22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Participation in Employee Benefit Plans</w:t>
      </w:r>
      <w:r>
        <w:rPr>
          <w:rFonts w:ascii="Times New Roman" w:cs="Times New Roman" w:eastAsia="Times New Roman" w:hAnsi="Times New Roman"/>
          <w:sz w:val="22"/>
          <w:szCs w:val="22"/>
          <w:color w:val="auto"/>
        </w:rPr>
        <w:t>. During the Term, the Executive shall be entitled to participate in all of the applicable employee benefit plans and perquisite programs of the Company generally made available to other senior executives of Amalgamated Financial Corp., on the same terms as such other senior executives. The Company may at any time or from time to time amend, modify, suspend or terminate any employee benefit plan, program or arrangement for any reason without the Executive’s consent if such amendment, modification, suspension or termination is consistent with the amendment, modification, suspension or termination for other active senior executives of the Company.</w:t>
      </w:r>
    </w:p>
    <w:p>
      <w:pPr>
        <w:spacing w:after="0" w:line="5" w:lineRule="exact"/>
        <w:rPr>
          <w:sz w:val="20"/>
          <w:szCs w:val="20"/>
          <w:color w:val="auto"/>
        </w:rPr>
      </w:pPr>
    </w:p>
    <w:p>
      <w:pPr>
        <w:jc w:val="both"/>
        <w:ind w:left="968" w:hanging="323"/>
        <w:spacing w:after="0" w:line="230" w:lineRule="auto"/>
        <w:rPr>
          <w:sz w:val="20"/>
          <w:szCs w:val="20"/>
          <w:color w:val="auto"/>
        </w:rPr>
      </w:pPr>
      <w:r>
        <w:rPr>
          <w:rFonts w:ascii="Times New Roman" w:cs="Times New Roman" w:eastAsia="Times New Roman" w:hAnsi="Times New Roman"/>
          <w:sz w:val="22"/>
          <w:szCs w:val="22"/>
          <w:color w:val="auto"/>
        </w:rPr>
        <w:t xml:space="preserve">4.4 </w:t>
      </w: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xml:space="preserve"> During the Term, the Executive shall be entitled to receive reimbursement for all appropriate business expenses incurred by her in connection with her duties under this Agreement, in accordance with the policies of the Company as in effect from time to time, and subject to the Company’s requirements with respect to reporting and documentation of such expenses.</w:t>
      </w:r>
    </w:p>
    <w:p>
      <w:pPr>
        <w:ind w:left="328" w:hanging="328"/>
        <w:spacing w:after="0" w:line="232" w:lineRule="auto"/>
        <w:tabs>
          <w:tab w:leader="none" w:pos="328"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968" w:hanging="323"/>
        <w:spacing w:after="0" w:line="230" w:lineRule="auto"/>
        <w:rPr>
          <w:sz w:val="20"/>
          <w:szCs w:val="20"/>
          <w:color w:val="auto"/>
        </w:rPr>
      </w:pPr>
      <w:r>
        <w:rPr>
          <w:rFonts w:ascii="Times New Roman" w:cs="Times New Roman" w:eastAsia="Times New Roman" w:hAnsi="Times New Roman"/>
          <w:sz w:val="22"/>
          <w:szCs w:val="22"/>
          <w:color w:val="auto"/>
        </w:rPr>
        <w:t xml:space="preserve">5.1 </w:t>
      </w:r>
      <w:r>
        <w:rPr>
          <w:rFonts w:ascii="Times New Roman" w:cs="Times New Roman" w:eastAsia="Times New Roman" w:hAnsi="Times New Roman"/>
          <w:sz w:val="22"/>
          <w:szCs w:val="22"/>
          <w:u w:val="single" w:color="auto"/>
          <w:color w:val="auto"/>
        </w:rPr>
        <w:t>Termination upon the Term Date by Executive’s Non-Renewal, By the Company for Cause, by the Executive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without Good Reason, or Due to Executive’s Death or Disability</w:t>
      </w:r>
      <w:r>
        <w:rPr>
          <w:rFonts w:ascii="Times New Roman" w:cs="Times New Roman" w:eastAsia="Times New Roman" w:hAnsi="Times New Roman"/>
          <w:sz w:val="22"/>
          <w:szCs w:val="22"/>
          <w:color w:val="auto"/>
        </w:rPr>
        <w:t>. If the Executive’s employment terminates upon the Term Date, as applicable, due to the Executive’s election of non-renewal or if during the Term: (i) the Company terminates the Executive’s employment with the Company for Cause upon written notice; (ii) the Executive terminates employment without Good Reason; (iii) the Company terminates the Executive’s employment with the Company by reason of the Executive’s Disability upon written notice, or (iv) the Executive’s employment terminates upon the Executive’s death, the Executive (or following the Executive’s death, her estate) shall be entitled to receive the following:</w:t>
      </w:r>
    </w:p>
    <w:p>
      <w:pPr>
        <w:sectPr>
          <w:pgSz w:w="11900" w:h="16838" w:orient="portrait"/>
          <w:cols w:equalWidth="0" w:num="1">
            <w:col w:w="10908"/>
          </w:cols>
          <w:pgMar w:left="652" w:top="1408" w:right="339" w:bottom="1440" w:gutter="0" w:footer="0" w:header="0"/>
        </w:sectPr>
      </w:pPr>
    </w:p>
    <w:bookmarkStart w:id="206" w:name="page207"/>
    <w:bookmarkEnd w:id="206"/>
    <w:p>
      <w:pPr>
        <w:jc w:val="both"/>
        <w:ind w:left="1480" w:hanging="323"/>
        <w:spacing w:after="0" w:line="236" w:lineRule="auto"/>
        <w:rPr>
          <w:sz w:val="20"/>
          <w:szCs w:val="20"/>
          <w:color w:val="auto"/>
        </w:rPr>
      </w:pPr>
      <w:r>
        <w:rPr>
          <w:rFonts w:ascii="Times New Roman" w:cs="Times New Roman" w:eastAsia="Times New Roman" w:hAnsi="Times New Roman"/>
          <w:sz w:val="22"/>
          <w:szCs w:val="22"/>
          <w:color w:val="auto"/>
        </w:rPr>
        <w:t>5.1.1)1)</w:t>
      </w:r>
      <w:r>
        <w:rPr>
          <w:sz w:val="20"/>
          <w:szCs w:val="20"/>
          <w:color w:val="auto"/>
        </w:rPr>
        <w:t xml:space="preserve"> </w:t>
      </w:r>
      <w:r>
        <w:rPr>
          <w:rFonts w:ascii="Times New Roman" w:cs="Times New Roman" w:eastAsia="Times New Roman" w:hAnsi="Times New Roman"/>
          <w:sz w:val="22"/>
          <w:szCs w:val="22"/>
          <w:color w:val="auto"/>
        </w:rPr>
        <w:t>the Executive’s accrued but unpaid Base Salary through the date of termination and any employee benefits, including accrued but unused vacation pay, that the Executive is entitled to receive pursuant to the employee benefit plans of the Company (other than any severance plans) in accordance with the terms of such employee benefit plans; and</w:t>
      </w:r>
    </w:p>
    <w:p>
      <w:pPr>
        <w:spacing w:after="0" w:line="1" w:lineRule="exact"/>
        <w:rPr>
          <w:sz w:val="20"/>
          <w:szCs w:val="20"/>
          <w:color w:val="auto"/>
        </w:rPr>
      </w:pPr>
    </w:p>
    <w:p>
      <w:pPr>
        <w:jc w:val="both"/>
        <w:ind w:left="1480" w:hanging="323"/>
        <w:spacing w:after="0" w:line="226" w:lineRule="auto"/>
        <w:rPr>
          <w:sz w:val="20"/>
          <w:szCs w:val="20"/>
          <w:color w:val="auto"/>
        </w:rPr>
      </w:pPr>
      <w:r>
        <w:rPr>
          <w:rFonts w:ascii="Times New Roman" w:cs="Times New Roman" w:eastAsia="Times New Roman" w:hAnsi="Times New Roman"/>
          <w:sz w:val="22"/>
          <w:szCs w:val="22"/>
          <w:color w:val="auto"/>
        </w:rPr>
        <w:t>5.1.1)2)</w:t>
      </w:r>
      <w:r>
        <w:rPr>
          <w:sz w:val="20"/>
          <w:szCs w:val="20"/>
          <w:color w:val="auto"/>
        </w:rPr>
        <w:t xml:space="preserve"> </w:t>
      </w:r>
      <w:r>
        <w:rPr>
          <w:rFonts w:ascii="Times New Roman" w:cs="Times New Roman" w:eastAsia="Times New Roman" w:hAnsi="Times New Roman"/>
          <w:sz w:val="22"/>
          <w:szCs w:val="22"/>
          <w:color w:val="auto"/>
        </w:rPr>
        <w:t>expenses reimbursable under Section 4.4 above incurred but not yet reimbursed to the Executive to the date of termination (the items under Sections 5.1(a) and 5.1(b) collectively, the “</w:t>
      </w:r>
      <w:r>
        <w:rPr>
          <w:rFonts w:ascii="Times New Roman" w:cs="Times New Roman" w:eastAsia="Times New Roman" w:hAnsi="Times New Roman"/>
          <w:sz w:val="22"/>
          <w:szCs w:val="22"/>
          <w:u w:val="single" w:color="auto"/>
          <w:color w:val="auto"/>
        </w:rPr>
        <w:t>Accrued Benefits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480" w:hanging="323"/>
        <w:spacing w:after="0" w:line="230" w:lineRule="auto"/>
        <w:rPr>
          <w:sz w:val="20"/>
          <w:szCs w:val="20"/>
          <w:color w:val="auto"/>
        </w:rPr>
      </w:pPr>
      <w:r>
        <w:rPr>
          <w:rFonts w:ascii="Times New Roman" w:cs="Times New Roman" w:eastAsia="Times New Roman" w:hAnsi="Times New Roman"/>
          <w:sz w:val="22"/>
          <w:szCs w:val="22"/>
          <w:color w:val="auto"/>
        </w:rPr>
        <w:t>5.1.1)3)</w:t>
      </w:r>
      <w:r>
        <w:rPr>
          <w:sz w:val="20"/>
          <w:szCs w:val="20"/>
          <w:color w:val="auto"/>
        </w:rPr>
        <w:t xml:space="preserve"> </w:t>
      </w:r>
      <w:r>
        <w:rPr>
          <w:rFonts w:ascii="Times New Roman" w:cs="Times New Roman" w:eastAsia="Times New Roman" w:hAnsi="Times New Roman"/>
          <w:sz w:val="22"/>
          <w:szCs w:val="22"/>
          <w:color w:val="auto"/>
        </w:rPr>
        <w:t>The Executive may only terminate her employment without Good Reason by providing ninety (90) days’ advance written notice (which notice period the Company may shorten in its sole discretion and which shall not be deemed a termination without Cause).</w:t>
      </w:r>
    </w:p>
    <w:p>
      <w:pPr>
        <w:ind w:left="1160"/>
        <w:spacing w:after="0"/>
        <w:tabs>
          <w:tab w:leader="none" w:pos="2100" w:val="left"/>
        </w:tabs>
        <w:rPr>
          <w:sz w:val="20"/>
          <w:szCs w:val="20"/>
          <w:color w:val="auto"/>
        </w:rPr>
      </w:pPr>
      <w:r>
        <w:rPr>
          <w:rFonts w:ascii="Times New Roman" w:cs="Times New Roman" w:eastAsia="Times New Roman" w:hAnsi="Times New Roman"/>
          <w:sz w:val="22"/>
          <w:szCs w:val="22"/>
          <w:color w:val="auto"/>
        </w:rPr>
        <w:t>5.1.1)4)</w:t>
      </w:r>
      <w:r>
        <w:rPr>
          <w:sz w:val="20"/>
          <w:szCs w:val="20"/>
          <w:color w:val="auto"/>
        </w:rPr>
        <w:tab/>
      </w:r>
      <w:r>
        <w:rPr>
          <w:rFonts w:ascii="Times New Roman" w:cs="Times New Roman" w:eastAsia="Times New Roman" w:hAnsi="Times New Roman"/>
          <w:sz w:val="21"/>
          <w:szCs w:val="21"/>
          <w:color w:val="auto"/>
        </w:rPr>
        <w:t>As used in this Agreement, the following terms shall have the meanings set forth below:</w:t>
      </w:r>
    </w:p>
    <w:p>
      <w:pPr>
        <w:ind w:left="1800"/>
        <w:spacing w:after="0" w:line="230" w:lineRule="auto"/>
        <w:rPr>
          <w:sz w:val="20"/>
          <w:szCs w:val="20"/>
          <w:color w:val="auto"/>
        </w:rPr>
      </w:pPr>
      <w:r>
        <w:rPr>
          <w:rFonts w:ascii="Times New Roman" w:cs="Times New Roman" w:eastAsia="Times New Roman" w:hAnsi="Times New Roman"/>
          <w:sz w:val="22"/>
          <w:szCs w:val="22"/>
          <w:color w:val="auto"/>
        </w:rPr>
        <w:t>5.1.1)4)1) “</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(A) the Executive’s conviction of a felony or any crime involving</w:t>
      </w:r>
    </w:p>
    <w:p>
      <w:pPr>
        <w:spacing w:after="0" w:line="1" w:lineRule="exact"/>
        <w:rPr>
          <w:sz w:val="20"/>
          <w:szCs w:val="20"/>
          <w:color w:val="auto"/>
        </w:rPr>
      </w:pPr>
    </w:p>
    <w:p>
      <w:pPr>
        <w:jc w:val="both"/>
        <w:ind w:left="2120"/>
        <w:spacing w:after="0" w:line="239" w:lineRule="auto"/>
        <w:rPr>
          <w:sz w:val="20"/>
          <w:szCs w:val="20"/>
          <w:color w:val="auto"/>
        </w:rPr>
      </w:pPr>
      <w:r>
        <w:rPr>
          <w:rFonts w:ascii="Times New Roman" w:cs="Times New Roman" w:eastAsia="Times New Roman" w:hAnsi="Times New Roman"/>
          <w:sz w:val="21"/>
          <w:szCs w:val="21"/>
          <w:color w:val="auto"/>
        </w:rPr>
        <w:t xml:space="preserve">dishonesty or theft; (B) the Executive’s conduct in connection with her employment duties or responsibilities that is fraudulent, unlawful or grossly negligent; (C) the Executive’s misconduct; (D) the Executive’s contravention of specific lawful directions of the Board related to a material duty or responsibility; (E) the Executive’s material breach of the Executive’s obligations under this Agreement; (F) any acts of dishonesty by the Executive resulting or intending to result in personal gain or enrichment at the expense of the Company; or (G) the Executive’s failure to comply with a material policy of the Company, including, but not limited to, any policies prohibiting harassment or discrimination and any Code of Business Conduct and Ethics, as in effect from time to time;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shall have ninety (90) days from the occurrence of the event that constitutes Cause to provide notice to the Executive that the Company intends to terminate the Executive’s employment for Cause. In the event the Company determines facts exist to justify a Cause termination, the Executive shall be given at least fifteen (15) days’ notice of such determination and a written explanation of the facts used by the Board to justify Cause. The Executive shall then be given ten (10) days to cure same, if there is a reasonably feasible way to cure, to the reasonable determination of the Board prior to any termination.</w:t>
      </w:r>
    </w:p>
    <w:p>
      <w:pPr>
        <w:spacing w:after="0" w:line="13" w:lineRule="exact"/>
        <w:rPr>
          <w:sz w:val="20"/>
          <w:szCs w:val="20"/>
          <w:color w:val="auto"/>
        </w:rPr>
      </w:pPr>
    </w:p>
    <w:p>
      <w:pPr>
        <w:ind w:left="2120" w:hanging="323"/>
        <w:spacing w:after="0" w:line="230" w:lineRule="auto"/>
        <w:rPr>
          <w:sz w:val="20"/>
          <w:szCs w:val="20"/>
          <w:color w:val="auto"/>
        </w:rPr>
      </w:pPr>
      <w:r>
        <w:rPr>
          <w:rFonts w:ascii="Times New Roman" w:cs="Times New Roman" w:eastAsia="Times New Roman" w:hAnsi="Times New Roman"/>
          <w:sz w:val="22"/>
          <w:szCs w:val="22"/>
          <w:color w:val="auto"/>
        </w:rPr>
        <w:t>5.1.1)4)2) “</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one or more of the following events:</w:t>
      </w:r>
    </w:p>
    <w:p>
      <w:pPr>
        <w:spacing w:after="0" w:line="1" w:lineRule="exact"/>
        <w:rPr>
          <w:sz w:val="20"/>
          <w:szCs w:val="20"/>
          <w:color w:val="auto"/>
        </w:rPr>
      </w:pPr>
    </w:p>
    <w:p>
      <w:pPr>
        <w:ind w:left="3100"/>
        <w:spacing w:after="0"/>
        <w:tabs>
          <w:tab w:leader="none" w:pos="4700" w:val="left"/>
        </w:tabs>
        <w:rPr>
          <w:sz w:val="20"/>
          <w:szCs w:val="20"/>
          <w:color w:val="auto"/>
        </w:rPr>
      </w:pPr>
      <w:r>
        <w:rPr>
          <w:rFonts w:ascii="Times New Roman" w:cs="Times New Roman" w:eastAsia="Times New Roman" w:hAnsi="Times New Roman"/>
          <w:sz w:val="22"/>
          <w:szCs w:val="22"/>
          <w:color w:val="auto"/>
        </w:rPr>
        <w:t>5.1.1)4)2)1)1)</w:t>
      </w:r>
      <w:r>
        <w:rPr>
          <w:sz w:val="20"/>
          <w:szCs w:val="20"/>
          <w:color w:val="auto"/>
        </w:rPr>
        <w:tab/>
      </w:r>
      <w:r>
        <w:rPr>
          <w:rFonts w:ascii="Times New Roman" w:cs="Times New Roman" w:eastAsia="Times New Roman" w:hAnsi="Times New Roman"/>
          <w:sz w:val="21"/>
          <w:szCs w:val="21"/>
          <w:color w:val="auto"/>
        </w:rPr>
        <w:t>the consummation of a transaction, or a series of related</w:t>
      </w:r>
    </w:p>
    <w:p>
      <w:pPr>
        <w:sectPr>
          <w:pgSz w:w="11900" w:h="16838" w:orient="portrait"/>
          <w:cols w:equalWidth="0" w:num="1">
            <w:col w:w="10120"/>
          </w:cols>
          <w:pgMar w:left="1440" w:top="1408" w:right="339" w:bottom="1440" w:gutter="0" w:footer="0" w:header="0"/>
        </w:sectPr>
      </w:pPr>
    </w:p>
    <w:bookmarkStart w:id="207" w:name="page208"/>
    <w:bookmarkEnd w:id="207"/>
    <w:p>
      <w:pPr>
        <w:jc w:val="both"/>
        <w:ind w:left="4540"/>
        <w:spacing w:after="0" w:line="235" w:lineRule="auto"/>
        <w:rPr>
          <w:sz w:val="20"/>
          <w:szCs w:val="20"/>
          <w:color w:val="auto"/>
        </w:rPr>
      </w:pPr>
      <w:r>
        <w:rPr>
          <w:rFonts w:ascii="Times New Roman" w:cs="Times New Roman" w:eastAsia="Times New Roman" w:hAnsi="Times New Roman"/>
          <w:sz w:val="22"/>
          <w:szCs w:val="22"/>
          <w:color w:val="auto"/>
        </w:rPr>
        <w:t>transactions undertaken with a common purpose, in which any individual, entity or group (a “</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acquires ownership of stock of the Company that, together with stock held by such Person, constitutes more than fifty percent (50%) of the total fair market value or total voting power of the Company’s stock; or</w:t>
      </w:r>
    </w:p>
    <w:p>
      <w:pPr>
        <w:jc w:val="both"/>
        <w:ind w:left="4540" w:hanging="323"/>
        <w:spacing w:after="0" w:line="228" w:lineRule="auto"/>
        <w:rPr>
          <w:sz w:val="20"/>
          <w:szCs w:val="20"/>
          <w:color w:val="auto"/>
        </w:rPr>
      </w:pPr>
      <w:r>
        <w:rPr>
          <w:rFonts w:ascii="Times New Roman" w:cs="Times New Roman" w:eastAsia="Times New Roman" w:hAnsi="Times New Roman"/>
          <w:sz w:val="22"/>
          <w:szCs w:val="22"/>
          <w:color w:val="auto"/>
        </w:rPr>
        <w:t>5.1.1)4)2)1)2)</w:t>
      </w:r>
      <w:r>
        <w:rPr>
          <w:sz w:val="20"/>
          <w:szCs w:val="20"/>
          <w:color w:val="auto"/>
        </w:rPr>
        <w:t xml:space="preserve"> </w:t>
      </w:r>
      <w:r>
        <w:rPr>
          <w:rFonts w:ascii="Times New Roman" w:cs="Times New Roman" w:eastAsia="Times New Roman" w:hAnsi="Times New Roman"/>
          <w:sz w:val="22"/>
          <w:szCs w:val="22"/>
          <w:color w:val="auto"/>
        </w:rPr>
        <w:t>a sale, lease, exchange or other transfer, in one transaction or a series of related transactions undertaken with a common purpose, of the Company’s assets having a total gross fair market value of forty percent (40%) or more of the total gross fair market value of all of the assets of the Company. For this purpose, “</w:t>
      </w:r>
      <w:r>
        <w:rPr>
          <w:rFonts w:ascii="Times New Roman" w:cs="Times New Roman" w:eastAsia="Times New Roman" w:hAnsi="Times New Roman"/>
          <w:sz w:val="22"/>
          <w:szCs w:val="22"/>
          <w:b w:val="1"/>
          <w:bCs w:val="1"/>
          <w:i w:val="1"/>
          <w:iCs w:val="1"/>
          <w:color w:val="auto"/>
        </w:rPr>
        <w:t>gross fair market value</w:t>
      </w:r>
      <w:r>
        <w:rPr>
          <w:rFonts w:ascii="Times New Roman" w:cs="Times New Roman" w:eastAsia="Times New Roman" w:hAnsi="Times New Roman"/>
          <w:sz w:val="22"/>
          <w:szCs w:val="22"/>
          <w:color w:val="auto"/>
        </w:rPr>
        <w:t>” means the value of the assets of the Company, or the value of the assets being disposed of, determined without regard to any liabilities associated with such assets.</w:t>
      </w:r>
    </w:p>
    <w:p>
      <w:pPr>
        <w:spacing w:after="0" w:line="5"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2"/>
          <w:szCs w:val="22"/>
          <w:color w:val="auto"/>
        </w:rPr>
        <w:t>For purposes of this Agreement, a Change In Control will not include (1) a transaction in which the holders of the outstanding voting securities of the Company immediately prior to the transaction hold at least fifty percent (50%) of the outstanding voting securities of the successor Company immediately after the transaction; (2) any transaction or series of transactions approved by the Board principally for bona fide equity financing purposes in which cash is received by the Company or any successor thereto or indebtedness of the Company is cancelled or converted or a combination thereof; (3) a sale, lease, exchange or other transfer of all or substantially all of the Company’s assets to a majority-owned Subsidiary; or (4) a transaction undertaken for the principal purpose of restructuring the capital of the Company, including, but not limited to, reincorporating the Company in a different jurisdiction.</w:t>
      </w:r>
    </w:p>
    <w:p>
      <w:pPr>
        <w:spacing w:after="0" w:line="8" w:lineRule="exact"/>
        <w:rPr>
          <w:sz w:val="20"/>
          <w:szCs w:val="20"/>
          <w:color w:val="auto"/>
        </w:rPr>
      </w:pPr>
    </w:p>
    <w:p>
      <w:pPr>
        <w:jc w:val="both"/>
        <w:ind w:firstLine="648"/>
        <w:spacing w:after="0" w:line="230" w:lineRule="auto"/>
        <w:rPr>
          <w:sz w:val="20"/>
          <w:szCs w:val="20"/>
          <w:color w:val="auto"/>
        </w:rPr>
      </w:pPr>
      <w:r>
        <w:rPr>
          <w:rFonts w:ascii="Times New Roman" w:cs="Times New Roman" w:eastAsia="Times New Roman" w:hAnsi="Times New Roman"/>
          <w:sz w:val="22"/>
          <w:szCs w:val="22"/>
          <w:color w:val="auto"/>
        </w:rPr>
        <w:t>Notwithstanding the foregoing, a “Change in Control” will only be deemed to occur if the consummation of the corporate transaction meets the requirements of Treas. Reg. Section 1.409A-3(a)(5).</w:t>
      </w:r>
    </w:p>
    <w:p>
      <w:pPr>
        <w:spacing w:after="0" w:line="1" w:lineRule="exact"/>
        <w:rPr>
          <w:sz w:val="20"/>
          <w:szCs w:val="20"/>
          <w:color w:val="auto"/>
        </w:rPr>
      </w:pPr>
    </w:p>
    <w:p>
      <w:pPr>
        <w:jc w:val="both"/>
        <w:ind w:left="3240" w:hanging="323"/>
        <w:spacing w:after="0" w:line="230" w:lineRule="auto"/>
        <w:rPr>
          <w:sz w:val="20"/>
          <w:szCs w:val="20"/>
          <w:color w:val="auto"/>
        </w:rPr>
      </w:pPr>
      <w:r>
        <w:rPr>
          <w:rFonts w:ascii="Times New Roman" w:cs="Times New Roman" w:eastAsia="Times New Roman" w:hAnsi="Times New Roman"/>
          <w:sz w:val="22"/>
          <w:szCs w:val="22"/>
          <w:color w:val="auto"/>
        </w:rPr>
        <w:t>5.1.1)4)1) “</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as a result of a permanent physical or mental injury or illness, the Executive has been unable to perform the essential functions of her job, with or without reasonable accommodation, for (a) 60 consecutive days or (b) a period of 150 days in any 12-month period. The Company shall make its determination in a reasonable manner and shall take into consideration the opinion of Executive’s personal physician, if reasonably available, and any other physician deemed appropriate by the Company, but such determination by the Company shall be final and binding on the parties hereto. This provision shall be interpreted and applied in a manner consistent with all applicable laws, including laws regarding workers’</w:t>
      </w:r>
    </w:p>
    <w:p>
      <w:pPr>
        <w:sectPr>
          <w:pgSz w:w="11900" w:h="16838" w:orient="portrait"/>
          <w:cols w:equalWidth="0" w:num="1">
            <w:col w:w="11240"/>
          </w:cols>
          <w:pgMar w:left="320" w:top="1408" w:right="339" w:bottom="1440" w:gutter="0" w:footer="0" w:header="0"/>
        </w:sectPr>
      </w:pPr>
    </w:p>
    <w:bookmarkStart w:id="208" w:name="page209"/>
    <w:bookmarkEnd w:id="208"/>
    <w:p>
      <w:pPr>
        <w:ind w:left="2120"/>
        <w:spacing w:after="0"/>
        <w:rPr>
          <w:sz w:val="20"/>
          <w:szCs w:val="20"/>
          <w:color w:val="auto"/>
        </w:rPr>
      </w:pPr>
      <w:r>
        <w:rPr>
          <w:rFonts w:ascii="Times New Roman" w:cs="Times New Roman" w:eastAsia="Times New Roman" w:hAnsi="Times New Roman"/>
          <w:sz w:val="22"/>
          <w:szCs w:val="22"/>
          <w:color w:val="auto"/>
        </w:rPr>
        <w:t>compensation, disability, and family and medical leave laws.</w:t>
      </w:r>
    </w:p>
    <w:p>
      <w:pPr>
        <w:spacing w:after="0" w:line="14" w:lineRule="exact"/>
        <w:rPr>
          <w:sz w:val="20"/>
          <w:szCs w:val="20"/>
          <w:color w:val="auto"/>
        </w:rPr>
      </w:pPr>
    </w:p>
    <w:p>
      <w:pPr>
        <w:jc w:val="both"/>
        <w:ind w:left="2120" w:hanging="323"/>
        <w:spacing w:after="0" w:line="229" w:lineRule="auto"/>
        <w:rPr>
          <w:sz w:val="20"/>
          <w:szCs w:val="20"/>
          <w:color w:val="auto"/>
        </w:rPr>
      </w:pPr>
      <w:r>
        <w:rPr>
          <w:rFonts w:ascii="Times New Roman" w:cs="Times New Roman" w:eastAsia="Times New Roman" w:hAnsi="Times New Roman"/>
          <w:sz w:val="22"/>
          <w:szCs w:val="22"/>
          <w:color w:val="auto"/>
        </w:rPr>
        <w:t>5.1.1)4)2) “</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means, without the Executive’s written consent: (A) a reduction in the Executive’s Base Salary; (B) subject to Section 5.3 of this Agreement, a substantial diminution in the Executive’s title, duties or responsibilities; (C) the Company’s breach of any material covenant or obligation under this Agreement; or (D) relocation of the Executive’s principal work location to a location outside of New York county;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have thirty (30) days after receipt of notice from the Executive in writing specifying the deficiency to cure the deficiency that would result in Good Reason, to the extent curable;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Executive delivered such written notice within 90 days after the first occurrence of the action alleged to be Good Reason;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Company has not cured the deficiency before expiration of such 30-day period, Executive shall have resigned within ninety (90) days thereafter.</w:t>
      </w:r>
    </w:p>
    <w:p>
      <w:pPr>
        <w:spacing w:after="0" w:line="4" w:lineRule="exact"/>
        <w:rPr>
          <w:sz w:val="20"/>
          <w:szCs w:val="20"/>
          <w:color w:val="auto"/>
        </w:rPr>
      </w:pPr>
    </w:p>
    <w:p>
      <w:pPr>
        <w:jc w:val="both"/>
        <w:ind w:left="180" w:hanging="323"/>
        <w:spacing w:after="0" w:line="228"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By the Company Without Cause, by the Company’s Non-renewal of the Term, or by the Executive with Good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Reason.</w:t>
      </w:r>
      <w:r>
        <w:rPr>
          <w:rFonts w:ascii="Times New Roman" w:cs="Times New Roman" w:eastAsia="Times New Roman" w:hAnsi="Times New Roman"/>
          <w:sz w:val="22"/>
          <w:szCs w:val="22"/>
          <w:color w:val="auto"/>
        </w:rPr>
        <w:t xml:space="preserve"> If at any time during the Term, the Company terminates the Executive’s employment without Cause other than due to Disability, the Executive’s employment terminates on the Term Date due to the Company non-renewal of the then-current Term, or the Executive terminates her employment upon notice (except as described in the definition of Good Reason) with Good Reason, other than following the occurrence of an event that could reasonably be expected to result in a termination of her employment by the Company for Cause, the Executive shall be entitled to receive:</w:t>
      </w:r>
    </w:p>
    <w:p>
      <w:pPr>
        <w:ind w:left="1160"/>
        <w:spacing w:after="0"/>
        <w:tabs>
          <w:tab w:leader="none" w:pos="2100" w:val="left"/>
        </w:tabs>
        <w:rPr>
          <w:sz w:val="20"/>
          <w:szCs w:val="20"/>
          <w:color w:val="auto"/>
        </w:rPr>
      </w:pPr>
      <w:r>
        <w:rPr>
          <w:rFonts w:ascii="Times New Roman" w:cs="Times New Roman" w:eastAsia="Times New Roman" w:hAnsi="Times New Roman"/>
          <w:sz w:val="22"/>
          <w:szCs w:val="22"/>
          <w:color w:val="auto"/>
        </w:rPr>
        <w:t>5.2.1)1)</w:t>
      </w:r>
      <w:r>
        <w:rPr>
          <w:sz w:val="20"/>
          <w:szCs w:val="20"/>
          <w:color w:val="auto"/>
        </w:rPr>
        <w:tab/>
      </w:r>
      <w:r>
        <w:rPr>
          <w:rFonts w:ascii="Times New Roman" w:cs="Times New Roman" w:eastAsia="Times New Roman" w:hAnsi="Times New Roman"/>
          <w:sz w:val="21"/>
          <w:szCs w:val="21"/>
          <w:color w:val="auto"/>
        </w:rPr>
        <w:t>the Accrued Benefits; and</w:t>
      </w:r>
    </w:p>
    <w:p>
      <w:pPr>
        <w:jc w:val="both"/>
        <w:ind w:left="1480" w:hanging="323"/>
        <w:spacing w:after="0" w:line="255" w:lineRule="auto"/>
        <w:rPr>
          <w:sz w:val="20"/>
          <w:szCs w:val="20"/>
          <w:color w:val="auto"/>
        </w:rPr>
      </w:pPr>
      <w:r>
        <w:rPr>
          <w:rFonts w:ascii="Times New Roman" w:cs="Times New Roman" w:eastAsia="Times New Roman" w:hAnsi="Times New Roman"/>
          <w:sz w:val="22"/>
          <w:szCs w:val="22"/>
          <w:color w:val="auto"/>
        </w:rPr>
        <w:t>5.2.1)2)</w:t>
      </w:r>
      <w:r>
        <w:rPr>
          <w:sz w:val="20"/>
          <w:szCs w:val="20"/>
          <w:color w:val="auto"/>
        </w:rPr>
        <w:t xml:space="preserve"> </w:t>
      </w:r>
      <w:r>
        <w:rPr>
          <w:rFonts w:ascii="Times New Roman" w:cs="Times New Roman" w:eastAsia="Times New Roman" w:hAnsi="Times New Roman"/>
          <w:sz w:val="20"/>
          <w:szCs w:val="20"/>
          <w:color w:val="auto"/>
        </w:rPr>
        <w:t>beginning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such termination of employment, but only if the Executive has executed and not revoked within the revocation period a valid release agreement in a form reasonably acceptable to the Company (but which shall not release any right to indemnification nor impose any further restrictive covenants), a severance payment in an amount equal to the sum of (i) twelve (12) months of the Executive’s Base Salary in effect on the date of such termination, (ii) an amount equal to the Annual Target Bonus in effect for the fiscal year in which the date of such termination occurs, and (iii) an amount equal to the Annual Target Bonus in effect for the fiscal year in which Executive’s employment terminates, pro-rated based on the portion of such fiscal year prior to her termination date during which the Executive was employed, which sum shall be payable in equal monthly installments for a period of twelve (12) months; provided that, if (A) such termination occurs within twelve (12) months following a Change in Control or (B) the Company terminates the Executive’s employment without Cause other than due to Disability within</w:t>
      </w:r>
    </w:p>
    <w:p>
      <w:pPr>
        <w:sectPr>
          <w:pgSz w:w="11900" w:h="16838" w:orient="portrait"/>
          <w:cols w:equalWidth="0" w:num="1">
            <w:col w:w="10120"/>
          </w:cols>
          <w:pgMar w:left="1440" w:top="1408" w:right="339" w:bottom="1440" w:gutter="0" w:footer="0" w:header="0"/>
        </w:sectPr>
      </w:pPr>
    </w:p>
    <w:bookmarkStart w:id="209" w:name="page210"/>
    <w:bookmarkEnd w:id="209"/>
    <w:p>
      <w:pPr>
        <w:jc w:val="both"/>
        <w:ind w:left="1480"/>
        <w:spacing w:after="0" w:line="231" w:lineRule="auto"/>
        <w:rPr>
          <w:sz w:val="20"/>
          <w:szCs w:val="20"/>
          <w:color w:val="auto"/>
        </w:rPr>
      </w:pPr>
      <w:r>
        <w:rPr>
          <w:rFonts w:ascii="Times New Roman" w:cs="Times New Roman" w:eastAsia="Times New Roman" w:hAnsi="Times New Roman"/>
          <w:sz w:val="22"/>
          <w:szCs w:val="22"/>
          <w:color w:val="auto"/>
        </w:rPr>
        <w:t>ninety (90) days’ prior to a Change in Control and the Executive reasonably demonstrates that such termination was at the request of the eventual acquirer in connection with such Change in Control, such severance payment shall be in an amount equal to the sum of (i) twenty-one (21) months of the Executive’s Base Salary in effect on the date of such termination, and (ii) an amount equal to one hundred seventy-five percent (175%) of the Annual Target Bonus in effect for the fiscal year in which the date of such termination occurs, payable in equal monthly installments for a period of twenty-one (21) months. If not yet paid, Executive will also receive in full any prior year’s Annual Bonus not yet paid as of the termination date, payable on the normal payment date provided under the plan and paid entirely in cash. Payments that would otherwise have been owed to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termination of employment shall be made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such termination of employment.</w:t>
      </w:r>
    </w:p>
    <w:p>
      <w:pPr>
        <w:spacing w:after="0" w:line="5" w:lineRule="exact"/>
        <w:rPr>
          <w:sz w:val="20"/>
          <w:szCs w:val="20"/>
          <w:color w:val="auto"/>
        </w:rPr>
      </w:pPr>
    </w:p>
    <w:p>
      <w:pPr>
        <w:jc w:val="both"/>
        <w:ind w:left="1480" w:hanging="323"/>
        <w:spacing w:after="0" w:line="229" w:lineRule="auto"/>
        <w:rPr>
          <w:sz w:val="20"/>
          <w:szCs w:val="20"/>
          <w:color w:val="auto"/>
        </w:rPr>
      </w:pPr>
      <w:r>
        <w:rPr>
          <w:rFonts w:ascii="Times New Roman" w:cs="Times New Roman" w:eastAsia="Times New Roman" w:hAnsi="Times New Roman"/>
          <w:sz w:val="22"/>
          <w:szCs w:val="22"/>
          <w:color w:val="auto"/>
        </w:rPr>
        <w:t>5.2.1)3)</w:t>
      </w:r>
      <w:r>
        <w:rPr>
          <w:sz w:val="20"/>
          <w:szCs w:val="20"/>
          <w:color w:val="auto"/>
        </w:rPr>
        <w:t xml:space="preserve"> </w:t>
      </w:r>
      <w:r>
        <w:rPr>
          <w:rFonts w:ascii="Times New Roman" w:cs="Times New Roman" w:eastAsia="Times New Roman" w:hAnsi="Times New Roman"/>
          <w:sz w:val="22"/>
          <w:szCs w:val="22"/>
          <w:color w:val="auto"/>
        </w:rPr>
        <w:t>In addition, if the Executive satisfies the release condition set forth in the preceding paragraph, then from the date of her termination of employment until twelve (12) months following the end of the month in which such termination occurs, the Company shall pay the premiums for any “COBRA” continuation health coverage for which the Executive is eligible during such 12-month period under Section 4980B of the Internal Revenue Code of 1986, as amended (the “</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xml:space="preserve">”) (or any successor provision);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COBRA payments that would otherwise have been paid on behalf of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termination of employment shall be paid by the Executive and reimbursed by the Company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such termination of employment.</w:t>
      </w:r>
    </w:p>
    <w:p>
      <w:pPr>
        <w:spacing w:after="0" w:line="1" w:lineRule="exact"/>
        <w:rPr>
          <w:sz w:val="20"/>
          <w:szCs w:val="20"/>
          <w:color w:val="auto"/>
        </w:rPr>
      </w:pP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Duties prior to Termination</w:t>
      </w:r>
      <w:r>
        <w:rPr>
          <w:rFonts w:ascii="Times New Roman" w:cs="Times New Roman" w:eastAsia="Times New Roman" w:hAnsi="Times New Roman"/>
          <w:sz w:val="22"/>
          <w:szCs w:val="22"/>
          <w:color w:val="auto"/>
        </w:rPr>
        <w:t>. Following a notice of termination of the Executive’s employment hereunder from either Party and prior to the applicable date of termination, the Company may (a) require the Executive to continue to perform the Executive’s duties hereunder on the Company’s behalf, (b) limit or impose reasonable restrictions on the Executive’s activities as it deems necessary, or (c) modify the Executive’s authorities, responsibilities and/or duties (including as provided in Section 3.2 of this Agreement) without such action constituting a violation of this Agreement or Good Reason.</w:t>
      </w:r>
    </w:p>
    <w:p>
      <w:pPr>
        <w:spacing w:after="0" w:line="3" w:lineRule="exact"/>
        <w:rPr>
          <w:sz w:val="20"/>
          <w:szCs w:val="20"/>
          <w:color w:val="auto"/>
        </w:rPr>
      </w:pP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 xml:space="preserve">5.4 </w:t>
      </w:r>
      <w:r>
        <w:rPr>
          <w:rFonts w:ascii="Times New Roman" w:cs="Times New Roman" w:eastAsia="Times New Roman" w:hAnsi="Times New Roman"/>
          <w:sz w:val="22"/>
          <w:szCs w:val="22"/>
          <w:u w:val="single" w:color="auto"/>
          <w:color w:val="auto"/>
        </w:rPr>
        <w:t>Continued Employment Beyond the Expiration of the Term</w:t>
      </w:r>
      <w:r>
        <w:rPr>
          <w:rFonts w:ascii="Times New Roman" w:cs="Times New Roman" w:eastAsia="Times New Roman" w:hAnsi="Times New Roman"/>
          <w:sz w:val="22"/>
          <w:szCs w:val="22"/>
          <w:color w:val="auto"/>
        </w:rPr>
        <w:t xml:space="preserve">. Unless the Parties otherwise agree in writing and except for those Accrued Benefits or severance obligations owed under Section 5.1 or 5.2 above, in connection with any termination due to non-renewal, continuation of the Executive’s employment with the Company beyond the expiration of the Term shall only occur if mutually agreed to by the Parties in writing, in which event her employment shall be deemed an employment at-will and shall not be deemed to extend any of the provisions of this Agreement and the Executive’s employment may thereafter be terminated at-will by either the Executive or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provisions of this Agreement that contemplate performance following the expiration of the Term shall survive not only any termination of this Agreement</w:t>
      </w:r>
    </w:p>
    <w:p>
      <w:pPr>
        <w:sectPr>
          <w:pgSz w:w="11900" w:h="16838" w:orient="portrait"/>
          <w:cols w:equalWidth="0" w:num="1">
            <w:col w:w="10120"/>
          </w:cols>
          <w:pgMar w:left="1440" w:top="1408" w:right="339" w:bottom="1440" w:gutter="0" w:footer="0" w:header="0"/>
        </w:sectPr>
      </w:pPr>
    </w:p>
    <w:bookmarkStart w:id="210" w:name="page211"/>
    <w:bookmarkEnd w:id="210"/>
    <w:p>
      <w:pPr>
        <w:ind w:left="968" w:right="20"/>
        <w:spacing w:after="0" w:line="241" w:lineRule="auto"/>
        <w:rPr>
          <w:sz w:val="20"/>
          <w:szCs w:val="20"/>
          <w:color w:val="auto"/>
        </w:rPr>
      </w:pPr>
      <w:r>
        <w:rPr>
          <w:rFonts w:ascii="Times New Roman" w:cs="Times New Roman" w:eastAsia="Times New Roman" w:hAnsi="Times New Roman"/>
          <w:sz w:val="22"/>
          <w:szCs w:val="22"/>
          <w:color w:val="auto"/>
        </w:rPr>
        <w:t>but also the termination of the Executive’s employment hereunder, including, without limitation, Sections 6, 7 and 8.12 of this Agreement.</w:t>
      </w:r>
    </w:p>
    <w:p>
      <w:pPr>
        <w:spacing w:after="0" w:line="2" w:lineRule="exact"/>
        <w:rPr>
          <w:sz w:val="20"/>
          <w:szCs w:val="20"/>
          <w:color w:val="auto"/>
        </w:rPr>
      </w:pPr>
    </w:p>
    <w:p>
      <w:pPr>
        <w:jc w:val="both"/>
        <w:ind w:left="968" w:hanging="323"/>
        <w:spacing w:after="0" w:line="227"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Removal from Boards and Positions</w:t>
      </w:r>
      <w:r>
        <w:rPr>
          <w:rFonts w:ascii="Times New Roman" w:cs="Times New Roman" w:eastAsia="Times New Roman" w:hAnsi="Times New Roman"/>
          <w:sz w:val="22"/>
          <w:szCs w:val="22"/>
          <w:color w:val="auto"/>
        </w:rPr>
        <w:t>. If Executive’s employment terminates for any reason, the Executive shall be deemed to resign (a) if a member, from the Board or boards of directors to which she has been appointed or nominated by or on behalf of the Company and (b) from any position with the Company and its subsidiaries and affiliates or any fiduciary positions that she holds as a result thereof.</w:t>
      </w:r>
    </w:p>
    <w:p>
      <w:pPr>
        <w:spacing w:after="0" w:line="1" w:lineRule="exact"/>
        <w:rPr>
          <w:sz w:val="20"/>
          <w:szCs w:val="20"/>
          <w:color w:val="auto"/>
        </w:rPr>
      </w:pPr>
    </w:p>
    <w:p>
      <w:pPr>
        <w:jc w:val="both"/>
        <w:ind w:left="968" w:hanging="323"/>
        <w:spacing w:after="0" w:line="230" w:lineRule="auto"/>
        <w:rPr>
          <w:sz w:val="20"/>
          <w:szCs w:val="20"/>
          <w:color w:val="auto"/>
        </w:rPr>
      </w:pPr>
      <w:r>
        <w:rPr>
          <w:rFonts w:ascii="Times New Roman" w:cs="Times New Roman" w:eastAsia="Times New Roman" w:hAnsi="Times New Roman"/>
          <w:sz w:val="22"/>
          <w:szCs w:val="22"/>
          <w:color w:val="auto"/>
        </w:rPr>
        <w:t xml:space="preserve">5.6 </w:t>
      </w: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The rights and remedies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are Executive’s sole rights and remedies in the event of the termination of her employment, except for any rights and remedies that are not waivable.</w:t>
      </w:r>
    </w:p>
    <w:p>
      <w:pPr>
        <w:spacing w:after="0" w:line="1" w:lineRule="exact"/>
        <w:rPr>
          <w:sz w:val="20"/>
          <w:szCs w:val="20"/>
          <w:color w:val="auto"/>
        </w:rPr>
      </w:pPr>
    </w:p>
    <w:p>
      <w:pPr>
        <w:ind w:left="648" w:right="6600" w:hanging="648"/>
        <w:spacing w:after="0" w:line="230" w:lineRule="auto"/>
        <w:tabs>
          <w:tab w:leader="none" w:pos="324"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Restrictions and Obligations of the Executive</w:t>
      </w:r>
      <w:r>
        <w:rPr>
          <w:rFonts w:ascii="Times New Roman" w:cs="Times New Roman" w:eastAsia="Times New Roman" w:hAnsi="Times New Roman"/>
          <w:sz w:val="22"/>
          <w:szCs w:val="22"/>
          <w:color w:val="auto"/>
        </w:rPr>
        <w:t xml:space="preserve">. 6.1 </w:t>
      </w: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spacing w:after="0" w:line="1" w:lineRule="exact"/>
        <w:rPr>
          <w:rFonts w:ascii="Times New Roman" w:cs="Times New Roman" w:eastAsia="Times New Roman" w:hAnsi="Times New Roman"/>
          <w:sz w:val="22"/>
          <w:szCs w:val="22"/>
          <w:color w:val="auto"/>
        </w:rPr>
      </w:pPr>
    </w:p>
    <w:p>
      <w:pPr>
        <w:ind w:left="2268" w:hanging="324"/>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6.1.1)1) During the course of the Executive’s employment by the Company, the Executive will have access to certain trade secrets and confidential information relating to the Company, its subsidiaries and affiliates (the “</w:t>
      </w:r>
      <w:r>
        <w:rPr>
          <w:rFonts w:ascii="Times New Roman" w:cs="Times New Roman" w:eastAsia="Times New Roman" w:hAnsi="Times New Roman"/>
          <w:sz w:val="21"/>
          <w:szCs w:val="21"/>
          <w:u w:val="single" w:color="auto"/>
          <w:color w:val="auto"/>
        </w:rPr>
        <w:t>Protected Parties</w:t>
      </w:r>
      <w:r>
        <w:rPr>
          <w:rFonts w:ascii="Times New Roman" w:cs="Times New Roman" w:eastAsia="Times New Roman" w:hAnsi="Times New Roman"/>
          <w:sz w:val="21"/>
          <w:szCs w:val="21"/>
          <w:color w:val="auto"/>
        </w:rPr>
        <w:t>”) which is not readily available from sources outside the Company. The confidential and proprietary information and, in any material respect, trade secrets of the Protected Parties are among their most valuable assets, including but not limited to, their customer, supplier and vendor lists, databases, competitive strategies, computer programs, frameworks, or models, their marketing programs, their sales, financial, marketing, training and technical information, and any other information, whether communicated orally, electronically, in writing or in other tangible forms concerning how the Protected Parties create, develop, acquire or maintain their products and marketing plans, target their potential customers and operate their businesses. The Protected Parties invested, and continue to invest, considerable amounts of time and money in their process, technology, know-how, obtaining and developing the goodwill of their customers, their other external relationships, their data systems and data bases, and all the information described above (hereinafter collectively referred to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and any misappropriation or unauthorized disclosure of Confidential Information in any form would irreparably harm the Protected Parties. The Executive acknowledges that such Confidential Information constitutes valuable, highly confidential, special and unique property of the Protected Parties. The Executive shall hold in a fiduciary capacity for the benefit of the Protected Parties all Confidential Information relating to the Protected Parties and their businesses, which shall have been obtained by the Executive during the Executive’s employment by the Company and which shall not be or become public knowledge (other than by acts by the Executive or representatives of the Executive in violation of this Agreement). During the period the Executive is employed by the Company and at any time thereafter, the Executive shall not disclose any</w:t>
      </w:r>
    </w:p>
    <w:p>
      <w:pPr>
        <w:sectPr>
          <w:pgSz w:w="11900" w:h="16838" w:orient="portrait"/>
          <w:cols w:equalWidth="0" w:num="1">
            <w:col w:w="10908"/>
          </w:cols>
          <w:pgMar w:left="652" w:top="1408" w:right="339" w:bottom="1440" w:gutter="0" w:footer="0" w:header="0"/>
        </w:sectPr>
      </w:pPr>
    </w:p>
    <w:bookmarkStart w:id="211" w:name="page212"/>
    <w:bookmarkEnd w:id="211"/>
    <w:p>
      <w:pPr>
        <w:jc w:val="both"/>
        <w:ind w:left="1480"/>
        <w:spacing w:after="0" w:line="241" w:lineRule="auto"/>
        <w:rPr>
          <w:sz w:val="20"/>
          <w:szCs w:val="20"/>
          <w:color w:val="auto"/>
        </w:rPr>
      </w:pPr>
      <w:r>
        <w:rPr>
          <w:rFonts w:ascii="Times New Roman" w:cs="Times New Roman" w:eastAsia="Times New Roman" w:hAnsi="Times New Roman"/>
          <w:sz w:val="21"/>
          <w:szCs w:val="21"/>
          <w:color w:val="auto"/>
        </w:rPr>
        <w:t xml:space="preserve">Confidential Information, directly or indirectly, to any person or entity for any reason or purpose whatsoever, nor shall the Executive use it in any way, except (i) in the course of the Executive’s employment with, and for the benefit of, the Protected Parties, (ii) to enforce any rights or defend any claims hereunder or under any other agreement to which the Executive is a party with any Protected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disclosure is relevant to the enforcement of such rights or defense of such claims and is only disclosed in the formal proceedings related thereto, (iii) when required to do so by a court of law, by any governmental agency having supervisory authority over the business of any of the Protected Parties or by any administrative or legislative body (including a committee thereof) with jurisdiction to order her to divulge, disclose or make accessible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permitted by law, the Executive shall give prompt written notice to the Company of such requirement, disclose no more information than is so required, and cooperate with any attempts by any Protected Party (coordinated in all events through the Company) to obtain a protective order or similar treatment, (iv) as to such Confidential Information that becomes generally known to the public without her violation of this Section 6.1(a), or (v) to the Executive’s spouse, attorney, and/or her personal tax and financial advisors as reasonably necessary or appropriate to advance the Executive’s tax, financial and other personal planning (each an “</w:t>
      </w:r>
      <w:r>
        <w:rPr>
          <w:rFonts w:ascii="Times New Roman" w:cs="Times New Roman" w:eastAsia="Times New Roman" w:hAnsi="Times New Roman"/>
          <w:sz w:val="21"/>
          <w:szCs w:val="21"/>
          <w:u w:val="single" w:color="auto"/>
          <w:color w:val="auto"/>
        </w:rPr>
        <w:t>Exempt Person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any disclosure or use of Confidential Information by an Exempt Person other than the exceptions set forth in (i)-(iv) above shall be deemed to be a breach of this Section 6.1(a) by the Executive. The Executive shall take all reasonable steps to safeguard the Confidential Information and to protect it against disclosure, misuse, espionage, loss and theft. The Executive understands and agrees that the Executive shall acquire no rights to any such Confidential Information. For the sake of clarity, the Executive may retain documentation concerning her employment terms and compensation without violation of any section herein.</w:t>
      </w:r>
    </w:p>
    <w:p>
      <w:pPr>
        <w:spacing w:after="0" w:line="9" w:lineRule="exact"/>
        <w:rPr>
          <w:sz w:val="20"/>
          <w:szCs w:val="20"/>
          <w:color w:val="auto"/>
        </w:rPr>
      </w:pPr>
    </w:p>
    <w:p>
      <w:pPr>
        <w:jc w:val="both"/>
        <w:ind w:left="1480" w:hanging="323"/>
        <w:spacing w:after="0" w:line="228" w:lineRule="auto"/>
        <w:rPr>
          <w:sz w:val="20"/>
          <w:szCs w:val="20"/>
          <w:color w:val="auto"/>
        </w:rPr>
      </w:pPr>
      <w:r>
        <w:rPr>
          <w:rFonts w:ascii="Times New Roman" w:cs="Times New Roman" w:eastAsia="Times New Roman" w:hAnsi="Times New Roman"/>
          <w:sz w:val="22"/>
          <w:szCs w:val="22"/>
          <w:color w:val="auto"/>
        </w:rPr>
        <w:t>6.1.1)2)</w:t>
      </w:r>
      <w:r>
        <w:rPr>
          <w:sz w:val="20"/>
          <w:szCs w:val="20"/>
          <w:color w:val="auto"/>
        </w:rPr>
        <w:t xml:space="preserve"> </w:t>
      </w:r>
      <w:r>
        <w:rPr>
          <w:rFonts w:ascii="Times New Roman" w:cs="Times New Roman" w:eastAsia="Times New Roman" w:hAnsi="Times New Roman"/>
          <w:sz w:val="22"/>
          <w:szCs w:val="22"/>
          <w:color w:val="auto"/>
        </w:rPr>
        <w:t>All files, records, documents, drawings, specifications, data, computer programs, evaluation mechanisms and analytics and similar items relating thereto or to the Business (for the purposes of this Agreement,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shall be as defined in Section 6.4 hereof), as well as all customer lists, specific customer information, compilations of product research and marketing techniques of any of the Protected Parties, whether prepared by the Executive or otherwise coming into the Executive’s possession, shall remain the exclusive property of the Protected Parties.</w:t>
      </w:r>
    </w:p>
    <w:p>
      <w:pPr>
        <w:spacing w:after="0" w:line="3" w:lineRule="exact"/>
        <w:rPr>
          <w:sz w:val="20"/>
          <w:szCs w:val="20"/>
          <w:color w:val="auto"/>
        </w:rPr>
      </w:pPr>
    </w:p>
    <w:p>
      <w:pPr>
        <w:jc w:val="both"/>
        <w:ind w:left="1480" w:hanging="323"/>
        <w:spacing w:after="0" w:line="235" w:lineRule="auto"/>
        <w:rPr>
          <w:sz w:val="20"/>
          <w:szCs w:val="20"/>
          <w:color w:val="auto"/>
        </w:rPr>
      </w:pPr>
      <w:r>
        <w:rPr>
          <w:rFonts w:ascii="Times New Roman" w:cs="Times New Roman" w:eastAsia="Times New Roman" w:hAnsi="Times New Roman"/>
          <w:sz w:val="22"/>
          <w:szCs w:val="22"/>
          <w:color w:val="auto"/>
        </w:rPr>
        <w:t>6.1.1)3)</w:t>
      </w:r>
      <w:r>
        <w:rPr>
          <w:sz w:val="20"/>
          <w:szCs w:val="20"/>
          <w:color w:val="auto"/>
        </w:rPr>
        <w:t xml:space="preserve"> </w:t>
      </w:r>
      <w:r>
        <w:rPr>
          <w:rFonts w:ascii="Times New Roman" w:cs="Times New Roman" w:eastAsia="Times New Roman" w:hAnsi="Times New Roman"/>
          <w:sz w:val="22"/>
          <w:szCs w:val="22"/>
          <w:color w:val="auto"/>
        </w:rPr>
        <w:t>It is understood that while employed by the Company, the Executive shall promptly disclose to it, and assign to it the Executive’s interest in any invention, improvement or discovery made or conceived by the Executive, either alone or jointly with</w:t>
      </w:r>
    </w:p>
    <w:p>
      <w:pPr>
        <w:sectPr>
          <w:pgSz w:w="11900" w:h="16838" w:orient="portrait"/>
          <w:cols w:equalWidth="0" w:num="1">
            <w:col w:w="10120"/>
          </w:cols>
          <w:pgMar w:left="1440" w:top="1408" w:right="339" w:bottom="1440" w:gutter="0" w:footer="0" w:header="0"/>
        </w:sectPr>
      </w:pPr>
    </w:p>
    <w:bookmarkStart w:id="212" w:name="page213"/>
    <w:bookmarkEnd w:id="212"/>
    <w:p>
      <w:pPr>
        <w:jc w:val="both"/>
        <w:ind w:left="1480"/>
        <w:spacing w:after="0" w:line="232" w:lineRule="auto"/>
        <w:rPr>
          <w:sz w:val="20"/>
          <w:szCs w:val="20"/>
          <w:color w:val="auto"/>
        </w:rPr>
      </w:pPr>
      <w:r>
        <w:rPr>
          <w:rFonts w:ascii="Times New Roman" w:cs="Times New Roman" w:eastAsia="Times New Roman" w:hAnsi="Times New Roman"/>
          <w:sz w:val="22"/>
          <w:szCs w:val="22"/>
          <w:color w:val="auto"/>
        </w:rPr>
        <w:t>others, which arises out of the Executive’s employment. At the Company’s request and expense, the Executive shall assist any Protected Party during the period of the Executive’s employment by the Company and thereafter (but subject to reasonable notice and taking into account the Executive’s schedule) in connection with any controversy or legal proceeding relating to such invention, improvement or discovery and in obtaining domestic and foreign patent or other protection covering the same.</w:t>
      </w:r>
    </w:p>
    <w:p>
      <w:pPr>
        <w:spacing w:after="0" w:line="1" w:lineRule="exact"/>
        <w:rPr>
          <w:sz w:val="20"/>
          <w:szCs w:val="20"/>
          <w:color w:val="auto"/>
        </w:rPr>
      </w:pPr>
    </w:p>
    <w:p>
      <w:pPr>
        <w:jc w:val="both"/>
        <w:ind w:left="1480" w:hanging="323"/>
        <w:spacing w:after="0" w:line="230" w:lineRule="auto"/>
        <w:rPr>
          <w:sz w:val="20"/>
          <w:szCs w:val="20"/>
          <w:color w:val="auto"/>
        </w:rPr>
      </w:pPr>
      <w:r>
        <w:rPr>
          <w:rFonts w:ascii="Times New Roman" w:cs="Times New Roman" w:eastAsia="Times New Roman" w:hAnsi="Times New Roman"/>
          <w:sz w:val="22"/>
          <w:szCs w:val="22"/>
          <w:color w:val="auto"/>
        </w:rPr>
        <w:t>6.1.1)4)</w:t>
      </w:r>
      <w:r>
        <w:rPr>
          <w:sz w:val="20"/>
          <w:szCs w:val="20"/>
          <w:color w:val="auto"/>
        </w:rPr>
        <w:t xml:space="preserve"> </w:t>
      </w:r>
      <w:r>
        <w:rPr>
          <w:rFonts w:ascii="Times New Roman" w:cs="Times New Roman" w:eastAsia="Times New Roman" w:hAnsi="Times New Roman"/>
          <w:sz w:val="22"/>
          <w:szCs w:val="22"/>
          <w:color w:val="auto"/>
        </w:rPr>
        <w:t>The Executive understands that nothing contained in this Agreement limits the Executive’s ability to file a charge or complaint with the Equal Employment Opportunity Commission, the National Labor Relations Board, the Securities and Exchange Commission or any other federal, state or local governmental agency or commission (each, a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The Executive further understands that this Agreement does not limit the Executive’s ability to communicate with any Government Agency, including to report possible violations of federal law or regulation or making other disclosures that are protected under the whistleblower provisions of applicable federal, state or local law or regulation, or otherwise participate in any investigation or proceeding that may be conducted by any Government Agency, including providing documents or other information, without notice to the Company.</w:t>
      </w:r>
    </w:p>
    <w:p>
      <w:pPr>
        <w:spacing w:after="0" w:line="6" w:lineRule="exact"/>
        <w:rPr>
          <w:sz w:val="20"/>
          <w:szCs w:val="20"/>
          <w:color w:val="auto"/>
        </w:rPr>
      </w:pPr>
    </w:p>
    <w:p>
      <w:pPr>
        <w:jc w:val="both"/>
        <w:ind w:left="1480" w:hanging="323"/>
        <w:spacing w:after="0" w:line="238" w:lineRule="auto"/>
        <w:rPr>
          <w:sz w:val="20"/>
          <w:szCs w:val="20"/>
          <w:color w:val="auto"/>
        </w:rPr>
      </w:pPr>
      <w:r>
        <w:rPr>
          <w:rFonts w:ascii="Times New Roman" w:cs="Times New Roman" w:eastAsia="Times New Roman" w:hAnsi="Times New Roman"/>
          <w:sz w:val="22"/>
          <w:szCs w:val="22"/>
          <w:color w:val="auto"/>
        </w:rPr>
        <w:t>6.1.1)5)</w:t>
      </w:r>
      <w:r>
        <w:rPr>
          <w:sz w:val="20"/>
          <w:szCs w:val="20"/>
          <w:color w:val="auto"/>
        </w:rPr>
        <w:t xml:space="preserve"> </w:t>
      </w:r>
      <w:r>
        <w:rPr>
          <w:rFonts w:ascii="Times New Roman" w:cs="Times New Roman" w:eastAsia="Times New Roman" w:hAnsi="Times New Roman"/>
          <w:sz w:val="21"/>
          <w:szCs w:val="21"/>
          <w:color w:val="auto"/>
        </w:rPr>
        <w:t>This Agreement does not limit the Executive’s right to receive an award for information provided to any Government Agency. The Executive will not be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w:t>
      </w:r>
    </w:p>
    <w:p>
      <w:pPr>
        <w:spacing w:after="0" w:line="4" w:lineRule="exact"/>
        <w:rPr>
          <w:sz w:val="20"/>
          <w:szCs w:val="20"/>
          <w:color w:val="auto"/>
        </w:rPr>
      </w:pPr>
    </w:p>
    <w:p>
      <w:pPr>
        <w:ind w:left="1480"/>
        <w:spacing w:after="0" w:line="230" w:lineRule="auto"/>
        <w:tabs>
          <w:tab w:leader="none" w:pos="180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made in a complaint or other document filed in a lawsuit or other proceeding, if such filing is made under seal.</w:t>
      </w:r>
    </w:p>
    <w:p>
      <w:pPr>
        <w:spacing w:after="0" w:line="1" w:lineRule="exact"/>
        <w:rPr>
          <w:sz w:val="20"/>
          <w:szCs w:val="20"/>
          <w:color w:val="auto"/>
        </w:rPr>
      </w:pPr>
    </w:p>
    <w:p>
      <w:pPr>
        <w:jc w:val="both"/>
        <w:ind w:left="180" w:hanging="323"/>
        <w:spacing w:after="0" w:line="228"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During the period the Executive is employed by the Company and thereafter, the Executive shall cooperate with any investigation or inquiry by the Company or any governmental or regulatory agency or body that relates to the operations of a Protected Party during the period of the Executive’s employment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cooperation shall take into account the Executive’s then current business and other obligations. Employee shall be reimbursed all out of pocket reasonable costs incurred by way of any such cooperation.</w:t>
      </w:r>
    </w:p>
    <w:p>
      <w:pPr>
        <w:spacing w:after="0" w:line="3" w:lineRule="exact"/>
        <w:rPr>
          <w:sz w:val="20"/>
          <w:szCs w:val="20"/>
          <w:color w:val="auto"/>
        </w:rPr>
      </w:pPr>
    </w:p>
    <w:p>
      <w:pPr>
        <w:jc w:val="both"/>
        <w:ind w:left="180" w:hanging="323"/>
        <w:spacing w:after="0" w:line="245"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u w:val="single" w:color="auto"/>
          <w:color w:val="auto"/>
        </w:rPr>
        <w:t>Non-Solicitation or Hire</w:t>
      </w:r>
      <w:r>
        <w:rPr>
          <w:rFonts w:ascii="Times New Roman" w:cs="Times New Roman" w:eastAsia="Times New Roman" w:hAnsi="Times New Roman"/>
          <w:sz w:val="21"/>
          <w:szCs w:val="21"/>
          <w:color w:val="auto"/>
        </w:rPr>
        <w:t>. During the period the Executive is employed by the Company and for a period following the termination of the Executive’s employment for any reason equal to the longer of either (a) one (1) year following the Executive’s termination of employment and (b) the applicable period during which the severance payments are scheduled to be paid pursuant to Section 5.2(b) (such longer period, the “</w:t>
      </w:r>
      <w:r>
        <w:rPr>
          <w:rFonts w:ascii="Times New Roman" w:cs="Times New Roman" w:eastAsia="Times New Roman" w:hAnsi="Times New Roman"/>
          <w:sz w:val="21"/>
          <w:szCs w:val="21"/>
          <w:u w:val="single" w:color="auto"/>
          <w:color w:val="auto"/>
        </w:rPr>
        <w:t>Restricted Period</w:t>
      </w:r>
      <w:r>
        <w:rPr>
          <w:rFonts w:ascii="Times New Roman" w:cs="Times New Roman" w:eastAsia="Times New Roman" w:hAnsi="Times New Roman"/>
          <w:sz w:val="21"/>
          <w:szCs w:val="21"/>
          <w:color w:val="auto"/>
        </w:rPr>
        <w:t>”), the Executive shall not (i) directly or indirectly solicit, attempt to solicit or induce (x) any party who is a customer of</w:t>
      </w:r>
    </w:p>
    <w:p>
      <w:pPr>
        <w:sectPr>
          <w:pgSz w:w="11900" w:h="16838" w:orient="portrait"/>
          <w:cols w:equalWidth="0" w:num="1">
            <w:col w:w="10120"/>
          </w:cols>
          <w:pgMar w:left="1440" w:top="1408" w:right="339" w:bottom="1440" w:gutter="0" w:footer="0" w:header="0"/>
        </w:sectPr>
      </w:pPr>
    </w:p>
    <w:bookmarkStart w:id="213" w:name="page214"/>
    <w:bookmarkEnd w:id="213"/>
    <w:p>
      <w:pPr>
        <w:jc w:val="both"/>
        <w:ind w:left="180"/>
        <w:spacing w:after="0" w:line="231" w:lineRule="auto"/>
        <w:rPr>
          <w:sz w:val="20"/>
          <w:szCs w:val="20"/>
          <w:color w:val="auto"/>
        </w:rPr>
      </w:pPr>
      <w:r>
        <w:rPr>
          <w:rFonts w:ascii="Times New Roman" w:cs="Times New Roman" w:eastAsia="Times New Roman" w:hAnsi="Times New Roman"/>
          <w:sz w:val="22"/>
          <w:szCs w:val="22"/>
          <w:color w:val="auto"/>
        </w:rPr>
        <w:t>a Protected Party, who was a customer of a Protected Party at any time during the twelve (12) month period immediately prior to the date the Executive’s employment terminates or who was a prospective customer that has been identified and targeted by a Protected Party immediately prior to the date the Executive’s employment terminates, for the purpose of marketing, selling or providing to any such party any services or products offered by or available from a Protected Party on the date the Executive’s employment terminates, or (y) any supplier or prospective supplier to a Protected Party as of the date the Executive’s employment terminates to terminate, reduce or alter negatively its relationship with the Protected Party or in any manner interfere with any agreement or contract between the Protected Party and such supplier, or (ii) directly or indirectly solicit or induce any current employee of a Protected Party or any person who was an employee of a Protected Party during the twelve (12) month period immediately prior to the date the Executive’s employment terminates to terminate such employee’s employment relationship with a Protected Party in order, in either case, to enter into a similar relationship with the Executive, or any other person or any entity.</w:t>
      </w:r>
    </w:p>
    <w:p>
      <w:pPr>
        <w:spacing w:after="0" w:line="5" w:lineRule="exact"/>
        <w:rPr>
          <w:sz w:val="20"/>
          <w:szCs w:val="20"/>
          <w:color w:val="auto"/>
        </w:rPr>
      </w:pPr>
    </w:p>
    <w:p>
      <w:pPr>
        <w:jc w:val="both"/>
        <w:ind w:left="180" w:hanging="323"/>
        <w:spacing w:after="0" w:line="241"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Non-Competition</w:t>
      </w:r>
      <w:r>
        <w:rPr>
          <w:rFonts w:ascii="Times New Roman" w:cs="Times New Roman" w:eastAsia="Times New Roman" w:hAnsi="Times New Roman"/>
          <w:sz w:val="21"/>
          <w:szCs w:val="21"/>
          <w:color w:val="auto"/>
        </w:rPr>
        <w:t>. During the Restricted Period, the Executive shall not, without the Company’s prior written consent, whether individually, as a director, manager, member, stockholder, partner, owner, employee, consultant or agent of any business, or in any other capacity, other than on behalf of a Protected Party, organize, establish, own, operate, manage, control, engage in, participate in, invest in, permit her name to be used by, act as a consultant or advisor to, render services for (alone or in association with any person, firm, corporation or business organization), or otherwise engage in the business of providing financial products or services to Taft-Hartley employee benefit plans, labor unions, employee benefit plans associated with labor unions in any manner, or other entities associated or affiliated with labor unions (the “</w:t>
      </w:r>
      <w:r>
        <w:rPr>
          <w:rFonts w:ascii="Times New Roman" w:cs="Times New Roman" w:eastAsia="Times New Roman" w:hAnsi="Times New Roman"/>
          <w:sz w:val="21"/>
          <w:szCs w:val="21"/>
          <w:u w:val="single" w:color="auto"/>
          <w:color w:val="auto"/>
        </w:rPr>
        <w:t>Business</w:t>
      </w:r>
      <w:r>
        <w:rPr>
          <w:rFonts w:ascii="Times New Roman" w:cs="Times New Roman" w:eastAsia="Times New Roman" w:hAnsi="Times New Roman"/>
          <w:sz w:val="21"/>
          <w:szCs w:val="21"/>
          <w:color w:val="auto"/>
        </w:rPr>
        <w:t>”). Notwithstanding the foregoing, nothing in this Agreement shall prevent the Executive from (a) owning for passive investment purposes not intended to circumvent this Agreement, less than three percent (3%) of the publicly traded common equity securities of any company engaged in the Business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 or (b) being employed by or otherwise associated with (including as a director) an organization or entity of which a subsidiary, division, segment, unit, etc. is engaged in the Business (a “</w:t>
      </w:r>
      <w:r>
        <w:rPr>
          <w:rFonts w:ascii="Times New Roman" w:cs="Times New Roman" w:eastAsia="Times New Roman" w:hAnsi="Times New Roman"/>
          <w:sz w:val="21"/>
          <w:szCs w:val="21"/>
          <w:u w:val="single" w:color="auto"/>
          <w:color w:val="auto"/>
        </w:rPr>
        <w:t>Competing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Division</w:t>
      </w:r>
      <w:r>
        <w:rPr>
          <w:rFonts w:ascii="Times New Roman" w:cs="Times New Roman" w:eastAsia="Times New Roman" w:hAnsi="Times New Roman"/>
          <w:sz w:val="21"/>
          <w:szCs w:val="21"/>
          <w:color w:val="auto"/>
        </w:rPr>
        <w:t xml:space="preserve">”), including in a position to which employees of the Competing Division report, directly or indirectly,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has no direct responsibilities with such Competing Division other than having general responsibility for the operation of such Competing Division. For the avoidance of doubt, the Executive may be an officer of a bank or investment advisor or a union or related organization that engages in the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Executive is not directly employed in, or working in, the Competing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730250</wp:posOffset>
            </wp:positionH>
            <wp:positionV relativeFrom="paragraph">
              <wp:posOffset>-496570</wp:posOffset>
            </wp:positionV>
            <wp:extent cx="431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0120"/>
          </w:cols>
          <w:pgMar w:left="1440" w:top="1408" w:right="339" w:bottom="1440" w:gutter="0" w:footer="0" w:header="0"/>
        </w:sectPr>
      </w:pPr>
    </w:p>
    <w:bookmarkStart w:id="214" w:name="page215"/>
    <w:bookmarkEnd w:id="214"/>
    <w:p>
      <w:pPr>
        <w:jc w:val="both"/>
        <w:ind w:left="180" w:hanging="323"/>
        <w:spacing w:after="0" w:line="231"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Property</w:t>
      </w:r>
      <w:r>
        <w:rPr>
          <w:rFonts w:ascii="Times New Roman" w:cs="Times New Roman" w:eastAsia="Times New Roman" w:hAnsi="Times New Roman"/>
          <w:sz w:val="22"/>
          <w:szCs w:val="22"/>
          <w:color w:val="auto"/>
        </w:rPr>
        <w:t>. The Executive acknowledges that all originals and copies of materials, records and documents generated by her or coming into her possession during her employment by the Company (prior to or during the Term) are the sole property of the Company or its subsidiaries or affiliates (“</w:t>
      </w:r>
      <w:r>
        <w:rPr>
          <w:rFonts w:ascii="Times New Roman" w:cs="Times New Roman" w:eastAsia="Times New Roman" w:hAnsi="Times New Roman"/>
          <w:sz w:val="22"/>
          <w:szCs w:val="22"/>
          <w:u w:val="single" w:color="auto"/>
          <w:color w:val="auto"/>
        </w:rPr>
        <w:t>Company Property</w:t>
      </w:r>
      <w:r>
        <w:rPr>
          <w:rFonts w:ascii="Times New Roman" w:cs="Times New Roman" w:eastAsia="Times New Roman" w:hAnsi="Times New Roman"/>
          <w:sz w:val="22"/>
          <w:szCs w:val="22"/>
          <w:color w:val="auto"/>
        </w:rPr>
        <w:t>”). During the period the Executive is employed by the Company, and at all times thereafter, the Executive shall not remove, or cause to be removed, from the premises of the Company or any of its subsidiaries or affiliates, copies of any record, file, memorandum, document, computer related information or equipment, or any other item relating to the business of the Company, except in furtherance of her duties under this Agreement. When the Executive’s employment with the Company terminates, or upon request of the Company at any time, the Executive shall promptly deliver to the Company all copies of Company Property in his possession or control.</w:t>
      </w:r>
    </w:p>
    <w:p>
      <w:pPr>
        <w:spacing w:after="0" w:line="6" w:lineRule="exact"/>
        <w:rPr>
          <w:sz w:val="20"/>
          <w:szCs w:val="20"/>
          <w:color w:val="auto"/>
        </w:rPr>
      </w:pPr>
    </w:p>
    <w:p>
      <w:pPr>
        <w:jc w:val="both"/>
        <w:ind w:left="180" w:hanging="323"/>
        <w:spacing w:after="0"/>
        <w:rPr>
          <w:sz w:val="20"/>
          <w:szCs w:val="20"/>
          <w:color w:val="auto"/>
        </w:rPr>
      </w:pPr>
      <w:r>
        <w:rPr>
          <w:rFonts w:ascii="Times New Roman" w:cs="Times New Roman" w:eastAsia="Times New Roman" w:hAnsi="Times New Roman"/>
          <w:sz w:val="21"/>
          <w:szCs w:val="21"/>
          <w:color w:val="auto"/>
        </w:rPr>
        <w:t xml:space="preserve">6.6 </w:t>
      </w: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xml:space="preserve">. The Executive agrees that she shall not, during the period the Executive is employed by the Company and at any time thereafter, publish or communicate to any person or entity any Disparaging remarks, comments or statements concerning the Company and its directors, officers, shareholders, employees, agents, attorneys, successors and assigns and the Company agrees that during the period the Executive is employed by the Company and at any time thereafter, it shall not, and it shall use its reasonable efforts to cause its directors and officers not to, publish or communicate to any person or entity any Disparaging remarks, comments or statements concerning the Executive;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nothing contained in this Section 6.6 shall preclude either Party from providing truthful testimony in connection with a valid subpoena, court order, regulatory request, other legal proceeding, or as may be required by law. “</w:t>
      </w:r>
      <w:r>
        <w:rPr>
          <w:rFonts w:ascii="Times New Roman" w:cs="Times New Roman" w:eastAsia="Times New Roman" w:hAnsi="Times New Roman"/>
          <w:sz w:val="21"/>
          <w:szCs w:val="21"/>
          <w:u w:val="single" w:color="auto"/>
          <w:color w:val="auto"/>
        </w:rPr>
        <w:t>Disparaging</w:t>
      </w:r>
      <w:r>
        <w:rPr>
          <w:rFonts w:ascii="Times New Roman" w:cs="Times New Roman" w:eastAsia="Times New Roman" w:hAnsi="Times New Roman"/>
          <w:sz w:val="21"/>
          <w:szCs w:val="21"/>
          <w:color w:val="auto"/>
        </w:rPr>
        <w:t>” remarks, comments or statements are those that impugn the character, honesty, integrity or morality of the individual or entity being disparaged.</w:t>
      </w:r>
    </w:p>
    <w:p>
      <w:pPr>
        <w:spacing w:after="0" w:line="2" w:lineRule="exact"/>
        <w:rPr>
          <w:sz w:val="20"/>
          <w:szCs w:val="20"/>
          <w:color w:val="auto"/>
        </w:rPr>
      </w:pP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 xml:space="preserve">6.7 </w:t>
      </w:r>
      <w:r>
        <w:rPr>
          <w:rFonts w:ascii="Times New Roman" w:cs="Times New Roman" w:eastAsia="Times New Roman" w:hAnsi="Times New Roman"/>
          <w:sz w:val="22"/>
          <w:szCs w:val="22"/>
          <w:u w:val="single" w:color="auto"/>
          <w:color w:val="auto"/>
        </w:rPr>
        <w:t>Reasonableness of Covenants</w:t>
      </w:r>
      <w:r>
        <w:rPr>
          <w:rFonts w:ascii="Times New Roman" w:cs="Times New Roman" w:eastAsia="Times New Roman" w:hAnsi="Times New Roman"/>
          <w:sz w:val="22"/>
          <w:szCs w:val="22"/>
          <w:color w:val="auto"/>
        </w:rPr>
        <w:t>. The Parties agree that the duration and area for which the covenants set forth in this Section 6 apply are reasonable. In the event that any arbitrator or court of competent jurisdiction determines that the time period or the area or both are unreasonable and any such covenant is to that extent unenforceable, the Company and the Executive agree that such covenant shall be modified to remain in full force and effect for the greatest time period and in the greatest area that would not render it unenforceable.</w:t>
      </w:r>
    </w:p>
    <w:p>
      <w:pPr>
        <w:spacing w:after="0" w:line="3" w:lineRule="exact"/>
        <w:rPr>
          <w:sz w:val="20"/>
          <w:szCs w:val="20"/>
          <w:color w:val="auto"/>
        </w:rPr>
      </w:pP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 xml:space="preserve">6.8 </w:t>
      </w:r>
      <w:r>
        <w:rPr>
          <w:rFonts w:ascii="Times New Roman" w:cs="Times New Roman" w:eastAsia="Times New Roman" w:hAnsi="Times New Roman"/>
          <w:sz w:val="22"/>
          <w:szCs w:val="22"/>
          <w:u w:val="single" w:color="auto"/>
          <w:color w:val="auto"/>
        </w:rPr>
        <w:t>Remedies; Specific Performance</w:t>
      </w:r>
      <w:r>
        <w:rPr>
          <w:rFonts w:ascii="Times New Roman" w:cs="Times New Roman" w:eastAsia="Times New Roman" w:hAnsi="Times New Roman"/>
          <w:sz w:val="22"/>
          <w:szCs w:val="22"/>
          <w:color w:val="auto"/>
        </w:rPr>
        <w:t>. The Parties acknowledge and agree that the Executive’s breach or threatened breach of any of the restrictions set forth in Section 6 or the Company’s breach or threatened breach of the restrictions set forth in Section 6.6 shall result in irreparable and continuing damage to the Protected Parties or the Executive for which there may be no adequate remedy at law and that the Protected Parties or the Executive shall be entitled to seek equitable relief, including specific performance and injunctive relief as remedies for any such breach or threatened or attempted breach, without requiring the posting of a bond. The Parties hereby consent to the grant of an injunction (temporary or otherwise) against the other Party or the entry of any other court order against the other party prohibiting and enjoining her or it from violating, or directing her or it to comply with any provision of Section 6. The Parties also agree that such remedies shall be in addition to any and all remedies, including</w:t>
      </w:r>
    </w:p>
    <w:p>
      <w:pPr>
        <w:sectPr>
          <w:pgSz w:w="11900" w:h="16838" w:orient="portrait"/>
          <w:cols w:equalWidth="0" w:num="1">
            <w:col w:w="10120"/>
          </w:cols>
          <w:pgMar w:left="1440" w:top="1408" w:right="339" w:bottom="1440" w:gutter="0" w:footer="0" w:header="0"/>
        </w:sectPr>
      </w:pPr>
    </w:p>
    <w:bookmarkStart w:id="215" w:name="page216"/>
    <w:bookmarkEnd w:id="215"/>
    <w:p>
      <w:pPr>
        <w:ind w:left="968"/>
        <w:spacing w:after="0"/>
        <w:rPr>
          <w:sz w:val="20"/>
          <w:szCs w:val="20"/>
          <w:color w:val="auto"/>
        </w:rPr>
      </w:pPr>
      <w:r>
        <w:rPr>
          <w:rFonts w:ascii="Times New Roman" w:cs="Times New Roman" w:eastAsia="Times New Roman" w:hAnsi="Times New Roman"/>
          <w:sz w:val="21"/>
          <w:szCs w:val="21"/>
          <w:color w:val="auto"/>
        </w:rPr>
        <w:t>damages, available to the Protected Parties or the Executive for such breaches or threatened or attempted breaches.</w:t>
      </w:r>
    </w:p>
    <w:p>
      <w:pPr>
        <w:spacing w:after="0" w:line="16" w:lineRule="exact"/>
        <w:rPr>
          <w:sz w:val="20"/>
          <w:szCs w:val="20"/>
          <w:color w:val="auto"/>
        </w:rPr>
      </w:pPr>
    </w:p>
    <w:p>
      <w:pPr>
        <w:ind w:left="388" w:hanging="388"/>
        <w:spacing w:after="0"/>
        <w:tabs>
          <w:tab w:leader="none" w:pos="388"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jc w:val="both"/>
        <w:ind w:left="968" w:hanging="323"/>
        <w:spacing w:after="0" w:line="228"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other communication required or which may be given hereunder shall be in writing and shall be delivered personally, sent by facsimile transmission or sent by certified, registered or express mail, postage prepaid or overnight mail and shall be deemed given when so delivered personally, or sent by facsimile transmission or, if mailed, four (4) business days after the date of mailing or one (1) business day after overnight mail, addressed to such party at the address set forth below or such other address as may hereafter be designated in writing by the addressee as follows:</w:t>
      </w:r>
    </w:p>
    <w:p>
      <w:pPr>
        <w:ind w:left="1948"/>
        <w:spacing w:after="0"/>
        <w:tabs>
          <w:tab w:leader="none" w:pos="2888" w:val="left"/>
        </w:tabs>
        <w:rPr>
          <w:sz w:val="20"/>
          <w:szCs w:val="20"/>
          <w:color w:val="auto"/>
        </w:rPr>
      </w:pPr>
      <w:r>
        <w:rPr>
          <w:rFonts w:ascii="Times New Roman" w:cs="Times New Roman" w:eastAsia="Times New Roman" w:hAnsi="Times New Roman"/>
          <w:sz w:val="22"/>
          <w:szCs w:val="22"/>
          <w:color w:val="auto"/>
        </w:rPr>
        <w:t>7.1.1)1)</w:t>
      </w:r>
      <w:r>
        <w:rPr>
          <w:sz w:val="20"/>
          <w:szCs w:val="20"/>
          <w:color w:val="auto"/>
        </w:rPr>
        <w:tab/>
      </w:r>
      <w:r>
        <w:rPr>
          <w:rFonts w:ascii="Times New Roman" w:cs="Times New Roman" w:eastAsia="Times New Roman" w:hAnsi="Times New Roman"/>
          <w:sz w:val="21"/>
          <w:szCs w:val="21"/>
          <w:color w:val="auto"/>
        </w:rPr>
        <w:t>If the Company, to:</w:t>
      </w:r>
    </w:p>
    <w:p>
      <w:pPr>
        <w:ind w:left="1628"/>
        <w:spacing w:after="0" w:line="231" w:lineRule="auto"/>
        <w:rPr>
          <w:sz w:val="20"/>
          <w:szCs w:val="20"/>
          <w:color w:val="auto"/>
        </w:rPr>
      </w:pPr>
      <w:r>
        <w:rPr>
          <w:rFonts w:ascii="Times New Roman" w:cs="Times New Roman" w:eastAsia="Times New Roman" w:hAnsi="Times New Roman"/>
          <w:sz w:val="22"/>
          <w:szCs w:val="22"/>
          <w:color w:val="auto"/>
        </w:rPr>
        <w:t>Amalgamated Bank</w:t>
      </w:r>
    </w:p>
    <w:p>
      <w:pPr>
        <w:ind w:left="1628"/>
        <w:spacing w:after="0" w:line="230" w:lineRule="auto"/>
        <w:rPr>
          <w:sz w:val="20"/>
          <w:szCs w:val="20"/>
          <w:color w:val="auto"/>
        </w:rPr>
      </w:pPr>
      <w:r>
        <w:rPr>
          <w:rFonts w:ascii="Times New Roman" w:cs="Times New Roman" w:eastAsia="Times New Roman" w:hAnsi="Times New Roman"/>
          <w:sz w:val="22"/>
          <w:szCs w:val="22"/>
          <w:color w:val="auto"/>
        </w:rPr>
        <w:t>275 Seventh Avenue</w:t>
      </w:r>
    </w:p>
    <w:p>
      <w:pPr>
        <w:ind w:left="1628"/>
        <w:spacing w:after="0" w:line="231" w:lineRule="auto"/>
        <w:rPr>
          <w:sz w:val="20"/>
          <w:szCs w:val="20"/>
          <w:color w:val="auto"/>
        </w:rPr>
      </w:pPr>
      <w:r>
        <w:rPr>
          <w:rFonts w:ascii="Times New Roman" w:cs="Times New Roman" w:eastAsia="Times New Roman" w:hAnsi="Times New Roman"/>
          <w:sz w:val="22"/>
          <w:szCs w:val="22"/>
          <w:color w:val="auto"/>
        </w:rPr>
        <w:t>New York, New York 10001</w:t>
      </w:r>
    </w:p>
    <w:p>
      <w:pPr>
        <w:ind w:left="1628"/>
        <w:spacing w:after="0" w:line="231" w:lineRule="auto"/>
        <w:rPr>
          <w:sz w:val="20"/>
          <w:szCs w:val="20"/>
          <w:color w:val="auto"/>
        </w:rPr>
      </w:pPr>
      <w:r>
        <w:rPr>
          <w:rFonts w:ascii="Times New Roman" w:cs="Times New Roman" w:eastAsia="Times New Roman" w:hAnsi="Times New Roman"/>
          <w:sz w:val="22"/>
          <w:szCs w:val="22"/>
          <w:color w:val="auto"/>
        </w:rPr>
        <w:t>Attention: Chairman of the Board</w:t>
      </w:r>
    </w:p>
    <w:p>
      <w:pPr>
        <w:ind w:left="1628"/>
        <w:spacing w:after="0" w:line="230" w:lineRule="auto"/>
        <w:rPr>
          <w:sz w:val="20"/>
          <w:szCs w:val="20"/>
          <w:color w:val="auto"/>
        </w:rPr>
      </w:pPr>
      <w:r>
        <w:rPr>
          <w:rFonts w:ascii="Times New Roman" w:cs="Times New Roman" w:eastAsia="Times New Roman" w:hAnsi="Times New Roman"/>
          <w:sz w:val="22"/>
          <w:szCs w:val="22"/>
          <w:color w:val="auto"/>
        </w:rPr>
        <w:t>Telephone: (212) 255-6200</w:t>
      </w:r>
    </w:p>
    <w:p>
      <w:pPr>
        <w:ind w:left="1628"/>
        <w:spacing w:after="0" w:line="231" w:lineRule="auto"/>
        <w:rPr>
          <w:sz w:val="20"/>
          <w:szCs w:val="20"/>
          <w:color w:val="auto"/>
        </w:rPr>
      </w:pPr>
      <w:r>
        <w:rPr>
          <w:rFonts w:ascii="Times New Roman" w:cs="Times New Roman" w:eastAsia="Times New Roman" w:hAnsi="Times New Roman"/>
          <w:sz w:val="22"/>
          <w:szCs w:val="22"/>
          <w:color w:val="auto"/>
        </w:rPr>
        <w:t>Fax: (212) 895-4428</w:t>
      </w:r>
    </w:p>
    <w:p>
      <w:pPr>
        <w:ind w:left="1628"/>
        <w:spacing w:after="0" w:line="230" w:lineRule="auto"/>
        <w:rPr>
          <w:sz w:val="20"/>
          <w:szCs w:val="20"/>
          <w:color w:val="auto"/>
        </w:rPr>
      </w:pPr>
      <w:r>
        <w:rPr>
          <w:rFonts w:ascii="Times New Roman" w:cs="Times New Roman" w:eastAsia="Times New Roman" w:hAnsi="Times New Roman"/>
          <w:sz w:val="22"/>
          <w:szCs w:val="22"/>
          <w:color w:val="auto"/>
        </w:rPr>
        <w:t>With a copy to:</w:t>
      </w:r>
    </w:p>
    <w:p>
      <w:pPr>
        <w:ind w:left="2268"/>
        <w:spacing w:after="0" w:line="218" w:lineRule="auto"/>
        <w:rPr>
          <w:sz w:val="20"/>
          <w:szCs w:val="20"/>
          <w:color w:val="auto"/>
        </w:rPr>
      </w:pPr>
      <w:r>
        <w:rPr>
          <w:rFonts w:ascii="Times New Roman" w:cs="Times New Roman" w:eastAsia="Times New Roman" w:hAnsi="Times New Roman"/>
          <w:sz w:val="22"/>
          <w:szCs w:val="22"/>
          <w:color w:val="auto"/>
        </w:rPr>
        <w:t>Amalgamated Financial Corp.</w:t>
      </w:r>
    </w:p>
    <w:p>
      <w:pPr>
        <w:ind w:left="2268"/>
        <w:spacing w:after="0" w:line="230" w:lineRule="auto"/>
        <w:rPr>
          <w:sz w:val="20"/>
          <w:szCs w:val="20"/>
          <w:color w:val="auto"/>
        </w:rPr>
      </w:pPr>
      <w:r>
        <w:rPr>
          <w:rFonts w:ascii="Times New Roman" w:cs="Times New Roman" w:eastAsia="Times New Roman" w:hAnsi="Times New Roman"/>
          <w:sz w:val="22"/>
          <w:szCs w:val="22"/>
          <w:color w:val="auto"/>
        </w:rPr>
        <w:t>275 Seventh Avenue</w:t>
      </w:r>
    </w:p>
    <w:p>
      <w:pPr>
        <w:ind w:left="2268"/>
        <w:spacing w:after="0" w:line="231" w:lineRule="auto"/>
        <w:rPr>
          <w:sz w:val="20"/>
          <w:szCs w:val="20"/>
          <w:color w:val="auto"/>
        </w:rPr>
      </w:pPr>
      <w:r>
        <w:rPr>
          <w:rFonts w:ascii="Times New Roman" w:cs="Times New Roman" w:eastAsia="Times New Roman" w:hAnsi="Times New Roman"/>
          <w:sz w:val="22"/>
          <w:szCs w:val="22"/>
          <w:color w:val="auto"/>
        </w:rPr>
        <w:t>New York, New York 10001</w:t>
      </w:r>
    </w:p>
    <w:p>
      <w:pPr>
        <w:ind w:left="2268"/>
        <w:spacing w:after="0" w:line="230" w:lineRule="auto"/>
        <w:rPr>
          <w:sz w:val="20"/>
          <w:szCs w:val="20"/>
          <w:color w:val="auto"/>
        </w:rPr>
      </w:pPr>
      <w:r>
        <w:rPr>
          <w:rFonts w:ascii="Times New Roman" w:cs="Times New Roman" w:eastAsia="Times New Roman" w:hAnsi="Times New Roman"/>
          <w:sz w:val="22"/>
          <w:szCs w:val="22"/>
          <w:color w:val="auto"/>
        </w:rPr>
        <w:t>Attention: General Counsel</w:t>
      </w:r>
    </w:p>
    <w:p>
      <w:pPr>
        <w:ind w:left="2268"/>
        <w:spacing w:after="0" w:line="231" w:lineRule="auto"/>
        <w:rPr>
          <w:sz w:val="20"/>
          <w:szCs w:val="20"/>
          <w:color w:val="auto"/>
        </w:rPr>
      </w:pPr>
      <w:r>
        <w:rPr>
          <w:rFonts w:ascii="Times New Roman" w:cs="Times New Roman" w:eastAsia="Times New Roman" w:hAnsi="Times New Roman"/>
          <w:sz w:val="22"/>
          <w:szCs w:val="22"/>
          <w:color w:val="auto"/>
        </w:rPr>
        <w:t>Telephone: (212) 895 4431</w:t>
      </w:r>
    </w:p>
    <w:p>
      <w:pPr>
        <w:ind w:left="1948"/>
        <w:spacing w:after="0"/>
        <w:tabs>
          <w:tab w:leader="none" w:pos="2888" w:val="left"/>
        </w:tabs>
        <w:rPr>
          <w:sz w:val="20"/>
          <w:szCs w:val="20"/>
          <w:color w:val="auto"/>
        </w:rPr>
      </w:pPr>
      <w:r>
        <w:rPr>
          <w:rFonts w:ascii="Times New Roman" w:cs="Times New Roman" w:eastAsia="Times New Roman" w:hAnsi="Times New Roman"/>
          <w:sz w:val="22"/>
          <w:szCs w:val="22"/>
          <w:color w:val="auto"/>
        </w:rPr>
        <w:t>7.1.1)1)</w:t>
      </w:r>
      <w:r>
        <w:rPr>
          <w:sz w:val="20"/>
          <w:szCs w:val="20"/>
          <w:color w:val="auto"/>
        </w:rPr>
        <w:tab/>
      </w:r>
      <w:r>
        <w:rPr>
          <w:rFonts w:ascii="Times New Roman" w:cs="Times New Roman" w:eastAsia="Times New Roman" w:hAnsi="Times New Roman"/>
          <w:sz w:val="21"/>
          <w:szCs w:val="21"/>
          <w:color w:val="auto"/>
        </w:rPr>
        <w:t>If the Executive, to the Executive’s home address reflected in the Company’s records.</w:t>
      </w:r>
    </w:p>
    <w:p>
      <w:pPr>
        <w:jc w:val="both"/>
        <w:ind w:left="968" w:hanging="323"/>
        <w:spacing w:after="0" w:line="230"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other agreements referenced herein, contain the entire understanding of the Parties with respect to the subject matter hereof and thereof and supersede all prior and contemporaneous oral or written agreements, negotiations, understandings, statements or proposals with respect to the subject matter hereof and thereof.</w:t>
      </w:r>
    </w:p>
    <w:p>
      <w:pPr>
        <w:spacing w:after="0" w:line="2" w:lineRule="exact"/>
        <w:rPr>
          <w:sz w:val="20"/>
          <w:szCs w:val="20"/>
          <w:color w:val="auto"/>
        </w:rPr>
      </w:pPr>
    </w:p>
    <w:p>
      <w:pPr>
        <w:jc w:val="both"/>
        <w:ind w:left="968" w:hanging="323"/>
        <w:spacing w:after="0" w:line="229"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Executive represents and warrants that she is not a party to or subject to any restrictive covenants, legal restrictions or other agreements in favor of any entity or person which could preclude, inhibit, impair or limit the Executive’s ability to perform her obligations under this Agreement, including, but not limited to, non-competition agreements, non-solicitation agreements or confidentiality agreements. The Company represents and warrants that (a) it has full corporate power and authority to execute and deliver this Agreement and to perform its obligations contemplated hereunder, (b) it has taken all corporate action necessary to authorize the execution and performance of this Agreement, (c) it has obtained all required regulatory or other consents as may be necessary or appropriate to permit it to enter into this Agreement and (d) this Agreement has been duly executed and delivered by it and, assuming due authorization, execution, and delivery of this Agreement by the Executive, is the legal, valid and binding obligation of the Company enforceable against the Company in accordance with its terms.</w:t>
      </w:r>
    </w:p>
    <w:p>
      <w:pPr>
        <w:spacing w:after="0" w:line="4" w:lineRule="exact"/>
        <w:rPr>
          <w:sz w:val="20"/>
          <w:szCs w:val="20"/>
          <w:color w:val="auto"/>
        </w:rPr>
      </w:pPr>
    </w:p>
    <w:p>
      <w:pPr>
        <w:jc w:val="both"/>
        <w:ind w:left="968" w:hanging="323"/>
        <w:spacing w:after="0" w:line="231"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Waiver and Amendments</w:t>
      </w:r>
      <w:r>
        <w:rPr>
          <w:rFonts w:ascii="Times New Roman" w:cs="Times New Roman" w:eastAsia="Times New Roman" w:hAnsi="Times New Roman"/>
          <w:sz w:val="22"/>
          <w:szCs w:val="22"/>
          <w:color w:val="auto"/>
        </w:rPr>
        <w:t>. This Agreement may be modified, amended, superseded, canceled, renewed or extended, and the terms and conditions hereof</w:t>
      </w:r>
    </w:p>
    <w:p>
      <w:pPr>
        <w:sectPr>
          <w:pgSz w:w="11900" w:h="16838" w:orient="portrait"/>
          <w:cols w:equalWidth="0" w:num="1">
            <w:col w:w="10908"/>
          </w:cols>
          <w:pgMar w:left="652" w:top="1408" w:right="339" w:bottom="1440" w:gutter="0" w:footer="0" w:header="0"/>
        </w:sectPr>
      </w:pPr>
    </w:p>
    <w:bookmarkStart w:id="216" w:name="page217"/>
    <w:bookmarkEnd w:id="216"/>
    <w:p>
      <w:pPr>
        <w:jc w:val="both"/>
        <w:ind w:left="320"/>
        <w:spacing w:after="0" w:line="235" w:lineRule="auto"/>
        <w:rPr>
          <w:sz w:val="20"/>
          <w:szCs w:val="20"/>
          <w:color w:val="auto"/>
        </w:rPr>
      </w:pPr>
      <w:r>
        <w:rPr>
          <w:rFonts w:ascii="Times New Roman" w:cs="Times New Roman" w:eastAsia="Times New Roman" w:hAnsi="Times New Roman"/>
          <w:sz w:val="22"/>
          <w:szCs w:val="22"/>
          <w:color w:val="auto"/>
        </w:rPr>
        <w:t>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right, power or privilege hereunder, nor any single or partial exercise of any right, power or privilege hereunder, preclude any other or further exercise thereof or the exercise of any other right, power or privilege hereunder.</w:t>
      </w:r>
    </w:p>
    <w:p>
      <w:pPr>
        <w:spacing w:after="0" w:line="218"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Governing Law, Dispute Resolution and Venue</w:t>
      </w:r>
      <w:r>
        <w:rPr>
          <w:rFonts w:ascii="Times New Roman" w:cs="Times New Roman" w:eastAsia="Times New Roman" w:hAnsi="Times New Roman"/>
          <w:sz w:val="22"/>
          <w:szCs w:val="22"/>
          <w:color w:val="auto"/>
        </w:rPr>
        <w:t>.</w:t>
      </w:r>
    </w:p>
    <w:p>
      <w:pPr>
        <w:jc w:val="both"/>
        <w:ind w:left="1620" w:hanging="323"/>
        <w:spacing w:after="0" w:line="230" w:lineRule="auto"/>
        <w:rPr>
          <w:sz w:val="20"/>
          <w:szCs w:val="20"/>
          <w:color w:val="auto"/>
        </w:rPr>
      </w:pPr>
      <w:r>
        <w:rPr>
          <w:rFonts w:ascii="Times New Roman" w:cs="Times New Roman" w:eastAsia="Times New Roman" w:hAnsi="Times New Roman"/>
          <w:sz w:val="22"/>
          <w:szCs w:val="22"/>
          <w:color w:val="auto"/>
        </w:rPr>
        <w:t>7.5.1)1)</w:t>
      </w:r>
      <w:r>
        <w:rPr>
          <w:sz w:val="20"/>
          <w:szCs w:val="20"/>
          <w:color w:val="auto"/>
        </w:rPr>
        <w:t xml:space="preserve"> </w:t>
      </w:r>
      <w:r>
        <w:rPr>
          <w:rFonts w:ascii="Times New Roman" w:cs="Times New Roman" w:eastAsia="Times New Roman" w:hAnsi="Times New Roman"/>
          <w:sz w:val="22"/>
          <w:szCs w:val="22"/>
          <w:color w:val="auto"/>
        </w:rPr>
        <w:t>This Agreement shall be governed and construed in accordance with the laws of New York applicable to agreements made and to be performed entirely within such state, without regard to conflicts of laws principles, unless superseded by federal law.</w:t>
      </w:r>
    </w:p>
    <w:p>
      <w:pPr>
        <w:spacing w:after="0" w:line="2" w:lineRule="exact"/>
        <w:rPr>
          <w:sz w:val="20"/>
          <w:szCs w:val="20"/>
          <w:color w:val="auto"/>
        </w:rPr>
      </w:pPr>
    </w:p>
    <w:p>
      <w:pPr>
        <w:jc w:val="both"/>
        <w:ind w:left="1620" w:hanging="323"/>
        <w:spacing w:after="0" w:line="229" w:lineRule="auto"/>
        <w:rPr>
          <w:sz w:val="20"/>
          <w:szCs w:val="20"/>
          <w:color w:val="auto"/>
        </w:rPr>
      </w:pPr>
      <w:r>
        <w:rPr>
          <w:rFonts w:ascii="Times New Roman" w:cs="Times New Roman" w:eastAsia="Times New Roman" w:hAnsi="Times New Roman"/>
          <w:sz w:val="22"/>
          <w:szCs w:val="22"/>
          <w:color w:val="auto"/>
        </w:rPr>
        <w:t>7.5.1)2)</w:t>
      </w:r>
      <w:r>
        <w:rPr>
          <w:sz w:val="20"/>
          <w:szCs w:val="20"/>
          <w:color w:val="auto"/>
        </w:rPr>
        <w:t xml:space="preserve"> </w:t>
      </w:r>
      <w:r>
        <w:rPr>
          <w:rFonts w:ascii="Times New Roman" w:cs="Times New Roman" w:eastAsia="Times New Roman" w:hAnsi="Times New Roman"/>
          <w:sz w:val="22"/>
          <w:szCs w:val="22"/>
          <w:color w:val="auto"/>
        </w:rPr>
        <w:t>Any controversy or claim arising out of or relating to this Agreement or the breach 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in New York, New York in accordance with the Employment Dispute Resolution Rules of the AAA, including, but not limited to, the rules and procedures applicable to the selection of arbitrators, except that the arbitrator shall apply the law as established by decisions of the U.S. Supreme Court, the Court of Appeals for the Second Circuit and the U.S. District Court for the Southern District of New York in deciding the merits of claims and defenses under federal law (including without limitation any federal antidiscrimination law). The Company and the Executive specifically agree that the arbitrator may award injunctive relief.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The parties covenant that they shall participate in the arbitration in good faith. Each party to any arbitration proceeding shall bear its or her own costs and expenses in connection therewith, except as permitted by law or otherwise ordered by the arbitrator in such proceeding. Notwithstanding the foregoing, this Section 7.5 shall not preclude any party hereto from pursuing a court action pursuant to Section 6 or otherwise for the sole purpose of obtaining a temporary restraining order or a preliminary injunction.</w:t>
      </w:r>
    </w:p>
    <w:p>
      <w:pPr>
        <w:spacing w:after="0" w:line="9" w:lineRule="exact"/>
        <w:rPr>
          <w:sz w:val="20"/>
          <w:szCs w:val="20"/>
          <w:color w:val="auto"/>
        </w:rPr>
      </w:pPr>
    </w:p>
    <w:p>
      <w:pPr>
        <w:jc w:val="both"/>
        <w:ind w:left="320" w:hanging="323"/>
        <w:spacing w:after="0" w:line="235"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Assignability by the Company and the Executive</w:t>
      </w:r>
      <w:r>
        <w:rPr>
          <w:rFonts w:ascii="Times New Roman" w:cs="Times New Roman" w:eastAsia="Times New Roman" w:hAnsi="Times New Roman"/>
          <w:sz w:val="22"/>
          <w:szCs w:val="22"/>
          <w:color w:val="auto"/>
        </w:rPr>
        <w:t xml:space="preserve">. This Agreement, and the rights and obligations hereunder, may not be assigned by the Company or the Executive without written consent signed by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w:t>
      </w:r>
    </w:p>
    <w:p>
      <w:pPr>
        <w:sectPr>
          <w:pgSz w:w="11900" w:h="16838" w:orient="portrait"/>
          <w:cols w:equalWidth="0" w:num="1">
            <w:col w:w="10260"/>
          </w:cols>
          <w:pgMar w:left="1300" w:top="1408" w:right="339" w:bottom="1440" w:gutter="0" w:footer="0" w:header="0"/>
        </w:sectPr>
      </w:pPr>
    </w:p>
    <w:bookmarkStart w:id="217" w:name="page218"/>
    <w:bookmarkEnd w:id="217"/>
    <w:p>
      <w:pPr>
        <w:ind w:left="180"/>
        <w:spacing w:after="0" w:line="241" w:lineRule="auto"/>
        <w:rPr>
          <w:sz w:val="20"/>
          <w:szCs w:val="20"/>
          <w:color w:val="auto"/>
        </w:rPr>
      </w:pPr>
      <w:r>
        <w:rPr>
          <w:rFonts w:ascii="Times New Roman" w:cs="Times New Roman" w:eastAsia="Times New Roman" w:hAnsi="Times New Roman"/>
          <w:sz w:val="22"/>
          <w:szCs w:val="22"/>
          <w:color w:val="auto"/>
        </w:rPr>
        <w:t>may assign this Agreement to any successor that continues the business of the Company, including any person or entity that acquires all or substantially all of the assets of the Company.</w:t>
      </w:r>
    </w:p>
    <w:p>
      <w:pPr>
        <w:spacing w:after="0" w:line="2" w:lineRule="exact"/>
        <w:rPr>
          <w:sz w:val="20"/>
          <w:szCs w:val="20"/>
          <w:color w:val="auto"/>
        </w:rPr>
      </w:pP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 xml:space="preserve">7.7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shall constitute one and the same instrument.</w:t>
      </w:r>
    </w:p>
    <w:p>
      <w:pPr>
        <w:spacing w:after="0" w:line="1" w:lineRule="exact"/>
        <w:rPr>
          <w:sz w:val="20"/>
          <w:szCs w:val="20"/>
          <w:color w:val="auto"/>
        </w:rPr>
      </w:pPr>
    </w:p>
    <w:p>
      <w:pPr>
        <w:jc w:val="both"/>
        <w:ind w:left="180" w:hanging="323"/>
        <w:spacing w:after="0" w:line="224" w:lineRule="auto"/>
        <w:rPr>
          <w:sz w:val="20"/>
          <w:szCs w:val="20"/>
          <w:color w:val="auto"/>
        </w:rPr>
      </w:pPr>
      <w:r>
        <w:rPr>
          <w:rFonts w:ascii="Times New Roman" w:cs="Times New Roman" w:eastAsia="Times New Roman" w:hAnsi="Times New Roman"/>
          <w:sz w:val="22"/>
          <w:szCs w:val="22"/>
          <w:color w:val="auto"/>
        </w:rPr>
        <w:t xml:space="preserve">7.8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convenience of reference only and shall not limit or otherwise affect the meaning of terms contained herein.</w:t>
      </w: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 xml:space="preserve">7.9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or any part thereof, is held by a court of competent jurisdiction of any foreign, federal, state, county or local government or any other governmental, regulatory or administrative agency or authority to be invalid, void, unenforceable or against public policy for any reason, the remainder of the terms, provisions, covenants and restrictions of this Agreement shall remain in full force and effect and shall in no way be affected or impaired or invalidated. The Executive acknowledges that the restrictive covenants contained in Section 6 are a condition of this Agreement and are reasonable and valid in temporal scope and in all other respects.</w:t>
      </w:r>
    </w:p>
    <w:p>
      <w:pPr>
        <w:spacing w:after="0" w:line="4" w:lineRule="exact"/>
        <w:rPr>
          <w:sz w:val="20"/>
          <w:szCs w:val="20"/>
          <w:color w:val="auto"/>
        </w:rPr>
      </w:pPr>
    </w:p>
    <w:p>
      <w:pPr>
        <w:jc w:val="both"/>
        <w:ind w:left="180" w:hanging="323"/>
        <w:spacing w:after="0" w:line="227" w:lineRule="auto"/>
        <w:rPr>
          <w:sz w:val="20"/>
          <w:szCs w:val="20"/>
          <w:color w:val="auto"/>
        </w:rPr>
      </w:pPr>
      <w:r>
        <w:rPr>
          <w:rFonts w:ascii="Times New Roman" w:cs="Times New Roman" w:eastAsia="Times New Roman" w:hAnsi="Times New Roman"/>
          <w:sz w:val="22"/>
          <w:szCs w:val="22"/>
          <w:color w:val="auto"/>
        </w:rPr>
        <w:t>7.10</w:t>
      </w:r>
      <w:r>
        <w:rPr>
          <w:sz w:val="20"/>
          <w:szCs w:val="20"/>
          <w:color w:val="auto"/>
        </w:rPr>
        <w:t xml:space="preserve"> </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or other payor is authorized to withhold from any benefit provided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payment due hereunder, the amount of withholding taxes due any federal, state or local authority in respect of such benefit or payment and to take such other action as may be necessary in the opinion of the Board to satisfy all obligations for the payment of such withholding taxes.</w:t>
      </w:r>
    </w:p>
    <w:p>
      <w:pPr>
        <w:spacing w:after="0" w:line="1" w:lineRule="exact"/>
        <w:rPr>
          <w:sz w:val="20"/>
          <w:szCs w:val="20"/>
          <w:color w:val="auto"/>
        </w:rPr>
      </w:pP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7.11</w:t>
      </w:r>
      <w:r>
        <w:rPr>
          <w:sz w:val="20"/>
          <w:szCs w:val="20"/>
          <w:color w:val="auto"/>
        </w:rPr>
        <w:t xml:space="preserve"> </w:t>
      </w:r>
      <w:r>
        <w:rPr>
          <w:rFonts w:ascii="Times New Roman" w:cs="Times New Roman" w:eastAsia="Times New Roman" w:hAnsi="Times New Roman"/>
          <w:sz w:val="22"/>
          <w:szCs w:val="22"/>
          <w:u w:val="single" w:color="auto"/>
          <w:color w:val="auto"/>
        </w:rPr>
        <w:t>Tax Advice</w:t>
      </w:r>
      <w:r>
        <w:rPr>
          <w:rFonts w:ascii="Times New Roman" w:cs="Times New Roman" w:eastAsia="Times New Roman" w:hAnsi="Times New Roman"/>
          <w:sz w:val="22"/>
          <w:szCs w:val="22"/>
          <w:color w:val="auto"/>
        </w:rPr>
        <w:t>. Executive acknowledges that no representative or agent of the Company has provided her with</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any tax advice of any nature, and Executive has had the opportunity to consult with her own legal, tax and financial advisors as to tax and related matters concerning the compensation to be received under this Agreement.</w:t>
      </w:r>
    </w:p>
    <w:p>
      <w:pPr>
        <w:spacing w:after="0" w:line="2" w:lineRule="exact"/>
        <w:rPr>
          <w:sz w:val="20"/>
          <w:szCs w:val="20"/>
          <w:color w:val="auto"/>
        </w:rPr>
      </w:pPr>
    </w:p>
    <w:p>
      <w:pPr>
        <w:jc w:val="both"/>
        <w:ind w:left="180" w:hanging="323"/>
        <w:spacing w:after="0" w:line="228" w:lineRule="auto"/>
        <w:rPr>
          <w:sz w:val="20"/>
          <w:szCs w:val="20"/>
          <w:color w:val="auto"/>
        </w:rPr>
      </w:pPr>
      <w:r>
        <w:rPr>
          <w:rFonts w:ascii="Times New Roman" w:cs="Times New Roman" w:eastAsia="Times New Roman" w:hAnsi="Times New Roman"/>
          <w:sz w:val="22"/>
          <w:szCs w:val="22"/>
          <w:color w:val="auto"/>
        </w:rPr>
        <w:t>7.12</w:t>
      </w:r>
      <w:r>
        <w:rPr>
          <w:sz w:val="20"/>
          <w:szCs w:val="20"/>
          <w:color w:val="auto"/>
        </w:rPr>
        <w:t xml:space="preserve"> </w:t>
      </w:r>
      <w:r>
        <w:rPr>
          <w:rFonts w:ascii="Times New Roman" w:cs="Times New Roman" w:eastAsia="Times New Roman" w:hAnsi="Times New Roman"/>
          <w:sz w:val="22"/>
          <w:szCs w:val="22"/>
          <w:u w:val="single" w:color="auto"/>
          <w:color w:val="auto"/>
        </w:rPr>
        <w:t>Indemnification and Insurance</w:t>
      </w:r>
      <w:r>
        <w:rPr>
          <w:rFonts w:ascii="Times New Roman" w:cs="Times New Roman" w:eastAsia="Times New Roman" w:hAnsi="Times New Roman"/>
          <w:sz w:val="22"/>
          <w:szCs w:val="22"/>
          <w:color w:val="auto"/>
        </w:rPr>
        <w:t>. The Executive shall be indemnified in accordance with the Company’s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certificate of incorporation, by-laws, and policies and to the fullest extent permitted by, and in accordance with, applicable law. The Company agrees that it shall promptly move to ensure that the Executive is insured under the Company’s Directors’ and Officers’ liability insurance policy (including Side A coverage). Subject to the requirements of applicable law, the Company shall indemnify the Executive on a current basis and to the extent the Company acquires insurance to cover all or part of the Company’s indemnification obligations, the Company shall ensure that amounts paid in respect of such insurance are paid on a current basis.</w:t>
      </w:r>
    </w:p>
    <w:p>
      <w:pPr>
        <w:spacing w:after="0" w:line="5" w:lineRule="exact"/>
        <w:rPr>
          <w:sz w:val="20"/>
          <w:szCs w:val="20"/>
          <w:color w:val="auto"/>
        </w:rPr>
      </w:pPr>
    </w:p>
    <w:p>
      <w:pPr>
        <w:jc w:val="both"/>
        <w:ind w:left="180" w:hanging="323"/>
        <w:spacing w:after="0" w:line="232" w:lineRule="auto"/>
        <w:rPr>
          <w:sz w:val="20"/>
          <w:szCs w:val="20"/>
          <w:color w:val="auto"/>
        </w:rPr>
      </w:pPr>
      <w:r>
        <w:rPr>
          <w:rFonts w:ascii="Times New Roman" w:cs="Times New Roman" w:eastAsia="Times New Roman" w:hAnsi="Times New Roman"/>
          <w:sz w:val="22"/>
          <w:szCs w:val="22"/>
          <w:color w:val="auto"/>
        </w:rPr>
        <w:t>7.13</w:t>
      </w:r>
      <w:r>
        <w:rPr>
          <w:sz w:val="20"/>
          <w:szCs w:val="20"/>
          <w:color w:val="auto"/>
        </w:rPr>
        <w:t xml:space="preserve"> </w:t>
      </w:r>
      <w:r>
        <w:rPr>
          <w:rFonts w:ascii="Times New Roman" w:cs="Times New Roman" w:eastAsia="Times New Roman" w:hAnsi="Times New Roman"/>
          <w:sz w:val="22"/>
          <w:szCs w:val="22"/>
          <w:u w:val="single" w:color="auto"/>
          <w:color w:val="auto"/>
        </w:rPr>
        <w:t xml:space="preserve">Section 409A. </w:t>
      </w:r>
      <w:r>
        <w:rPr>
          <w:rFonts w:ascii="Times New Roman" w:cs="Times New Roman" w:eastAsia="Times New Roman" w:hAnsi="Times New Roman"/>
          <w:sz w:val="22"/>
          <w:szCs w:val="22"/>
          <w:color w:val="auto"/>
        </w:rPr>
        <w:t>This Agreement is intended to comply with Code Section 409A to the extent subject thereto</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and shall be interpreted and administered in compliance therewith. Any term used in this Agreement which is defined in Code Section 409A or the regulations promulgated thereunder (the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shall have the meaning set forth therein unless otherwise specifically defined herein. For purposes of determining the timing of payment of any obligations to pay nonqualified deferred compensation (within the meaning of Code Section 409A) under this Agreement that arise in connection with the Executive’s “termination of employment,” “termination” or other similar references, references to termination of employment or similar references shall mean a “separation from service” within the meaning of §1.409A-l(h) of the Regulations. Notwithstanding</w:t>
      </w:r>
    </w:p>
    <w:p>
      <w:pPr>
        <w:sectPr>
          <w:pgSz w:w="11900" w:h="16838" w:orient="portrait"/>
          <w:cols w:equalWidth="0" w:num="1">
            <w:col w:w="10120"/>
          </w:cols>
          <w:pgMar w:left="1440" w:top="1408" w:right="339" w:bottom="1440" w:gutter="0" w:footer="0" w:header="0"/>
        </w:sectPr>
      </w:pPr>
    </w:p>
    <w:bookmarkStart w:id="218" w:name="page219"/>
    <w:bookmarkEnd w:id="218"/>
    <w:p>
      <w:pPr>
        <w:jc w:val="both"/>
        <w:ind w:left="320"/>
        <w:spacing w:after="0" w:line="230" w:lineRule="auto"/>
        <w:rPr>
          <w:sz w:val="20"/>
          <w:szCs w:val="20"/>
          <w:color w:val="auto"/>
        </w:rPr>
      </w:pPr>
      <w:r>
        <w:rPr>
          <w:rFonts w:ascii="Times New Roman" w:cs="Times New Roman" w:eastAsia="Times New Roman" w:hAnsi="Times New Roman"/>
          <w:sz w:val="22"/>
          <w:szCs w:val="22"/>
          <w:color w:val="auto"/>
        </w:rPr>
        <w:t xml:space="preserve">any other provision of this Agreement, if at the time of such “separation from service”, the Executive is a “specified employee,” as defined in Code Section 409A or the Regulations, and any payments upon such termination under this Agreement hereof shall result in additional tax or interest to the Executive under Code Section 409A, Executive shall not be entitled to receive such payments until the date which is six (6) months after the termination of the Executive’s employment for any reason or, if earlier, the date of the Executive’s death. Each amount to be paid or benefit to be provided to the Executive under this Agreement that constitutes nonqualified deferred compensation subject to Code Section 409A shall be construed as a separate identified payment for purposes of Code Section 409A. If any expense reimbursement payable to the Executive under this Agreement is determined to be “nonqualified deferred compensation” within the meaning of Code Section 409A, including, without limitation any reimbursement under Section 4.4, then the reimbursement shall be made to the Executive as soon as practicable after submission for the reimbursement, but no later than December 31 of the year following the year during which such expense was incurred. Any offset, recoupment or clawback provided by Section 7.14 or 7.15, or otherwise permitted in this Agreement, shall be applied to the maximum extent possible to comply with Code Section 409A. In addition, if the Parties become aware that any provision of this Agreement could reasonably be expected to subject the Executive to any additional tax or interest under Code Section 409A, then the Company and the Executive agree to act in good faith to reform such provision;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reform shall (x) maintain, to the maximum extent practicable, the original intent of the applicable provision without subjecting the Executive to such additional tax or interest, and (y) not incur any additional compensation expense as a result of such reformation. Notwithstanding the foregoing, the Company does not represent, warrant or guarantee that any payments that may be made pursuant to this Agreement will not result in inclusion in Executive’s gross income, or any penalty, pursuant to Section 409A(a)(1) of the Code or any similar state or local statute or regulation.</w:t>
      </w:r>
    </w:p>
    <w:p>
      <w:pPr>
        <w:spacing w:after="0"/>
        <w:tabs>
          <w:tab w:leader="none" w:pos="960" w:val="left"/>
        </w:tabs>
        <w:rPr>
          <w:sz w:val="20"/>
          <w:szCs w:val="20"/>
          <w:color w:val="auto"/>
        </w:rPr>
      </w:pPr>
      <w:r>
        <w:rPr>
          <w:rFonts w:ascii="Times New Roman" w:cs="Times New Roman" w:eastAsia="Times New Roman" w:hAnsi="Times New Roman"/>
          <w:sz w:val="22"/>
          <w:szCs w:val="22"/>
          <w:color w:val="auto"/>
        </w:rPr>
        <w:t>7.14</w:t>
      </w:r>
      <w:r>
        <w:rPr>
          <w:sz w:val="20"/>
          <w:szCs w:val="20"/>
          <w:color w:val="auto"/>
        </w:rPr>
        <w:tab/>
      </w:r>
      <w:r>
        <w:rPr>
          <w:rFonts w:ascii="Times New Roman" w:cs="Times New Roman" w:eastAsia="Times New Roman" w:hAnsi="Times New Roman"/>
          <w:sz w:val="21"/>
          <w:szCs w:val="21"/>
          <w:u w:val="single" w:color="auto"/>
          <w:color w:val="auto"/>
        </w:rPr>
        <w:t>Golden Parachute Provisions</w:t>
      </w:r>
      <w:r>
        <w:rPr>
          <w:rFonts w:ascii="Times New Roman" w:cs="Times New Roman" w:eastAsia="Times New Roman" w:hAnsi="Times New Roman"/>
          <w:sz w:val="21"/>
          <w:szCs w:val="21"/>
          <w:color w:val="auto"/>
        </w:rPr>
        <w:t>.</w:t>
      </w:r>
    </w:p>
    <w:p>
      <w:pPr>
        <w:jc w:val="both"/>
        <w:ind w:left="1620" w:hanging="323"/>
        <w:spacing w:after="0" w:line="228" w:lineRule="auto"/>
        <w:rPr>
          <w:sz w:val="20"/>
          <w:szCs w:val="20"/>
          <w:color w:val="auto"/>
        </w:rPr>
      </w:pPr>
      <w:r>
        <w:rPr>
          <w:rFonts w:ascii="Times New Roman" w:cs="Times New Roman" w:eastAsia="Times New Roman" w:hAnsi="Times New Roman"/>
          <w:sz w:val="22"/>
          <w:szCs w:val="22"/>
          <w:color w:val="auto"/>
        </w:rPr>
        <w:t>7.14.1)1)</w:t>
      </w:r>
      <w:r>
        <w:rPr>
          <w:sz w:val="20"/>
          <w:szCs w:val="20"/>
          <w:color w:val="auto"/>
        </w:rPr>
        <w:t xml:space="preserve"> </w:t>
      </w:r>
      <w:r>
        <w:rPr>
          <w:rFonts w:ascii="Times New Roman" w:cs="Times New Roman" w:eastAsia="Times New Roman" w:hAnsi="Times New Roman"/>
          <w:sz w:val="22"/>
          <w:szCs w:val="22"/>
          <w:color w:val="auto"/>
        </w:rPr>
        <w:t>Anything in this Agreement to the contrary notwithstanding, if any payment or benefit to the Executive under this Agreement or otherwise would be a “golden parachute payment” or “indemnification payment” within the meaning of Section 18(k) of the Federal Deposit Insurance Act, such payment or benefit shall not be made unless permitted under applicable law. The Company shall use best efforts promptly to apply to the appropriate federal banking agency for a determination that any golden parachute payment is permissible.</w:t>
      </w:r>
    </w:p>
    <w:p>
      <w:pPr>
        <w:spacing w:after="0" w:line="3" w:lineRule="exact"/>
        <w:rPr>
          <w:sz w:val="20"/>
          <w:szCs w:val="20"/>
          <w:color w:val="auto"/>
        </w:rPr>
      </w:pPr>
    </w:p>
    <w:p>
      <w:pPr>
        <w:jc w:val="both"/>
        <w:ind w:left="1620" w:hanging="323"/>
        <w:spacing w:after="0" w:line="232" w:lineRule="auto"/>
        <w:rPr>
          <w:sz w:val="20"/>
          <w:szCs w:val="20"/>
          <w:color w:val="auto"/>
        </w:rPr>
      </w:pPr>
      <w:r>
        <w:rPr>
          <w:rFonts w:ascii="Times New Roman" w:cs="Times New Roman" w:eastAsia="Times New Roman" w:hAnsi="Times New Roman"/>
          <w:sz w:val="22"/>
          <w:szCs w:val="22"/>
          <w:color w:val="auto"/>
        </w:rPr>
        <w:t>7.14.1)2)</w:t>
      </w:r>
      <w:r>
        <w:rPr>
          <w:sz w:val="20"/>
          <w:szCs w:val="20"/>
          <w:color w:val="auto"/>
        </w:rPr>
        <w:t xml:space="preserve"> </w:t>
      </w:r>
      <w:r>
        <w:rPr>
          <w:rFonts w:ascii="Times New Roman" w:cs="Times New Roman" w:eastAsia="Times New Roman" w:hAnsi="Times New Roman"/>
          <w:sz w:val="22"/>
          <w:szCs w:val="22"/>
          <w:color w:val="auto"/>
        </w:rPr>
        <w:t>In the event that the benefits provided for in the Agreement, when aggregated with any other payments or benefits received by the Executive (the “</w:t>
      </w:r>
      <w:r>
        <w:rPr>
          <w:rFonts w:ascii="Times New Roman" w:cs="Times New Roman" w:eastAsia="Times New Roman" w:hAnsi="Times New Roman"/>
          <w:sz w:val="22"/>
          <w:szCs w:val="22"/>
          <w:u w:val="single" w:color="auto"/>
          <w:color w:val="auto"/>
        </w:rPr>
        <w:t>Aggregate Benefits</w:t>
      </w:r>
      <w:r>
        <w:rPr>
          <w:rFonts w:ascii="Times New Roman" w:cs="Times New Roman" w:eastAsia="Times New Roman" w:hAnsi="Times New Roman"/>
          <w:sz w:val="22"/>
          <w:szCs w:val="22"/>
          <w:color w:val="auto"/>
        </w:rPr>
        <w:t>”), would (i) constitute “parachute payments” within the meaning of Section 280G of the Code, and (ii) would be subject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then the Executive’s Aggregate Benefits will be either: (a) delivered in full, or (b) delivered as to such lesser extent as would result in no</w:t>
      </w:r>
    </w:p>
    <w:p>
      <w:pPr>
        <w:sectPr>
          <w:pgSz w:w="11900" w:h="16838" w:orient="portrait"/>
          <w:cols w:equalWidth="0" w:num="1">
            <w:col w:w="10260"/>
          </w:cols>
          <w:pgMar w:left="1300" w:top="1408" w:right="339" w:bottom="1440" w:gutter="0" w:footer="0" w:header="0"/>
        </w:sectPr>
      </w:pPr>
    </w:p>
    <w:bookmarkStart w:id="219" w:name="page220"/>
    <w:bookmarkEnd w:id="219"/>
    <w:p>
      <w:pPr>
        <w:jc w:val="both"/>
        <w:ind w:left="1480"/>
        <w:spacing w:after="0" w:line="230" w:lineRule="auto"/>
        <w:rPr>
          <w:sz w:val="20"/>
          <w:szCs w:val="20"/>
          <w:color w:val="auto"/>
        </w:rPr>
      </w:pPr>
      <w:r>
        <w:rPr>
          <w:rFonts w:ascii="Times New Roman" w:cs="Times New Roman" w:eastAsia="Times New Roman" w:hAnsi="Times New Roman"/>
          <w:sz w:val="22"/>
          <w:szCs w:val="22"/>
          <w:color w:val="auto"/>
        </w:rPr>
        <w:t>portion of such Aggregate Benefits being subject to the Excise Tax, whichever of the foregoing amounts, taking into account the applicable federal, state and local income taxes and the Excise Tax, results in the receipt by the Executive on an after-tax basis of the greatest amount of Aggregate Benefits, notwithstanding that all or some portion of such Aggregate Benefits may be taxable under Section 4999 of the Code. Unless the Company and the Executive otherwise agree in writing, any determination required under this paragraph will be made in writing by an independent certified public accounting firm mutually agreeable to the Company and the Executive (the “</w:t>
      </w:r>
      <w:r>
        <w:rPr>
          <w:rFonts w:ascii="Times New Roman" w:cs="Times New Roman" w:eastAsia="Times New Roman" w:hAnsi="Times New Roman"/>
          <w:sz w:val="22"/>
          <w:szCs w:val="22"/>
          <w:u w:val="single" w:color="auto"/>
          <w:color w:val="auto"/>
        </w:rPr>
        <w:t>Accounting Firm</w:t>
      </w:r>
      <w:r>
        <w:rPr>
          <w:rFonts w:ascii="Times New Roman" w:cs="Times New Roman" w:eastAsia="Times New Roman" w:hAnsi="Times New Roman"/>
          <w:sz w:val="22"/>
          <w:szCs w:val="22"/>
          <w:color w:val="auto"/>
        </w:rPr>
        <w:t>”) whose determination will be conclusive and binding upon Executive and the Company for all purposes. For purposes of making the calculations required by this paragraph, the Accounting Firm may make reasonable assumptions and approximations concerning applicable taxes and may rely on reasonable, good faith interpretations concerning the application of Sections 280G and 4999 of the Code. The Company and the Executive will furnish to the Accounting Firm such information and documents as the Accounting Firm may reasonably request in order to make a determination under this paragraph. To the extent any reduction in Aggregate Benefits is required by this paragraph, Aggregate Benefits shall be reduced or eliminated in reverse order of time of payment (that is, Aggregate Benefits payable later shall be reduced or eliminated before any reduction or elimination of Aggregate Benefits payable sooner), Aggregate Benefits payable at the same time shall be reduced or eliminated in accordance with the Executive’s instructions provided the Company has no reasonable objection thereto, and all reductions or eliminations shall be based on the value of the Aggregate Benefits established for purposes of the determination required under this paragraph. All fees and expenses of the Accounting Firm shall be borne solely by the Company.</w:t>
      </w:r>
    </w:p>
    <w:p>
      <w:pPr>
        <w:spacing w:after="0" w:line="9" w:lineRule="exact"/>
        <w:rPr>
          <w:sz w:val="20"/>
          <w:szCs w:val="20"/>
          <w:color w:val="auto"/>
        </w:rPr>
      </w:pPr>
    </w:p>
    <w:p>
      <w:pPr>
        <w:jc w:val="both"/>
        <w:ind w:left="1480" w:hanging="323"/>
        <w:spacing w:after="0" w:line="230" w:lineRule="auto"/>
        <w:rPr>
          <w:sz w:val="20"/>
          <w:szCs w:val="20"/>
          <w:color w:val="auto"/>
        </w:rPr>
      </w:pPr>
      <w:r>
        <w:rPr>
          <w:rFonts w:ascii="Times New Roman" w:cs="Times New Roman" w:eastAsia="Times New Roman" w:hAnsi="Times New Roman"/>
          <w:sz w:val="22"/>
          <w:szCs w:val="22"/>
          <w:color w:val="auto"/>
        </w:rPr>
        <w:t>7.14.1)3)</w:t>
      </w:r>
      <w:r>
        <w:rPr>
          <w:sz w:val="20"/>
          <w:szCs w:val="20"/>
          <w:color w:val="auto"/>
        </w:rPr>
        <w:t xml:space="preserve"> </w:t>
      </w:r>
      <w:r>
        <w:rPr>
          <w:rFonts w:ascii="Times New Roman" w:cs="Times New Roman" w:eastAsia="Times New Roman" w:hAnsi="Times New Roman"/>
          <w:sz w:val="22"/>
          <w:szCs w:val="22"/>
          <w:color w:val="auto"/>
        </w:rPr>
        <w:t>The provisions of this Agreement are subject to and shall be interpreted to be consistent with Applicable Law, which terms control over the terms of this Agreement in the event of a conflict between Applicable Law and this Agreement. Notwithstanding anything herein to the contrary, no payment or benefit shall be paid or provided to the Executive or be vested or accrued if any such payment or benefit, vesting or accrual would violate Applicable Law and, to the extent any such payment or benefit that has been paid, provided, vested or accrued is determined to be in violation of Applicable Law, any such payment or benefit shall be subject to recoupment or cancellation. In the event of any such violation, the Executive and the Company shall cooperate in good faith to endeavor to meet the requirements of Applicable Law in a manner that preserves to the greatest extent possible the intent and purposes of this Amendment.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the laws, statutes, rules, regulations, treaties, directives, guidelines,</w:t>
      </w:r>
    </w:p>
    <w:p>
      <w:pPr>
        <w:sectPr>
          <w:pgSz w:w="11900" w:h="16838" w:orient="portrait"/>
          <w:cols w:equalWidth="0" w:num="1">
            <w:col w:w="10120"/>
          </w:cols>
          <w:pgMar w:left="1440" w:top="1408" w:right="339" w:bottom="1440" w:gutter="0" w:footer="0" w:header="0"/>
        </w:sectPr>
      </w:pPr>
    </w:p>
    <w:bookmarkStart w:id="220" w:name="page221"/>
    <w:bookmarkEnd w:id="220"/>
    <w:p>
      <w:pPr>
        <w:jc w:val="both"/>
        <w:ind w:left="1480"/>
        <w:spacing w:after="0" w:line="242" w:lineRule="auto"/>
        <w:rPr>
          <w:sz w:val="20"/>
          <w:szCs w:val="20"/>
          <w:color w:val="auto"/>
        </w:rPr>
      </w:pPr>
      <w:r>
        <w:rPr>
          <w:rFonts w:ascii="Times New Roman" w:cs="Times New Roman" w:eastAsia="Times New Roman" w:hAnsi="Times New Roman"/>
          <w:sz w:val="21"/>
          <w:szCs w:val="21"/>
          <w:color w:val="auto"/>
        </w:rPr>
        <w:t>ordinances, codes, administrative or judicial precedents or authorities and orders of any Governmental Authority, as well as the interpretation or administration thereof by any Governmental Authority charged with the enforcement, interpretation or administration thereof, and all applicable administrative orders, decisions, judgments, directed duties, requests, licenses, authorizations, decrees and permits of, and agreements with any Governmental Authority, to which the Company or the Executive are a party or by which the Company or the Executive are bound, in each case whether or not having the force of law, and all orders, decisions, judgments, and decrees of all courts or arbitrators in proceedings or actions to which the Company or the Executive are a party or by which the Company or the Executive are bound. “</w:t>
      </w:r>
      <w:r>
        <w:rPr>
          <w:rFonts w:ascii="Times New Roman" w:cs="Times New Roman" w:eastAsia="Times New Roman" w:hAnsi="Times New Roman"/>
          <w:sz w:val="21"/>
          <w:szCs w:val="21"/>
          <w:u w:val="single" w:color="auto"/>
          <w:color w:val="auto"/>
        </w:rPr>
        <w:t>Governmental Authority</w:t>
      </w:r>
      <w:r>
        <w:rPr>
          <w:rFonts w:ascii="Times New Roman" w:cs="Times New Roman" w:eastAsia="Times New Roman" w:hAnsi="Times New Roman"/>
          <w:sz w:val="21"/>
          <w:szCs w:val="21"/>
          <w:color w:val="auto"/>
        </w:rPr>
        <w:t>” means the United States of America, any state or territory thereof and any federal, state, provincial, city, town, municipality, county or local authority, including without limitation, the Federal Deposit Insurance Corporation, the New York State Department of Financial Services, and any board, bureau, instrumentality, agency or other entity exercising executive, legislative, judicial, taxing, regulatory or administrative powers or functions of or pertaining to government.</w:t>
      </w:r>
    </w:p>
    <w:p>
      <w:pPr>
        <w:spacing w:after="0" w:line="4" w:lineRule="exact"/>
        <w:rPr>
          <w:sz w:val="20"/>
          <w:szCs w:val="20"/>
          <w:color w:val="auto"/>
        </w:rPr>
      </w:pPr>
    </w:p>
    <w:p>
      <w:pPr>
        <w:jc w:val="both"/>
        <w:ind w:left="180" w:hanging="323"/>
        <w:spacing w:after="0" w:line="228" w:lineRule="auto"/>
        <w:rPr>
          <w:sz w:val="20"/>
          <w:szCs w:val="20"/>
          <w:color w:val="auto"/>
        </w:rPr>
      </w:pPr>
      <w:r>
        <w:rPr>
          <w:rFonts w:ascii="Times New Roman" w:cs="Times New Roman" w:eastAsia="Times New Roman" w:hAnsi="Times New Roman"/>
          <w:sz w:val="22"/>
          <w:szCs w:val="22"/>
          <w:color w:val="auto"/>
        </w:rPr>
        <w:t>7.15</w:t>
      </w:r>
      <w:r>
        <w:rPr>
          <w:sz w:val="20"/>
          <w:szCs w:val="20"/>
          <w:color w:val="auto"/>
        </w:rPr>
        <w:t xml:space="preserve"> </w:t>
      </w:r>
      <w:r>
        <w:rPr>
          <w:rFonts w:ascii="Times New Roman" w:cs="Times New Roman" w:eastAsia="Times New Roman" w:hAnsi="Times New Roman"/>
          <w:sz w:val="22"/>
          <w:szCs w:val="22"/>
          <w:u w:val="single" w:color="auto"/>
          <w:color w:val="auto"/>
        </w:rPr>
        <w:t>Claw-Back and Forfeiture</w:t>
      </w:r>
      <w:r>
        <w:rPr>
          <w:rFonts w:ascii="Times New Roman" w:cs="Times New Roman" w:eastAsia="Times New Roman" w:hAnsi="Times New Roman"/>
          <w:sz w:val="22"/>
          <w:szCs w:val="22"/>
          <w:color w:val="auto"/>
        </w:rPr>
        <w:t>. This Agreement and any Annual Bonus, Equity Plan or other incentive 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performance-based compensation paid or payable to the Executive pursuant to this Agreement or under any other plan or arrangement adopted by the Company (collectively, “</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shall be subject in all respects to the Company’s Policy on Sound Executive Compensation and any other compensation claw-back or forfeiture policy implemented by the Company from time to time and applicable to all officers of the Company on the same terms and conditions, including without limitation, any such policy adopted to comply with the requirements of applicable law or the rules and regulations of any stock exchange applicable to the Company, and any revisions or amendments to any of the foregoing policies adopted by the Company from time to time and applicable to all officers of the Company on the same terms and conditions (collectively,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Executive acknowledges and agrees that, if the Company is permitted to and does affirmatively effect a claw-back or forfeiture of Incentive Compensation pursuant to the Claw-Back Policy, the Company shall be entitled to recover or retain any Incentive Compensation paid or payable to the Executive in accordance with the terms and conditions of the Claw-Back Policy.</w:t>
      </w:r>
    </w:p>
    <w:p>
      <w:pPr>
        <w:spacing w:after="0" w:line="8" w:lineRule="exact"/>
        <w:rPr>
          <w:sz w:val="20"/>
          <w:szCs w:val="20"/>
          <w:color w:val="auto"/>
        </w:rPr>
      </w:pPr>
    </w:p>
    <w:p>
      <w:pPr>
        <w:jc w:val="both"/>
        <w:ind w:left="180" w:hanging="323"/>
        <w:spacing w:after="0" w:line="230" w:lineRule="auto"/>
        <w:rPr>
          <w:sz w:val="20"/>
          <w:szCs w:val="20"/>
          <w:color w:val="auto"/>
        </w:rPr>
      </w:pPr>
      <w:r>
        <w:rPr>
          <w:rFonts w:ascii="Times New Roman" w:cs="Times New Roman" w:eastAsia="Times New Roman" w:hAnsi="Times New Roman"/>
          <w:sz w:val="22"/>
          <w:szCs w:val="22"/>
          <w:color w:val="auto"/>
        </w:rPr>
        <w:t>7.16</w:t>
      </w:r>
      <w:r>
        <w:rPr>
          <w:sz w:val="20"/>
          <w:szCs w:val="20"/>
          <w:color w:val="auto"/>
        </w:rPr>
        <w:t xml:space="preserve"> </w:t>
      </w: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several counterparts (including counterparts by email,</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facsimile, portable document format (pdf) or any electronic signature complying with the U.S. federal ESIGN Act of 2000 (including DocuSign)), each of which shall be deemed an original and all of which shall together constitute one and the same instrument.</w:t>
      </w:r>
    </w:p>
    <w:p>
      <w:pPr>
        <w:spacing w:after="0" w:line="2" w:lineRule="exact"/>
        <w:rPr>
          <w:sz w:val="20"/>
          <w:szCs w:val="20"/>
          <w:color w:val="auto"/>
        </w:rPr>
      </w:pPr>
    </w:p>
    <w:p>
      <w:pPr>
        <w:jc w:val="both"/>
        <w:ind w:left="180" w:hanging="323"/>
        <w:spacing w:after="0" w:line="235" w:lineRule="auto"/>
        <w:rPr>
          <w:sz w:val="20"/>
          <w:szCs w:val="20"/>
          <w:color w:val="auto"/>
        </w:rPr>
      </w:pPr>
      <w:r>
        <w:rPr>
          <w:rFonts w:ascii="Times New Roman" w:cs="Times New Roman" w:eastAsia="Times New Roman" w:hAnsi="Times New Roman"/>
          <w:sz w:val="22"/>
          <w:szCs w:val="22"/>
          <w:color w:val="auto"/>
        </w:rPr>
        <w:t>7.17</w:t>
      </w:r>
      <w:r>
        <w:rPr>
          <w:sz w:val="20"/>
          <w:szCs w:val="20"/>
          <w:color w:val="auto"/>
        </w:rPr>
        <w:t xml:space="preserve"> </w:t>
      </w:r>
      <w:r>
        <w:rPr>
          <w:rFonts w:ascii="Times New Roman" w:cs="Times New Roman" w:eastAsia="Times New Roman" w:hAnsi="Times New Roman"/>
          <w:sz w:val="22"/>
          <w:szCs w:val="22"/>
          <w:u w:val="single" w:color="auto"/>
          <w:color w:val="auto"/>
        </w:rPr>
        <w:t>Legal Representation and Independent Review</w:t>
      </w:r>
      <w:r>
        <w:rPr>
          <w:rFonts w:ascii="Times New Roman" w:cs="Times New Roman" w:eastAsia="Times New Roman" w:hAnsi="Times New Roman"/>
          <w:sz w:val="22"/>
          <w:szCs w:val="22"/>
          <w:color w:val="auto"/>
        </w:rPr>
        <w:t>. Executive acknowledges that she was advised to consult</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with, and has had ample opportunity to receive the advice of, independent legal counsel before executing this Agreement – and the Company hereby advises Executive to do so – and that Executive has fully</w:t>
      </w:r>
    </w:p>
    <w:p>
      <w:pPr>
        <w:sectPr>
          <w:pgSz w:w="11900" w:h="16838" w:orient="portrait"/>
          <w:cols w:equalWidth="0" w:num="1">
            <w:col w:w="10120"/>
          </w:cols>
          <w:pgMar w:left="1440" w:top="1408" w:right="339" w:bottom="1440" w:gutter="0" w:footer="0" w:header="0"/>
        </w:sectPr>
      </w:pPr>
    </w:p>
    <w:bookmarkStart w:id="221" w:name="page222"/>
    <w:bookmarkEnd w:id="221"/>
    <w:p>
      <w:pPr>
        <w:jc w:val="both"/>
        <w:ind w:left="1300"/>
        <w:spacing w:after="0" w:line="232" w:lineRule="auto"/>
        <w:rPr>
          <w:sz w:val="20"/>
          <w:szCs w:val="20"/>
          <w:color w:val="auto"/>
        </w:rPr>
      </w:pPr>
      <w:r>
        <w:rPr>
          <w:rFonts w:ascii="Times New Roman" w:cs="Times New Roman" w:eastAsia="Times New Roman" w:hAnsi="Times New Roman"/>
          <w:sz w:val="22"/>
          <w:szCs w:val="22"/>
          <w:color w:val="auto"/>
        </w:rPr>
        <w:t>exercised that opportunity to the extent she desired. Executive acknowledges that she had ample opportunity to consider this Agreement and to receive an explanation from such legal counsel of the legal nature, effect, ramifications, and consequences of this Agreement. Executive warrants that she has carefully read this Agreement, that she understands completely its contents, that she understands the significance, nature, effect, and consequences of signing it, and that she has agreed to and signed this Agreement knowingly and voluntarily of her own free will, act, and deed, and for full and sufficient consideration.</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IN WITNESS WHEREOF, the Parties hereto, intending to be legally bound hereby, have executed this Agreement as of the day and year first above mentioned.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220" w:type="dxa"/>
            <w:vAlign w:val="bottom"/>
          </w:tcPr>
          <w:p>
            <w:pPr>
              <w:spacing w:after="0"/>
              <w:rPr>
                <w:sz w:val="20"/>
                <w:szCs w:val="20"/>
                <w:color w:val="auto"/>
              </w:rPr>
            </w:pPr>
            <w:r>
              <w:rPr>
                <w:rFonts w:ascii="Arial" w:cs="Arial" w:eastAsia="Arial" w:hAnsi="Arial"/>
                <w:sz w:val="22"/>
                <w:szCs w:val="22"/>
                <w:color w:val="auto"/>
              </w:rPr>
              <w:t>EXECUTIVE:</w:t>
            </w:r>
          </w:p>
        </w:tc>
        <w:tc>
          <w:tcPr>
            <w:tcW w:w="5160" w:type="dxa"/>
            <w:vAlign w:val="bottom"/>
          </w:tcPr>
          <w:p>
            <w:pPr>
              <w:ind w:left="30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283"/>
        </w:trPr>
        <w:tc>
          <w:tcPr>
            <w:tcW w:w="5220" w:type="dxa"/>
            <w:vAlign w:val="bottom"/>
            <w:vMerge w:val="restart"/>
          </w:tcPr>
          <w:p>
            <w:pPr>
              <w:spacing w:after="0"/>
              <w:rPr>
                <w:sz w:val="20"/>
                <w:szCs w:val="20"/>
                <w:color w:val="auto"/>
              </w:rPr>
            </w:pPr>
            <w:r>
              <w:rPr>
                <w:rFonts w:ascii="Arial" w:cs="Arial" w:eastAsia="Arial" w:hAnsi="Arial"/>
                <w:sz w:val="22"/>
                <w:szCs w:val="22"/>
                <w:color w:val="auto"/>
              </w:rPr>
              <w:t>_________________________________ Margaret</w:t>
            </w:r>
          </w:p>
        </w:tc>
        <w:tc>
          <w:tcPr>
            <w:tcW w:w="5160" w:type="dxa"/>
            <w:vAlign w:val="bottom"/>
          </w:tcPr>
          <w:p>
            <w:pPr>
              <w:ind w:left="300"/>
              <w:spacing w:after="0"/>
              <w:rPr>
                <w:sz w:val="20"/>
                <w:szCs w:val="20"/>
                <w:color w:val="auto"/>
              </w:rPr>
            </w:pPr>
            <w:r>
              <w:rPr>
                <w:rFonts w:ascii="Arial" w:cs="Arial" w:eastAsia="Arial" w:hAnsi="Arial"/>
                <w:sz w:val="22"/>
                <w:szCs w:val="22"/>
                <w:color w:val="auto"/>
              </w:rPr>
              <w:t>AMALGAMATED FINANCIAL CORP.</w:t>
            </w:r>
          </w:p>
        </w:tc>
        <w:tc>
          <w:tcPr>
            <w:tcW w:w="0" w:type="dxa"/>
            <w:vAlign w:val="bottom"/>
          </w:tcPr>
          <w:p>
            <w:pPr>
              <w:spacing w:after="0"/>
              <w:rPr>
                <w:sz w:val="1"/>
                <w:szCs w:val="1"/>
                <w:color w:val="auto"/>
              </w:rPr>
            </w:pPr>
          </w:p>
        </w:tc>
      </w:tr>
      <w:tr>
        <w:trPr>
          <w:trHeight w:val="189"/>
        </w:trPr>
        <w:tc>
          <w:tcPr>
            <w:tcW w:w="5220" w:type="dxa"/>
            <w:vAlign w:val="bottom"/>
            <w:vMerge w:val="continue"/>
          </w:tcPr>
          <w:p>
            <w:pPr>
              <w:spacing w:after="0"/>
              <w:rPr>
                <w:sz w:val="16"/>
                <w:szCs w:val="16"/>
                <w:color w:val="auto"/>
              </w:rPr>
            </w:pP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220" w:type="dxa"/>
            <w:vAlign w:val="bottom"/>
          </w:tcPr>
          <w:p>
            <w:pPr>
              <w:spacing w:after="0" w:line="243" w:lineRule="exact"/>
              <w:rPr>
                <w:sz w:val="20"/>
                <w:szCs w:val="20"/>
                <w:color w:val="auto"/>
              </w:rPr>
            </w:pPr>
            <w:r>
              <w:rPr>
                <w:rFonts w:ascii="Arial" w:cs="Arial" w:eastAsia="Arial" w:hAnsi="Arial"/>
                <w:sz w:val="22"/>
                <w:szCs w:val="22"/>
                <w:color w:val="auto"/>
              </w:rPr>
              <w:t>Lanning an individual</w:t>
            </w:r>
          </w:p>
        </w:tc>
        <w:tc>
          <w:tcPr>
            <w:tcW w:w="5160" w:type="dxa"/>
            <w:vAlign w:val="bottom"/>
          </w:tcPr>
          <w:p>
            <w:pPr>
              <w:ind w:left="300"/>
              <w:spacing w:after="0" w:line="243" w:lineRule="exact"/>
              <w:rPr>
                <w:sz w:val="20"/>
                <w:szCs w:val="20"/>
                <w:color w:val="auto"/>
              </w:rPr>
            </w:pPr>
            <w:r>
              <w:rPr>
                <w:rFonts w:ascii="Arial" w:cs="Arial" w:eastAsia="Arial" w:hAnsi="Arial"/>
                <w:sz w:val="22"/>
                <w:szCs w:val="22"/>
                <w:color w:val="auto"/>
                <w:w w:val="97"/>
              </w:rPr>
              <w:t>By:________________________________ Name:</w:t>
            </w:r>
          </w:p>
        </w:tc>
        <w:tc>
          <w:tcPr>
            <w:tcW w:w="0" w:type="dxa"/>
            <w:vAlign w:val="bottom"/>
          </w:tcPr>
          <w:p>
            <w:pPr>
              <w:spacing w:after="0"/>
              <w:rPr>
                <w:sz w:val="1"/>
                <w:szCs w:val="1"/>
                <w:color w:val="auto"/>
              </w:rPr>
            </w:pPr>
          </w:p>
        </w:tc>
      </w:tr>
      <w:tr>
        <w:trPr>
          <w:trHeight w:val="243"/>
        </w:trPr>
        <w:tc>
          <w:tcPr>
            <w:tcW w:w="5220" w:type="dxa"/>
            <w:vAlign w:val="bottom"/>
          </w:tcPr>
          <w:p>
            <w:pPr>
              <w:spacing w:after="0"/>
              <w:rPr>
                <w:sz w:val="21"/>
                <w:szCs w:val="21"/>
                <w:color w:val="auto"/>
              </w:rPr>
            </w:pPr>
          </w:p>
        </w:tc>
        <w:tc>
          <w:tcPr>
            <w:tcW w:w="5160" w:type="dxa"/>
            <w:vAlign w:val="bottom"/>
          </w:tcPr>
          <w:p>
            <w:pPr>
              <w:ind w:left="300"/>
              <w:spacing w:after="0" w:line="243" w:lineRule="exact"/>
              <w:rPr>
                <w:sz w:val="20"/>
                <w:szCs w:val="20"/>
                <w:color w:val="auto"/>
              </w:rPr>
            </w:pPr>
            <w:r>
              <w:rPr>
                <w:rFonts w:ascii="Arial" w:cs="Arial" w:eastAsia="Arial" w:hAnsi="Arial"/>
                <w:sz w:val="22"/>
                <w:szCs w:val="22"/>
                <w:color w:val="auto"/>
              </w:rPr>
              <w:t>Priscilla Brown</w:t>
            </w:r>
          </w:p>
        </w:tc>
        <w:tc>
          <w:tcPr>
            <w:tcW w:w="0" w:type="dxa"/>
            <w:vAlign w:val="bottom"/>
          </w:tcPr>
          <w:p>
            <w:pPr>
              <w:spacing w:after="0"/>
              <w:rPr>
                <w:sz w:val="1"/>
                <w:szCs w:val="1"/>
                <w:color w:val="auto"/>
              </w:rPr>
            </w:pPr>
          </w:p>
        </w:tc>
      </w:tr>
      <w:tr>
        <w:trPr>
          <w:trHeight w:val="283"/>
        </w:trPr>
        <w:tc>
          <w:tcPr>
            <w:tcW w:w="5220" w:type="dxa"/>
            <w:vAlign w:val="bottom"/>
          </w:tcPr>
          <w:p>
            <w:pPr>
              <w:spacing w:after="0"/>
              <w:rPr>
                <w:sz w:val="24"/>
                <w:szCs w:val="24"/>
                <w:color w:val="auto"/>
              </w:rPr>
            </w:pPr>
          </w:p>
        </w:tc>
        <w:tc>
          <w:tcPr>
            <w:tcW w:w="5160" w:type="dxa"/>
            <w:vAlign w:val="bottom"/>
          </w:tcPr>
          <w:p>
            <w:pPr>
              <w:ind w:left="300"/>
              <w:spacing w:after="0"/>
              <w:rPr>
                <w:sz w:val="20"/>
                <w:szCs w:val="20"/>
                <w:color w:val="auto"/>
              </w:rPr>
            </w:pPr>
            <w:r>
              <w:rPr>
                <w:rFonts w:ascii="Arial" w:cs="Arial" w:eastAsia="Arial" w:hAnsi="Arial"/>
                <w:sz w:val="22"/>
                <w:szCs w:val="22"/>
                <w:color w:val="auto"/>
              </w:rPr>
              <w:t>Title: President and CEO</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222" w:name="page223"/>
    <w:bookmarkEnd w:id="222"/>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EMPLOYMENT AGREEMENT</w:t>
      </w:r>
    </w:p>
    <w:p>
      <w:pPr>
        <w:spacing w:after="0" w:line="238" w:lineRule="exact"/>
        <w:rPr>
          <w:sz w:val="20"/>
          <w:szCs w:val="20"/>
          <w:color w:val="auto"/>
        </w:rPr>
      </w:pPr>
    </w:p>
    <w:p>
      <w:pPr>
        <w:ind w:right="60"/>
        <w:spacing w:after="0" w:line="244"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February 19, 2025 is entered into by and between Amalgamated Financial Corp.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and Edgar Romney Jr. (the “</w:t>
      </w:r>
      <w:r>
        <w:rPr>
          <w:rFonts w:ascii="Arial" w:cs="Arial" w:eastAsia="Arial" w:hAnsi="Arial"/>
          <w:sz w:val="22"/>
          <w:szCs w:val="22"/>
          <w:u w:val="single" w:color="auto"/>
          <w:color w:val="auto"/>
        </w:rPr>
        <w:t>Executive</w:t>
      </w:r>
      <w:r>
        <w:rPr>
          <w:rFonts w:ascii="Arial" w:cs="Arial" w:eastAsia="Arial" w:hAnsi="Arial"/>
          <w:sz w:val="22"/>
          <w:szCs w:val="22"/>
          <w:color w:val="auto"/>
        </w:rPr>
        <w:t>”)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 References to the Company in this Agreement also include Amalgamated Bank (the “</w:t>
      </w:r>
      <w:r>
        <w:rPr>
          <w:rFonts w:ascii="Arial" w:cs="Arial" w:eastAsia="Arial" w:hAnsi="Arial"/>
          <w:sz w:val="22"/>
          <w:szCs w:val="22"/>
          <w:u w:val="single" w:color="auto"/>
          <w:color w:val="auto"/>
        </w:rPr>
        <w:t>Bank</w:t>
      </w:r>
      <w:r>
        <w:rPr>
          <w:rFonts w:ascii="Arial" w:cs="Arial" w:eastAsia="Arial" w:hAnsi="Arial"/>
          <w:sz w:val="22"/>
          <w:szCs w:val="22"/>
          <w:color w:val="auto"/>
        </w:rPr>
        <w:t>”) and all other subsidiaries of the Company and of the Bank.</w:t>
      </w:r>
    </w:p>
    <w:p>
      <w:pPr>
        <w:spacing w:after="0" w:line="1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38"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WHEREAS, the Company desires to employ the Executive as Executive Vice President and Chief Strategy &amp; Administrative Officer of Amalgamated Financial Corp. and of the Bank, and the Parties wish to establish the terms of such employment effective February 19 2025 or such earlier date as to which the Parties may mutually agree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pacing w:after="0" w:line="1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38" w:lineRule="exact"/>
        <w:rPr>
          <w:sz w:val="20"/>
          <w:szCs w:val="20"/>
          <w:color w:val="auto"/>
        </w:rPr>
      </w:pPr>
    </w:p>
    <w:p>
      <w:pPr>
        <w:ind w:right="20"/>
        <w:spacing w:after="0" w:line="259" w:lineRule="auto"/>
        <w:rPr>
          <w:sz w:val="20"/>
          <w:szCs w:val="20"/>
          <w:color w:val="auto"/>
        </w:rPr>
      </w:pPr>
      <w:r>
        <w:rPr>
          <w:rFonts w:ascii="Arial" w:cs="Arial" w:eastAsia="Arial" w:hAnsi="Arial"/>
          <w:sz w:val="21"/>
          <w:szCs w:val="21"/>
          <w:color w:val="auto"/>
        </w:rPr>
        <w:t xml:space="preserve">NOW, THEREFORE, in consideration of the mutual promises and conditions herein set forth, the Parties agree as follows: </w:t>
      </w:r>
      <w:r>
        <w:rPr>
          <w:rFonts w:ascii="Times New Roman" w:cs="Times New Roman" w:eastAsia="Times New Roman" w:hAnsi="Times New Roman"/>
          <w:sz w:val="21"/>
          <w:szCs w:val="21"/>
          <w:u w:val="single" w:color="auto"/>
          <w:color w:val="auto"/>
        </w:rPr>
        <w:t>Employment and Acceptance</w:t>
      </w:r>
      <w:r>
        <w:rPr>
          <w:rFonts w:ascii="Times New Roman" w:cs="Times New Roman" w:eastAsia="Times New Roman" w:hAnsi="Times New Roman"/>
          <w:sz w:val="21"/>
          <w:szCs w:val="21"/>
          <w:color w:val="auto"/>
        </w:rPr>
        <w:t>. The Company shall agree to continue to employ the Executive, and the Executive accepts</w:t>
      </w:r>
    </w:p>
    <w:p>
      <w:pPr>
        <w:ind w:right="40"/>
        <w:spacing w:after="0" w:line="235" w:lineRule="auto"/>
        <w:rPr>
          <w:sz w:val="20"/>
          <w:szCs w:val="20"/>
          <w:color w:val="auto"/>
        </w:rPr>
      </w:pPr>
      <w:r>
        <w:rPr>
          <w:rFonts w:ascii="Times New Roman" w:cs="Times New Roman" w:eastAsia="Times New Roman" w:hAnsi="Times New Roman"/>
          <w:sz w:val="22"/>
          <w:szCs w:val="22"/>
          <w:color w:val="auto"/>
        </w:rPr>
        <w:t xml:space="preserve">such continued employment, subject to the terms of this Agreement. By executing this Agreement, Executive acknowledges and agrees that he is an “at-will” employee, and accordingly that his employment may be terminated at any time, with or without cause, and with or without reason (subject to the termination provisions of Section 5 below).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earlier termination pursuant to Section 5 of this Agreement, the term of this Agreement and the period of Executive’s employment hereunder shall begin as of the Effective Date and shall continue for thirty-six (36) full calendar months thereafter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which shall include any periods covered by renewals hereunder). Commencing on January 1, 2026, and continuing on January 1 of each year thereafter (the “Anniversary Date”), this Agreement shall renew for an additional twelve months such that the remaining term shall be thirty-six months (36) months, unless written notice of nonrenewal is provided to Executive at least ninety (90) days prior to any such Anniversary Date, and such end date, as it may prior thereto be extended by mutual written agreement of the Parties, being the </w:t>
      </w:r>
      <w:r>
        <w:rPr>
          <w:rFonts w:ascii="Times New Roman" w:cs="Times New Roman" w:eastAsia="Times New Roman" w:hAnsi="Times New Roman"/>
          <w:sz w:val="22"/>
          <w:szCs w:val="22"/>
          <w:u w:val="single" w:color="auto"/>
          <w:color w:val="auto"/>
        </w:rPr>
        <w:t>“Term Date”</w:t>
      </w:r>
      <w:r>
        <w:rPr>
          <w:rFonts w:ascii="Times New Roman" w:cs="Times New Roman" w:eastAsia="Times New Roman" w:hAnsi="Times New Roman"/>
          <w:sz w:val="22"/>
          <w:szCs w:val="22"/>
          <w:color w:val="auto"/>
        </w:rPr>
        <w:t>. As used in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refer to the period beginning on the Effective Date and ending on the Term Date, or, if earlier, on the date the Executive’s employment terminates in accordance with Section 5 below. </w:t>
      </w:r>
      <w:r>
        <w:rPr>
          <w:rFonts w:ascii="Times New Roman" w:cs="Times New Roman" w:eastAsia="Times New Roman" w:hAnsi="Times New Roman"/>
          <w:sz w:val="22"/>
          <w:szCs w:val="22"/>
          <w:u w:val="single" w:color="auto"/>
          <w:color w:val="auto"/>
        </w:rPr>
        <w:t>Title and Duties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xml:space="preserve">. The Executive shall serve in the capacity of Executive Vice President and Chief Strategy &amp; Administrative Officer of Amalgamated Financial Corp. and of the Bank and shall report directly to the President and Chief Executive Officer of Amalgamated Financial Corp. and of the Bank (the “CEO”). The Executive shall be classified as an employee exempt from overtime pay pursuant to the executive exemption under federal and state overtime laws.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xml:space="preserve">. The Executive shall have such authority and responsibilities and shall perform such executive duties customarily performed by the Chief Strategy &amp; Administrative Officer of a commercial bank and shall have such other powers and duties as may from time to time be prescribed by the CEO,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duties are consistent with the Executive’s position or other positions that he may hold from time to time. Without limiting the generality of the foregoing, Executive shall have such duties and responsibilities as usually appertain to the CSAO position, as well as those</w:t>
      </w:r>
    </w:p>
    <w:p>
      <w:pPr>
        <w:sectPr>
          <w:pgSz w:w="11900" w:h="16838" w:orient="portrait"/>
          <w:cols w:equalWidth="0" w:num="1">
            <w:col w:w="11200"/>
          </w:cols>
          <w:pgMar w:left="320" w:top="1404" w:right="379" w:bottom="1440" w:gutter="0" w:footer="0" w:header="0"/>
        </w:sectPr>
      </w:pPr>
    </w:p>
    <w:bookmarkStart w:id="223" w:name="page224"/>
    <w:bookmarkEnd w:id="223"/>
    <w:p>
      <w:pPr>
        <w:spacing w:after="0" w:line="247" w:lineRule="auto"/>
        <w:rPr>
          <w:sz w:val="20"/>
          <w:szCs w:val="20"/>
          <w:color w:val="auto"/>
        </w:rPr>
      </w:pPr>
      <w:r>
        <w:rPr>
          <w:rFonts w:ascii="Times New Roman" w:cs="Times New Roman" w:eastAsia="Times New Roman" w:hAnsi="Times New Roman"/>
          <w:sz w:val="21"/>
          <w:szCs w:val="21"/>
          <w:color w:val="auto"/>
        </w:rPr>
        <w:t xml:space="preserve">as shall be assigned by the Chief Executive Officer or by the Board of Directors, in accordance with Executive’s accountability statement. The Executive agrees that during the Term he shall devote his entire working time to the performance of his duties under this Agreement and shall not work for anyone else;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xml:space="preserve"> that the Company acknowledges that the Executive may serve on such corporate, civic or charitable boards or committees as have been or in the future are disclosed to, and not objected to by, the CEO, such approval not to be unreasonably withheld, and manage the Executive’s personal investments, so long as any such activities do not, individually or in the aggregate, materially interfere with the performance of the Executive’s duties hereunder. </w:t>
      </w:r>
      <w:r>
        <w:rPr>
          <w:rFonts w:ascii="Times New Roman" w:cs="Times New Roman" w:eastAsia="Times New Roman" w:hAnsi="Times New Roman"/>
          <w:sz w:val="21"/>
          <w:szCs w:val="21"/>
          <w:u w:val="single" w:color="auto"/>
          <w:color w:val="auto"/>
        </w:rPr>
        <w:t>Location</w:t>
      </w:r>
      <w:r>
        <w:rPr>
          <w:rFonts w:ascii="Times New Roman" w:cs="Times New Roman" w:eastAsia="Times New Roman" w:hAnsi="Times New Roman"/>
          <w:sz w:val="21"/>
          <w:szCs w:val="21"/>
          <w:color w:val="auto"/>
        </w:rPr>
        <w:t xml:space="preserve">. The Executive’s principal place of work shall be at the Company’s principal office located in New York, New York, subject to reasonable travel requirements on behalf of the Company. </w:t>
      </w:r>
      <w:r>
        <w:rPr>
          <w:rFonts w:ascii="Times New Roman" w:cs="Times New Roman" w:eastAsia="Times New Roman" w:hAnsi="Times New Roman"/>
          <w:sz w:val="21"/>
          <w:szCs w:val="21"/>
          <w:u w:val="single" w:color="auto"/>
          <w:color w:val="auto"/>
        </w:rPr>
        <w:t>Compensation and Benefits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Term, the Company shall pay the Executive a base salary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xml:space="preserve">”) initially at an annual rate equal to U.S. $ 384,000 , to be paid in accordance with the Company’s payroll practice for all employees, which payroll practices the Company reserves the right to modify at any time. During the Term, the Company may, at the discretion of the Board, at any time and from time to time prospectively (i) increase the Executive’s Base Salary, or (ii) decrease the Executive’s Base Salary as part of an across-the-board percentage reduction,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such reduction shall be pari passu with the CEO. </w:t>
      </w:r>
      <w:r>
        <w:rPr>
          <w:rFonts w:ascii="Times New Roman" w:cs="Times New Roman" w:eastAsia="Times New Roman" w:hAnsi="Times New Roman"/>
          <w:sz w:val="21"/>
          <w:szCs w:val="21"/>
          <w:u w:val="single" w:color="auto"/>
          <w:color w:val="auto"/>
        </w:rPr>
        <w:t>Bonuses and Incentive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During the Term, subject to Section 7.15 of this Agreement, the Executive shall be eligible for incentive compensation to be paid to him by the Company as follows: The Executive shall be eligible to receive an annual bonus (“</w:t>
      </w:r>
      <w:r>
        <w:rPr>
          <w:rFonts w:ascii="Times New Roman" w:cs="Times New Roman" w:eastAsia="Times New Roman" w:hAnsi="Times New Roman"/>
          <w:sz w:val="21"/>
          <w:szCs w:val="21"/>
          <w:u w:val="single" w:color="auto"/>
          <w:color w:val="auto"/>
        </w:rPr>
        <w:t>Annual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Bonus</w:t>
      </w:r>
      <w:r>
        <w:rPr>
          <w:rFonts w:ascii="Times New Roman" w:cs="Times New Roman" w:eastAsia="Times New Roman" w:hAnsi="Times New Roman"/>
          <w:sz w:val="21"/>
          <w:szCs w:val="21"/>
          <w:color w:val="auto"/>
        </w:rPr>
        <w:t>”) for each fiscal year of the Company during the Term, targeted at fifty percent (50%) of Base Salary (as determined by July 1 of each fiscal year in accordance with Section 4.1) (the “</w:t>
      </w:r>
      <w:r>
        <w:rPr>
          <w:rFonts w:ascii="Times New Roman" w:cs="Times New Roman" w:eastAsia="Times New Roman" w:hAnsi="Times New Roman"/>
          <w:sz w:val="21"/>
          <w:szCs w:val="21"/>
          <w:u w:val="single" w:color="auto"/>
          <w:color w:val="auto"/>
        </w:rPr>
        <w:t>Annual Bonus Target</w:t>
      </w:r>
      <w:r>
        <w:rPr>
          <w:rFonts w:ascii="Times New Roman" w:cs="Times New Roman" w:eastAsia="Times New Roman" w:hAnsi="Times New Roman"/>
          <w:sz w:val="21"/>
          <w:szCs w:val="21"/>
          <w:color w:val="auto"/>
        </w:rPr>
        <w:t>”), based on the achievement of multiple specific annual quantitative and qualitative performance metrics established by the CEO, in consultation with the Executive, for such fiscal year, and subject to the terms and conditions of the Company’s annual incentive plan, as it may be amended from time to time. The Executive also shall be entitled to incentive compensation pursuant to the Company’s equity incentive plans (each an “</w:t>
      </w:r>
      <w:r>
        <w:rPr>
          <w:rFonts w:ascii="Times New Roman" w:cs="Times New Roman" w:eastAsia="Times New Roman" w:hAnsi="Times New Roman"/>
          <w:sz w:val="21"/>
          <w:szCs w:val="21"/>
          <w:u w:val="single" w:color="auto"/>
          <w:color w:val="auto"/>
        </w:rPr>
        <w:t>Equity Plan</w:t>
      </w:r>
      <w:r>
        <w:rPr>
          <w:rFonts w:ascii="Times New Roman" w:cs="Times New Roman" w:eastAsia="Times New Roman" w:hAnsi="Times New Roman"/>
          <w:sz w:val="21"/>
          <w:szCs w:val="21"/>
          <w:color w:val="auto"/>
        </w:rPr>
        <w:t>”) adopted by the Board of Directors of Amalgamated Financial Corp. (the “Board”) for each fiscal year of the Term. The aggregate potential value of any annual Equity Plan awards granted to the Executive shall be an amount equal to forty percent (40%) of Base Salary in effect at the commencement of the applicable fiscal year (the “</w:t>
      </w:r>
      <w:r>
        <w:rPr>
          <w:rFonts w:ascii="Times New Roman" w:cs="Times New Roman" w:eastAsia="Times New Roman" w:hAnsi="Times New Roman"/>
          <w:sz w:val="21"/>
          <w:szCs w:val="21"/>
          <w:u w:val="single" w:color="auto"/>
          <w:color w:val="auto"/>
        </w:rPr>
        <w:t>Target Grant</w:t>
      </w:r>
      <w:r>
        <w:rPr>
          <w:rFonts w:ascii="Times New Roman" w:cs="Times New Roman" w:eastAsia="Times New Roman" w:hAnsi="Times New Roman"/>
          <w:sz w:val="21"/>
          <w:szCs w:val="21"/>
          <w:color w:val="auto"/>
        </w:rPr>
        <w:t xml:space="preserve">”). However, at the discretion of the Compensation Committee, the Target Grant for any fiscal year may be increased. Notwithstanding anything to the contrary set forth herein, the Executive’s participation in any such Equity Plan shall be governed by the terms of such plan, specifically including its vesting and exercise provisions,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terms of the Executive’s awards shall be not less favorable to his than those granted at such time to the Company’s other executive officers.</w:t>
      </w:r>
    </w:p>
    <w:p>
      <w:pPr>
        <w:spacing w:after="0" w:line="20" w:lineRule="exact"/>
        <w:rPr>
          <w:sz w:val="20"/>
          <w:szCs w:val="20"/>
          <w:color w:val="auto"/>
        </w:rPr>
      </w:pPr>
    </w:p>
    <w:p>
      <w:pPr>
        <w:ind w:right="100"/>
        <w:spacing w:after="0" w:line="227" w:lineRule="auto"/>
        <w:rPr>
          <w:sz w:val="20"/>
          <w:szCs w:val="20"/>
          <w:color w:val="auto"/>
        </w:rPr>
      </w:pPr>
      <w:r>
        <w:rPr>
          <w:rFonts w:ascii="Arial" w:cs="Arial" w:eastAsia="Arial" w:hAnsi="Arial"/>
          <w:sz w:val="22"/>
          <w:szCs w:val="22"/>
          <w:color w:val="auto"/>
        </w:rPr>
        <w:t>This EMPLOYMENT AGREEMENT (“</w:t>
      </w:r>
      <w:r>
        <w:rPr>
          <w:rFonts w:ascii="Arial" w:cs="Arial" w:eastAsia="Arial" w:hAnsi="Arial"/>
          <w:sz w:val="22"/>
          <w:szCs w:val="22"/>
          <w:u w:val="single" w:color="auto"/>
          <w:color w:val="auto"/>
        </w:rPr>
        <w:t>Agreement</w:t>
      </w:r>
      <w:r>
        <w:rPr>
          <w:rFonts w:ascii="Arial" w:cs="Arial" w:eastAsia="Arial" w:hAnsi="Arial"/>
          <w:sz w:val="22"/>
          <w:szCs w:val="22"/>
          <w:color w:val="auto"/>
        </w:rPr>
        <w:t>”) dated February 19, 2025 is entered into by and between Amalgamated Financial Corp. (the “</w:t>
      </w:r>
      <w:r>
        <w:rPr>
          <w:rFonts w:ascii="Arial" w:cs="Arial" w:eastAsia="Arial" w:hAnsi="Arial"/>
          <w:sz w:val="22"/>
          <w:szCs w:val="22"/>
          <w:u w:val="single" w:color="auto"/>
          <w:color w:val="auto"/>
        </w:rPr>
        <w:t>Company</w:t>
      </w:r>
      <w:r>
        <w:rPr>
          <w:rFonts w:ascii="Arial" w:cs="Arial" w:eastAsia="Arial" w:hAnsi="Arial"/>
          <w:sz w:val="22"/>
          <w:szCs w:val="22"/>
          <w:color w:val="auto"/>
        </w:rPr>
        <w:t xml:space="preserve"> ”) and Edgar Romney Jr. (the “</w:t>
      </w:r>
      <w:r>
        <w:rPr>
          <w:rFonts w:ascii="Arial" w:cs="Arial" w:eastAsia="Arial" w:hAnsi="Arial"/>
          <w:sz w:val="22"/>
          <w:szCs w:val="22"/>
          <w:u w:val="single" w:color="auto"/>
          <w:color w:val="auto"/>
        </w:rPr>
        <w:t>Executive</w:t>
      </w:r>
      <w:r>
        <w:rPr>
          <w:rFonts w:ascii="Arial" w:cs="Arial" w:eastAsia="Arial" w:hAnsi="Arial"/>
          <w:sz w:val="22"/>
          <w:szCs w:val="22"/>
          <w:color w:val="auto"/>
        </w:rPr>
        <w:t>”) (each a “</w:t>
      </w:r>
      <w:r>
        <w:rPr>
          <w:rFonts w:ascii="Arial" w:cs="Arial" w:eastAsia="Arial" w:hAnsi="Arial"/>
          <w:sz w:val="22"/>
          <w:szCs w:val="22"/>
          <w:u w:val="single" w:color="auto"/>
          <w:color w:val="auto"/>
        </w:rPr>
        <w:t>Party</w:t>
      </w:r>
      <w:r>
        <w:rPr>
          <w:rFonts w:ascii="Arial" w:cs="Arial" w:eastAsia="Arial" w:hAnsi="Arial"/>
          <w:sz w:val="22"/>
          <w:szCs w:val="22"/>
          <w:color w:val="auto"/>
        </w:rPr>
        <w:t>” and together, the “</w:t>
      </w:r>
      <w:r>
        <w:rPr>
          <w:rFonts w:ascii="Arial" w:cs="Arial" w:eastAsia="Arial" w:hAnsi="Arial"/>
          <w:sz w:val="22"/>
          <w:szCs w:val="22"/>
          <w:u w:val="single" w:color="auto"/>
          <w:color w:val="auto"/>
        </w:rPr>
        <w:t>Parties</w:t>
      </w:r>
      <w:r>
        <w:rPr>
          <w:rFonts w:ascii="Arial" w:cs="Arial" w:eastAsia="Arial" w:hAnsi="Arial"/>
          <w:sz w:val="22"/>
          <w:szCs w:val="22"/>
          <w:color w:val="auto"/>
        </w:rPr>
        <w:t>”). References to the Company in this Agreement also include Amalgamated Bank (the “</w:t>
      </w:r>
      <w:r>
        <w:rPr>
          <w:rFonts w:ascii="Arial" w:cs="Arial" w:eastAsia="Arial" w:hAnsi="Arial"/>
          <w:sz w:val="22"/>
          <w:szCs w:val="22"/>
          <w:u w:val="single" w:color="auto"/>
          <w:color w:val="auto"/>
        </w:rPr>
        <w:t>Bank</w:t>
      </w:r>
      <w:r>
        <w:rPr>
          <w:rFonts w:ascii="Arial" w:cs="Arial" w:eastAsia="Arial" w:hAnsi="Arial"/>
          <w:sz w:val="22"/>
          <w:szCs w:val="22"/>
          <w:color w:val="auto"/>
        </w:rPr>
        <w:t>”) and all other subsidiaries of the Company and of the Bank.</w:t>
      </w:r>
    </w:p>
    <w:p>
      <w:pPr>
        <w:jc w:val="center"/>
        <w:ind w:right="-19"/>
        <w:spacing w:after="0" w:line="231" w:lineRule="auto"/>
        <w:rPr>
          <w:sz w:val="20"/>
          <w:szCs w:val="20"/>
          <w:color w:val="auto"/>
        </w:rPr>
      </w:pPr>
      <w:r>
        <w:rPr>
          <w:rFonts w:ascii="Arial" w:cs="Arial" w:eastAsia="Arial" w:hAnsi="Arial"/>
          <w:sz w:val="22"/>
          <w:szCs w:val="22"/>
          <w:b w:val="1"/>
          <w:bCs w:val="1"/>
          <w:color w:val="auto"/>
        </w:rPr>
        <w:t>RECITALS</w:t>
      </w:r>
    </w:p>
    <w:p>
      <w:pPr>
        <w:spacing w:after="0" w:line="1" w:lineRule="exact"/>
        <w:rPr>
          <w:sz w:val="20"/>
          <w:szCs w:val="20"/>
          <w:color w:val="auto"/>
        </w:rPr>
      </w:pPr>
    </w:p>
    <w:p>
      <w:pPr>
        <w:ind w:right="40"/>
        <w:spacing w:after="0" w:line="235" w:lineRule="auto"/>
        <w:rPr>
          <w:sz w:val="20"/>
          <w:szCs w:val="20"/>
          <w:color w:val="auto"/>
        </w:rPr>
      </w:pPr>
      <w:r>
        <w:rPr>
          <w:rFonts w:ascii="Arial" w:cs="Arial" w:eastAsia="Arial" w:hAnsi="Arial"/>
          <w:sz w:val="22"/>
          <w:szCs w:val="22"/>
          <w:color w:val="auto"/>
        </w:rPr>
        <w:t>WHEREAS, the Company desires to employ the Executive as Executive Vice President and Chief Strategy &amp; Administrative Officer of Amalgamated Financial Corp. and of the Bank, and the Parties wish to establish the terms of such employment effective February 19 2025 or such earlier date as to which the Parties may mutually agree (the “</w:t>
      </w:r>
      <w:r>
        <w:rPr>
          <w:rFonts w:ascii="Arial" w:cs="Arial" w:eastAsia="Arial" w:hAnsi="Arial"/>
          <w:sz w:val="22"/>
          <w:szCs w:val="22"/>
          <w:u w:val="single" w:color="auto"/>
          <w:color w:val="auto"/>
        </w:rPr>
        <w:t>Effective Date</w:t>
      </w:r>
      <w:r>
        <w:rPr>
          <w:rFonts w:ascii="Arial" w:cs="Arial" w:eastAsia="Arial" w:hAnsi="Arial"/>
          <w:sz w:val="22"/>
          <w:szCs w:val="22"/>
          <w:color w:val="auto"/>
        </w:rPr>
        <w:t>”).</w:t>
      </w:r>
    </w:p>
    <w:p>
      <w:pPr>
        <w:sectPr>
          <w:pgSz w:w="11900" w:h="16838" w:orient="portrait"/>
          <w:cols w:equalWidth="0" w:num="1">
            <w:col w:w="11240"/>
          </w:cols>
          <w:pgMar w:left="320" w:top="1408" w:right="339" w:bottom="1440" w:gutter="0" w:footer="0" w:header="0"/>
        </w:sectPr>
      </w:pPr>
    </w:p>
    <w:bookmarkStart w:id="224" w:name="page225"/>
    <w:bookmarkEnd w:id="224"/>
    <w:p>
      <w:pPr>
        <w:jc w:val="center"/>
        <w:spacing w:after="0"/>
        <w:rPr>
          <w:sz w:val="20"/>
          <w:szCs w:val="20"/>
          <w:color w:val="auto"/>
        </w:rPr>
      </w:pPr>
      <w:r>
        <w:rPr>
          <w:rFonts w:ascii="Arial" w:cs="Arial" w:eastAsia="Arial" w:hAnsi="Arial"/>
          <w:sz w:val="22"/>
          <w:szCs w:val="22"/>
          <w:b w:val="1"/>
          <w:bCs w:val="1"/>
          <w:color w:val="auto"/>
        </w:rPr>
        <w:t>AGREEMENT</w:t>
      </w:r>
    </w:p>
    <w:p>
      <w:pPr>
        <w:spacing w:after="0" w:line="12" w:lineRule="exact"/>
        <w:rPr>
          <w:sz w:val="20"/>
          <w:szCs w:val="20"/>
          <w:color w:val="auto"/>
        </w:rPr>
      </w:pPr>
    </w:p>
    <w:p>
      <w:pPr>
        <w:ind w:right="380"/>
        <w:spacing w:after="0" w:line="231" w:lineRule="auto"/>
        <w:rPr>
          <w:sz w:val="20"/>
          <w:szCs w:val="20"/>
          <w:color w:val="auto"/>
        </w:rPr>
      </w:pPr>
      <w:r>
        <w:rPr>
          <w:rFonts w:ascii="Arial" w:cs="Arial" w:eastAsia="Arial" w:hAnsi="Arial"/>
          <w:sz w:val="22"/>
          <w:szCs w:val="22"/>
          <w:color w:val="auto"/>
        </w:rPr>
        <w:t>NOW, THEREFORE, in consideration of the mutual promises and conditions herein set forth, the Parties agree as follows:</w:t>
      </w:r>
    </w:p>
    <w:p>
      <w:pPr>
        <w:spacing w:after="0" w:line="2" w:lineRule="exact"/>
        <w:rPr>
          <w:sz w:val="20"/>
          <w:szCs w:val="20"/>
          <w:color w:val="auto"/>
        </w:rPr>
      </w:pPr>
    </w:p>
    <w:p>
      <w:pPr>
        <w:jc w:val="both"/>
        <w:ind w:left="660" w:hanging="328"/>
        <w:spacing w:after="0" w:line="227" w:lineRule="auto"/>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Employment and Acceptance</w:t>
      </w:r>
      <w:r>
        <w:rPr>
          <w:rFonts w:ascii="Times New Roman" w:cs="Times New Roman" w:eastAsia="Times New Roman" w:hAnsi="Times New Roman"/>
          <w:sz w:val="22"/>
          <w:szCs w:val="22"/>
          <w:color w:val="auto"/>
        </w:rPr>
        <w:t>. The Company shall agree to continue to employ the Executive, and the Executive accepts such continued employment, subject to the terms of this Agreement. By executing this Agreement, Executive acknowledges and agrees that he is an “at-will” employee, and accordingly that his employment may be terminated at any time, with or without cause, and with or without reason (subject to the termination provisions of Section 5 below).</w:t>
      </w:r>
    </w:p>
    <w:p>
      <w:pPr>
        <w:spacing w:after="0" w:line="1" w:lineRule="exact"/>
        <w:rPr>
          <w:rFonts w:ascii="Times New Roman" w:cs="Times New Roman" w:eastAsia="Times New Roman" w:hAnsi="Times New Roman"/>
          <w:sz w:val="22"/>
          <w:szCs w:val="22"/>
          <w:color w:val="auto"/>
        </w:rPr>
      </w:pPr>
    </w:p>
    <w:p>
      <w:pPr>
        <w:jc w:val="both"/>
        <w:ind w:left="660" w:hanging="328"/>
        <w:spacing w:after="0" w:line="230" w:lineRule="auto"/>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Subject to earlier termination pursuant to Section 5 of this Agreement, the term of this Agreement and the period of Executive’s employment hereunder shall begin as of the Effective Date and shall continue for thirty-six (36) full calendar months thereafter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which shall include any periods covered by renewals hereunder). Commencing on January 1, 2026, and continuing on January 1 of each year thereafter (the “Anniversary Date”), this Agreement shall renew for an additional twelve months such that the remaining term shall be thirty-six months (36) months, unless written notice of nonrenewal is provided to Executive at least ninety (90) days prior to any such Anniversary Date, and such end date, as it may prior thereto be extended by mutual written agreement of the Parties, being the </w:t>
      </w:r>
      <w:r>
        <w:rPr>
          <w:rFonts w:ascii="Times New Roman" w:cs="Times New Roman" w:eastAsia="Times New Roman" w:hAnsi="Times New Roman"/>
          <w:sz w:val="22"/>
          <w:szCs w:val="22"/>
          <w:u w:val="single" w:color="auto"/>
          <w:color w:val="auto"/>
        </w:rPr>
        <w:t>“Term Date”</w:t>
      </w:r>
      <w:r>
        <w:rPr>
          <w:rFonts w:ascii="Times New Roman" w:cs="Times New Roman" w:eastAsia="Times New Roman" w:hAnsi="Times New Roman"/>
          <w:sz w:val="22"/>
          <w:szCs w:val="22"/>
          <w:color w:val="auto"/>
        </w:rPr>
        <w:t>. As used in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shall refer to the period beginning on the Effective Date and ending on the Term Date, or, if earlier, on the date the Executive’s employment terminates in accordance with Section 5 below.</w:t>
      </w:r>
    </w:p>
    <w:p>
      <w:pPr>
        <w:spacing w:after="0" w:line="5" w:lineRule="exact"/>
        <w:rPr>
          <w:rFonts w:ascii="Times New Roman" w:cs="Times New Roman" w:eastAsia="Times New Roman" w:hAnsi="Times New Roman"/>
          <w:sz w:val="22"/>
          <w:szCs w:val="22"/>
          <w:color w:val="auto"/>
        </w:rPr>
      </w:pPr>
    </w:p>
    <w:p>
      <w:pPr>
        <w:ind w:left="660" w:hanging="328"/>
        <w:spacing w:after="0" w:line="217" w:lineRule="auto"/>
        <w:tabs>
          <w:tab w:leader="none" w:pos="66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Title and Duties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left="1300" w:hanging="323"/>
        <w:spacing w:after="0" w:line="230"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Title</w:t>
      </w:r>
      <w:r>
        <w:rPr>
          <w:rFonts w:ascii="Times New Roman" w:cs="Times New Roman" w:eastAsia="Times New Roman" w:hAnsi="Times New Roman"/>
          <w:sz w:val="22"/>
          <w:szCs w:val="22"/>
          <w:color w:val="auto"/>
        </w:rPr>
        <w:t>. The Executive shall serve in the capacity of Executive Vice President and Chief Strategy &amp; Administrative Officer of Amalgamated Financial Corp. and of the Bank and shall report directly to the President and Chief Executive Officer of Amalgamated Financial Corp. and of the Bank (the “CEO”). The Executive shall be classified as an employee exempt from overtime pay pursuant to the executive exemption under federal and state overtime laws.</w:t>
      </w:r>
    </w:p>
    <w:p>
      <w:pPr>
        <w:spacing w:after="0" w:line="3" w:lineRule="exact"/>
        <w:rPr>
          <w:sz w:val="20"/>
          <w:szCs w:val="20"/>
          <w:color w:val="auto"/>
        </w:rPr>
      </w:pPr>
    </w:p>
    <w:p>
      <w:pPr>
        <w:jc w:val="both"/>
        <w:ind w:left="1300" w:hanging="323"/>
        <w:spacing w:after="0" w:line="230"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Duties</w:t>
      </w:r>
      <w:r>
        <w:rPr>
          <w:rFonts w:ascii="Times New Roman" w:cs="Times New Roman" w:eastAsia="Times New Roman" w:hAnsi="Times New Roman"/>
          <w:sz w:val="22"/>
          <w:szCs w:val="22"/>
          <w:color w:val="auto"/>
        </w:rPr>
        <w:t xml:space="preserve">. The Executive shall have such authority and responsibilities and shall perform such executive duties customarily performed by the Chief Strategy &amp; Administrative Officer of a commercial bank and shall have such other powers and duties as may from time to time be prescribed by the CEO,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duties are consistent with the Executive’s position or other positions that he may hold from time to time. Without limiting the generality of the foregoing, Executive shall have such duties and responsibilities as usually appertain to the CSAO position, as well as those as shall be assigned by the Chief Executive Officer or by the Board of Directors, in accordance with Executive’s accountability statement. The Executive agrees that during the Term he shall devote his entire working time to the performance of his duties under this Agreement and shall not work for anyone else;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the Company acknowledges that the Executive may serve on such corporate, civic or charitable boards or committees as have been or in the future are disclosed to, and not objected to by, the CEO, such approval not to be unreasonably withheld, and manage the Executive’s personal investments, so long as any such activities do not, individually or in the aggregate, materially interfere with the performance of the Executive’s duties hereunder.</w:t>
      </w:r>
    </w:p>
    <w:p>
      <w:pPr>
        <w:sectPr>
          <w:pgSz w:w="11900" w:h="16838" w:orient="portrait"/>
          <w:cols w:equalWidth="0" w:num="1">
            <w:col w:w="11240"/>
          </w:cols>
          <w:pgMar w:left="320" w:top="1407" w:right="339" w:bottom="1440" w:gutter="0" w:footer="0" w:header="0"/>
        </w:sectPr>
      </w:pPr>
    </w:p>
    <w:bookmarkStart w:id="225" w:name="page226"/>
    <w:bookmarkEnd w:id="225"/>
    <w:p>
      <w:pPr>
        <w:ind w:left="968" w:hanging="323"/>
        <w:spacing w:after="0" w:line="241"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Location</w:t>
      </w:r>
      <w:r>
        <w:rPr>
          <w:rFonts w:ascii="Times New Roman" w:cs="Times New Roman" w:eastAsia="Times New Roman" w:hAnsi="Times New Roman"/>
          <w:sz w:val="22"/>
          <w:szCs w:val="22"/>
          <w:color w:val="auto"/>
        </w:rPr>
        <w:t>. The Executive’s principal place of work shall be at the Company’s principal office located in New York, New York, subject to reasonable travel requirements on behalf of the Company.</w:t>
      </w:r>
    </w:p>
    <w:p>
      <w:pPr>
        <w:ind w:left="328" w:hanging="328"/>
        <w:spacing w:after="0" w:line="232" w:lineRule="auto"/>
        <w:tabs>
          <w:tab w:leader="none" w:pos="328"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 and Benefits</w:t>
      </w:r>
      <w:r>
        <w:rPr>
          <w:rFonts w:ascii="Times New Roman" w:cs="Times New Roman" w:eastAsia="Times New Roman" w:hAnsi="Times New Roman"/>
          <w:sz w:val="22"/>
          <w:szCs w:val="22"/>
          <w:color w:val="auto"/>
        </w:rPr>
        <w:t>.</w:t>
      </w:r>
    </w:p>
    <w:p>
      <w:pPr>
        <w:jc w:val="both"/>
        <w:ind w:left="968" w:hanging="323"/>
        <w:spacing w:after="0" w:line="228"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During the Term, the Company shall pay the Executive a base salary (“</w:t>
      </w:r>
      <w:r>
        <w:rPr>
          <w:rFonts w:ascii="Times New Roman" w:cs="Times New Roman" w:eastAsia="Times New Roman" w:hAnsi="Times New Roman"/>
          <w:sz w:val="22"/>
          <w:szCs w:val="22"/>
          <w:u w:val="single" w:color="auto"/>
          <w:color w:val="auto"/>
        </w:rPr>
        <w:t>Base Salary</w:t>
      </w:r>
      <w:r>
        <w:rPr>
          <w:rFonts w:ascii="Times New Roman" w:cs="Times New Roman" w:eastAsia="Times New Roman" w:hAnsi="Times New Roman"/>
          <w:sz w:val="22"/>
          <w:szCs w:val="22"/>
          <w:color w:val="auto"/>
        </w:rPr>
        <w:t xml:space="preserve">”) initially at an annual rate equal to U.S. $ 384,000 , to be paid in accordance with the Company’s payroll practice for all employees, which payroll practices the Company reserves the right to modify at any time. During the Term, the Company may, at the discretion of the Board, at any time and from time to time prospectively (i) increase the Executive’s Base Salary, or (ii) decrease the Executive’s Base Salary as part of an across-the-board percentage reduction,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such reduction shall be pari passu with the CEO.</w:t>
      </w:r>
    </w:p>
    <w:p>
      <w:pPr>
        <w:spacing w:after="0" w:line="3" w:lineRule="exact"/>
        <w:rPr>
          <w:sz w:val="20"/>
          <w:szCs w:val="20"/>
          <w:color w:val="auto"/>
        </w:rPr>
      </w:pPr>
    </w:p>
    <w:p>
      <w:pPr>
        <w:jc w:val="both"/>
        <w:ind w:left="968" w:hanging="323"/>
        <w:spacing w:after="0" w:line="230"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Bonuses and Incentive Compensation</w:t>
      </w:r>
      <w:r>
        <w:rPr>
          <w:rFonts w:ascii="Times New Roman" w:cs="Times New Roman" w:eastAsia="Times New Roman" w:hAnsi="Times New Roman"/>
          <w:sz w:val="22"/>
          <w:szCs w:val="22"/>
          <w:color w:val="auto"/>
        </w:rPr>
        <w:t>. During the Term, subject to Section 7.15 of this Agreement, the Executive shall be eligible for incentive compensation to be paid to him by the Company as follows:</w:t>
      </w:r>
    </w:p>
    <w:p>
      <w:pPr>
        <w:spacing w:after="0" w:line="1" w:lineRule="exact"/>
        <w:rPr>
          <w:sz w:val="20"/>
          <w:szCs w:val="20"/>
          <w:color w:val="auto"/>
        </w:rPr>
      </w:pPr>
    </w:p>
    <w:p>
      <w:pPr>
        <w:jc w:val="both"/>
        <w:ind w:left="2268" w:hanging="323"/>
        <w:spacing w:after="0" w:line="228" w:lineRule="auto"/>
        <w:rPr>
          <w:sz w:val="20"/>
          <w:szCs w:val="20"/>
          <w:color w:val="auto"/>
        </w:rPr>
      </w:pPr>
      <w:r>
        <w:rPr>
          <w:rFonts w:ascii="Times New Roman" w:cs="Times New Roman" w:eastAsia="Times New Roman" w:hAnsi="Times New Roman"/>
          <w:sz w:val="22"/>
          <w:szCs w:val="22"/>
          <w:color w:val="auto"/>
        </w:rPr>
        <w:t>4.2.1)1)</w:t>
      </w:r>
      <w:r>
        <w:rPr>
          <w:sz w:val="20"/>
          <w:szCs w:val="20"/>
          <w:color w:val="auto"/>
        </w:rPr>
        <w:t xml:space="preserve"> </w:t>
      </w:r>
      <w:r>
        <w:rPr>
          <w:rFonts w:ascii="Times New Roman" w:cs="Times New Roman" w:eastAsia="Times New Roman" w:hAnsi="Times New Roman"/>
          <w:sz w:val="22"/>
          <w:szCs w:val="22"/>
          <w:color w:val="auto"/>
        </w:rPr>
        <w:t>The Executive shall be eligible to receive an annual bonus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for each fiscal year of the Company during the Term, targeted at fifty percent (50%) of Base Salary (as determined by July 1 of each fiscal year in accordance with Section 4.1) (the “</w:t>
      </w:r>
      <w:r>
        <w:rPr>
          <w:rFonts w:ascii="Times New Roman" w:cs="Times New Roman" w:eastAsia="Times New Roman" w:hAnsi="Times New Roman"/>
          <w:sz w:val="22"/>
          <w:szCs w:val="22"/>
          <w:u w:val="single" w:color="auto"/>
          <w:color w:val="auto"/>
        </w:rPr>
        <w:t>Annual Bonus Target</w:t>
      </w:r>
      <w:r>
        <w:rPr>
          <w:rFonts w:ascii="Times New Roman" w:cs="Times New Roman" w:eastAsia="Times New Roman" w:hAnsi="Times New Roman"/>
          <w:sz w:val="22"/>
          <w:szCs w:val="22"/>
          <w:color w:val="auto"/>
        </w:rPr>
        <w:t>”), based on the achievement of multiple specific annual quantitative and qualitative performance metrics established by the CEO, in consultation with the Executive, for such fiscal year, and subject to the terms and conditions of the Company’s annual incentive plan, as it may be amended from time to time.</w:t>
      </w:r>
    </w:p>
    <w:p>
      <w:pPr>
        <w:spacing w:after="0" w:line="5" w:lineRule="exact"/>
        <w:rPr>
          <w:sz w:val="20"/>
          <w:szCs w:val="20"/>
          <w:color w:val="auto"/>
        </w:rPr>
      </w:pPr>
    </w:p>
    <w:p>
      <w:pPr>
        <w:jc w:val="both"/>
        <w:ind w:left="2268" w:hanging="323"/>
        <w:spacing w:after="0" w:line="229" w:lineRule="auto"/>
        <w:rPr>
          <w:sz w:val="20"/>
          <w:szCs w:val="20"/>
          <w:color w:val="auto"/>
        </w:rPr>
      </w:pPr>
      <w:r>
        <w:rPr>
          <w:rFonts w:ascii="Times New Roman" w:cs="Times New Roman" w:eastAsia="Times New Roman" w:hAnsi="Times New Roman"/>
          <w:sz w:val="22"/>
          <w:szCs w:val="22"/>
          <w:color w:val="auto"/>
        </w:rPr>
        <w:t>4.2.1)2)</w:t>
      </w:r>
      <w:r>
        <w:rPr>
          <w:sz w:val="20"/>
          <w:szCs w:val="20"/>
          <w:color w:val="auto"/>
        </w:rPr>
        <w:t xml:space="preserve"> </w:t>
      </w:r>
      <w:r>
        <w:rPr>
          <w:rFonts w:ascii="Times New Roman" w:cs="Times New Roman" w:eastAsia="Times New Roman" w:hAnsi="Times New Roman"/>
          <w:sz w:val="22"/>
          <w:szCs w:val="22"/>
          <w:color w:val="auto"/>
        </w:rPr>
        <w:t>The Executive also shall be entitled to incentive compensation pursuant to the Company’s equity incentive plans (each an “</w:t>
      </w:r>
      <w:r>
        <w:rPr>
          <w:rFonts w:ascii="Times New Roman" w:cs="Times New Roman" w:eastAsia="Times New Roman" w:hAnsi="Times New Roman"/>
          <w:sz w:val="22"/>
          <w:szCs w:val="22"/>
          <w:u w:val="single" w:color="auto"/>
          <w:color w:val="auto"/>
        </w:rPr>
        <w:t>Equity Plan</w:t>
      </w:r>
      <w:r>
        <w:rPr>
          <w:rFonts w:ascii="Times New Roman" w:cs="Times New Roman" w:eastAsia="Times New Roman" w:hAnsi="Times New Roman"/>
          <w:sz w:val="22"/>
          <w:szCs w:val="22"/>
          <w:color w:val="auto"/>
        </w:rPr>
        <w:t>”) adopted by the Board of Directors of Amalgamated Financial Corp. (the “Board”) for each fiscal year of the Term. The aggregate potential value of any annual Equity Plan awards granted to the Executive shall be an amount equal to forty percent (40%) of Base Salary in effect at the commencement of the applicable fiscal year (the “</w:t>
      </w:r>
      <w:r>
        <w:rPr>
          <w:rFonts w:ascii="Times New Roman" w:cs="Times New Roman" w:eastAsia="Times New Roman" w:hAnsi="Times New Roman"/>
          <w:sz w:val="22"/>
          <w:szCs w:val="22"/>
          <w:u w:val="single" w:color="auto"/>
          <w:color w:val="auto"/>
        </w:rPr>
        <w:t>Target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Grant</w:t>
      </w:r>
      <w:r>
        <w:rPr>
          <w:rFonts w:ascii="Times New Roman" w:cs="Times New Roman" w:eastAsia="Times New Roman" w:hAnsi="Times New Roman"/>
          <w:sz w:val="22"/>
          <w:szCs w:val="22"/>
          <w:color w:val="auto"/>
        </w:rPr>
        <w:t xml:space="preserve">”). However, at the discretion of the Compensation Committee, the Target Grant for any fiscal year may be increased. Notwithstanding anything to the contrary set forth herein, the Executive’s participation in any such Equity Plan shall be governed by the terms of such plan, specifically including its vesting and exercise provisions,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terms of the Executive’s awards shall be not less favorable to his than those granted at such time to the Company’s other executive officers.</w:t>
      </w:r>
    </w:p>
    <w:p>
      <w:pPr>
        <w:spacing w:after="0" w:line="4" w:lineRule="exact"/>
        <w:rPr>
          <w:sz w:val="20"/>
          <w:szCs w:val="20"/>
          <w:color w:val="auto"/>
        </w:rPr>
      </w:pPr>
    </w:p>
    <w:p>
      <w:pPr>
        <w:jc w:val="both"/>
        <w:ind w:left="2268" w:hanging="324"/>
        <w:spacing w:after="0" w:line="241" w:lineRule="auto"/>
        <w:tabs>
          <w:tab w:leader="none" w:pos="2265"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Effective date, the Executive shall be eligible to, and subject to the terms and conditions herein, shall receive a retention award of Restricted Stock Units, in the form attached hereto as Exhibit A, with respect to shares of the Company’s common stock that have a value on the Effective Date equal to U.S. $384,000 (based upon the closing price on the immediately preceding</w:t>
      </w:r>
    </w:p>
    <w:p>
      <w:pPr>
        <w:ind w:left="2268"/>
        <w:spacing w:after="0" w:line="232" w:lineRule="auto"/>
        <w:rPr>
          <w:sz w:val="20"/>
          <w:szCs w:val="20"/>
          <w:color w:val="auto"/>
        </w:rPr>
      </w:pPr>
      <w:r>
        <w:rPr>
          <w:rFonts w:ascii="Times New Roman" w:cs="Times New Roman" w:eastAsia="Times New Roman" w:hAnsi="Times New Roman"/>
          <w:sz w:val="22"/>
          <w:szCs w:val="22"/>
          <w:color w:val="auto"/>
        </w:rPr>
        <w:t>day).</w:t>
      </w:r>
    </w:p>
    <w:p>
      <w:pPr>
        <w:spacing w:after="0" w:line="1" w:lineRule="exact"/>
        <w:rPr>
          <w:sz w:val="20"/>
          <w:szCs w:val="20"/>
          <w:color w:val="auto"/>
        </w:rPr>
      </w:pPr>
    </w:p>
    <w:p>
      <w:pPr>
        <w:ind w:left="1948"/>
        <w:spacing w:after="0"/>
        <w:rPr>
          <w:sz w:val="20"/>
          <w:szCs w:val="20"/>
          <w:color w:val="auto"/>
        </w:rPr>
      </w:pPr>
      <w:r>
        <w:rPr>
          <w:rFonts w:ascii="Times New Roman" w:cs="Times New Roman" w:eastAsia="Times New Roman" w:hAnsi="Times New Roman"/>
          <w:sz w:val="22"/>
          <w:szCs w:val="22"/>
          <w:color w:val="auto"/>
        </w:rPr>
        <w:t>(a)</w:t>
      </w:r>
    </w:p>
    <w:p>
      <w:pPr>
        <w:sectPr>
          <w:pgSz w:w="11900" w:h="16838" w:orient="portrait"/>
          <w:cols w:equalWidth="0" w:num="1">
            <w:col w:w="10908"/>
          </w:cols>
          <w:pgMar w:left="652" w:top="1408" w:right="339" w:bottom="1440" w:gutter="0" w:footer="0" w:header="0"/>
        </w:sectPr>
      </w:pPr>
    </w:p>
    <w:bookmarkStart w:id="226" w:name="page227"/>
    <w:bookmarkEnd w:id="226"/>
    <w:p>
      <w:pPr>
        <w:jc w:val="both"/>
        <w:ind w:left="968" w:hanging="434"/>
        <w:spacing w:after="0" w:line="231" w:lineRule="auto"/>
        <w:tabs>
          <w:tab w:leader="none" w:pos="96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Participation in Employee Benefit Plans</w:t>
      </w:r>
      <w:r>
        <w:rPr>
          <w:rFonts w:ascii="Times New Roman" w:cs="Times New Roman" w:eastAsia="Times New Roman" w:hAnsi="Times New Roman"/>
          <w:sz w:val="22"/>
          <w:szCs w:val="22"/>
          <w:color w:val="auto"/>
        </w:rPr>
        <w:t>. During the Term, the Executive shall be entitled to participate in all of the applicable employee benefit plans and perquisite programs of the Company generally made available to other senior executives of Amalgamated Financial Corp., on the same terms as such other senior executives. The Company may at any time or from time to time amend, modify, suspend or terminate any employee benefit plan, program or arrangement for any reason without the Executive’s consent if such amendment, modification, suspension or termination is consistent with the amendment, modification, suspension or termination for other active senior executives of the Company.</w:t>
      </w:r>
    </w:p>
    <w:p>
      <w:pPr>
        <w:spacing w:after="0" w:line="7" w:lineRule="exact"/>
        <w:rPr>
          <w:rFonts w:ascii="Times New Roman" w:cs="Times New Roman" w:eastAsia="Times New Roman" w:hAnsi="Times New Roman"/>
          <w:sz w:val="22"/>
          <w:szCs w:val="22"/>
          <w:color w:val="auto"/>
        </w:rPr>
      </w:pPr>
    </w:p>
    <w:p>
      <w:pPr>
        <w:jc w:val="both"/>
        <w:ind w:left="968" w:hanging="494"/>
        <w:spacing w:after="0" w:line="230" w:lineRule="auto"/>
        <w:tabs>
          <w:tab w:leader="none" w:pos="968" w:val="left"/>
        </w:tabs>
        <w:numPr>
          <w:ilvl w:val="1"/>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 Reimbursement.</w:t>
      </w:r>
      <w:r>
        <w:rPr>
          <w:rFonts w:ascii="Times New Roman" w:cs="Times New Roman" w:eastAsia="Times New Roman" w:hAnsi="Times New Roman"/>
          <w:sz w:val="22"/>
          <w:szCs w:val="22"/>
          <w:color w:val="auto"/>
        </w:rPr>
        <w:t xml:space="preserve"> During the Term, the Executive shall be entitled to receive reimbursement for all appropriate business expenses incurred by him in connection with his duties under this Agreement, in accordance with the policies of the Company as in effect from time to time, and subject to the Company’s requirements with respect to reporting and documentation of such expenses.</w:t>
      </w:r>
    </w:p>
    <w:p>
      <w:pPr>
        <w:spacing w:after="0" w:line="2" w:lineRule="exact"/>
        <w:rPr>
          <w:rFonts w:ascii="Times New Roman" w:cs="Times New Roman" w:eastAsia="Times New Roman" w:hAnsi="Times New Roman"/>
          <w:sz w:val="22"/>
          <w:szCs w:val="22"/>
          <w:color w:val="auto"/>
        </w:rPr>
      </w:pPr>
    </w:p>
    <w:p>
      <w:pPr>
        <w:ind w:left="308" w:hanging="308"/>
        <w:spacing w:after="0" w:line="230" w:lineRule="auto"/>
        <w:tabs>
          <w:tab w:leader="none" w:pos="308"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jc w:val="both"/>
        <w:ind w:left="968" w:hanging="434"/>
        <w:spacing w:after="0" w:line="228" w:lineRule="auto"/>
        <w:tabs>
          <w:tab w:leader="none" w:pos="968"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upon the Term Date by Executive’s Non-Renewal, By the Company for Cause, by the Executive without Good Reason, or Due to Executive’s Death or Disability</w:t>
      </w:r>
      <w:r>
        <w:rPr>
          <w:rFonts w:ascii="Times New Roman" w:cs="Times New Roman" w:eastAsia="Times New Roman" w:hAnsi="Times New Roman"/>
          <w:sz w:val="22"/>
          <w:szCs w:val="22"/>
          <w:color w:val="auto"/>
        </w:rPr>
        <w:t>. If the Executive’s employment terminates upon the Term Date, as applicable, due to the Executive’s election of non-renewal or if during the Term: (i) the Company terminates the Executive’s employment with the Company for Cause upon written notice; (ii) the Executive terminates employment without Good Reason; (iii) the Company terminates the Executive’s employment with the Company by reason of the Executive’s Disability upon written notice, or (iv) the Executive’s employment terminates upon the Executive’s death, the Executive (or following the Executive’s death, his estate) shall be entitled to receive the following:</w:t>
      </w:r>
    </w:p>
    <w:p>
      <w:pPr>
        <w:spacing w:after="0" w:line="7" w:lineRule="exact"/>
        <w:rPr>
          <w:rFonts w:ascii="Times New Roman" w:cs="Times New Roman" w:eastAsia="Times New Roman" w:hAnsi="Times New Roman"/>
          <w:sz w:val="22"/>
          <w:szCs w:val="22"/>
          <w:color w:val="auto"/>
        </w:rPr>
      </w:pPr>
    </w:p>
    <w:p>
      <w:pPr>
        <w:jc w:val="both"/>
        <w:ind w:left="2268" w:hanging="324"/>
        <w:spacing w:after="0" w:line="230" w:lineRule="auto"/>
        <w:tabs>
          <w:tab w:leader="none" w:pos="2265"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accrued but unpaid Base Salary through the date of termination and any employee benefits, including accrued but unused vacation pay, that the Executive is entitled to receive pursuant to the employee benefit plans of the Company (other than any severance plans) in accordance with the terms of such employee benefit plans; and</w:t>
      </w:r>
    </w:p>
    <w:p>
      <w:pPr>
        <w:spacing w:after="0" w:line="2" w:lineRule="exact"/>
        <w:rPr>
          <w:rFonts w:ascii="Times New Roman" w:cs="Times New Roman" w:eastAsia="Times New Roman" w:hAnsi="Times New Roman"/>
          <w:sz w:val="22"/>
          <w:szCs w:val="22"/>
          <w:color w:val="auto"/>
        </w:rPr>
      </w:pPr>
    </w:p>
    <w:p>
      <w:pPr>
        <w:jc w:val="both"/>
        <w:ind w:left="2268" w:hanging="324"/>
        <w:spacing w:after="0" w:line="226" w:lineRule="auto"/>
        <w:tabs>
          <w:tab w:leader="none" w:pos="2263"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expenses reimbursable under Section 4.4 above incurred but not yet reimbursed to the Executive to the date of termination (the items under Sections 5.1(a) and 5.1(b) collectively, the “</w:t>
      </w:r>
      <w:r>
        <w:rPr>
          <w:rFonts w:ascii="Times New Roman" w:cs="Times New Roman" w:eastAsia="Times New Roman" w:hAnsi="Times New Roman"/>
          <w:sz w:val="22"/>
          <w:szCs w:val="22"/>
          <w:u w:val="single" w:color="auto"/>
          <w:color w:val="auto"/>
        </w:rPr>
        <w:t>Accrued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w:t>
      </w:r>
    </w:p>
    <w:p>
      <w:pPr>
        <w:jc w:val="both"/>
        <w:ind w:left="2268" w:hanging="324"/>
        <w:spacing w:after="0" w:line="230" w:lineRule="auto"/>
        <w:tabs>
          <w:tab w:leader="none" w:pos="2265"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may only terminate his employment without Good Reason by providing ninety (90) days’ advance written notice (which notice period the Company may shorten in its sole discretion and which shall not be deemed a termination without Cause).</w:t>
      </w:r>
    </w:p>
    <w:p>
      <w:pPr>
        <w:spacing w:after="0" w:line="1" w:lineRule="exact"/>
        <w:rPr>
          <w:rFonts w:ascii="Times New Roman" w:cs="Times New Roman" w:eastAsia="Times New Roman" w:hAnsi="Times New Roman"/>
          <w:sz w:val="22"/>
          <w:szCs w:val="22"/>
          <w:color w:val="auto"/>
        </w:rPr>
      </w:pPr>
    </w:p>
    <w:p>
      <w:pPr>
        <w:ind w:left="2268" w:hanging="324"/>
        <w:spacing w:after="0" w:line="230" w:lineRule="auto"/>
        <w:tabs>
          <w:tab w:leader="none" w:pos="2268" w:val="left"/>
        </w:tabs>
        <w:numPr>
          <w:ilvl w:val="2"/>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in this Agreement, the following terms shall have the meanings set forth below:</w:t>
      </w:r>
    </w:p>
    <w:p>
      <w:pPr>
        <w:jc w:val="both"/>
        <w:ind w:left="2908" w:hanging="430"/>
        <w:spacing w:after="0" w:line="234" w:lineRule="auto"/>
        <w:tabs>
          <w:tab w:leader="none" w:pos="2908" w:val="left"/>
        </w:tabs>
        <w:numPr>
          <w:ilvl w:val="3"/>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means, (A) the Executive’s conviction of a felony or any crime involving dishonesty or theft; (B) the Executive’s conduct in connection with his employment duties or responsibilities that is fraudulent, unlawful or grossly negligent; (C) the Executive’s misconduct; (D) the</w:t>
      </w:r>
    </w:p>
    <w:p>
      <w:pPr>
        <w:sectPr>
          <w:pgSz w:w="11900" w:h="16838" w:orient="portrait"/>
          <w:cols w:equalWidth="0" w:num="1">
            <w:col w:w="10908"/>
          </w:cols>
          <w:pgMar w:left="652" w:top="1408" w:right="339" w:bottom="1440" w:gutter="0" w:footer="0" w:header="0"/>
        </w:sectPr>
      </w:pPr>
    </w:p>
    <w:bookmarkStart w:id="227" w:name="page228"/>
    <w:bookmarkEnd w:id="227"/>
    <w:p>
      <w:pPr>
        <w:jc w:val="both"/>
        <w:ind w:left="3240"/>
        <w:spacing w:after="0" w:line="231" w:lineRule="auto"/>
        <w:rPr>
          <w:sz w:val="20"/>
          <w:szCs w:val="20"/>
          <w:color w:val="auto"/>
        </w:rPr>
      </w:pPr>
      <w:r>
        <w:rPr>
          <w:rFonts w:ascii="Times New Roman" w:cs="Times New Roman" w:eastAsia="Times New Roman" w:hAnsi="Times New Roman"/>
          <w:sz w:val="22"/>
          <w:szCs w:val="22"/>
          <w:color w:val="auto"/>
        </w:rPr>
        <w:t xml:space="preserve">Executive’s contravention of specific lawful directions of the Board related to a material duty or responsibility; (E) the Executive’s material breach of the Executive’s obligations under this Agreement; (F) any acts of dishonesty by the Executive resulting or intending to result in personal gain or enrichment at the expense of the Company; or (G) the Executive’s failure to comply with a material policy of the Company, including, but not limited to, any policies prohibiting harassment or discrimination and any Code of Business Conduct and Ethics, as in effect from time to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shall have ninety (90) days from the occurrence of the event that constitutes Cause to provide notice to the Executive that the Company intends to terminate the Executive’s employment for Cause. In the event the Company determines facts exist to justify a Cause termination, the Executive shall be given at least fifteen (15) days’ notice of such determination and a written explanation of the facts used by the Board to justify Cause. The Executive shall then be given ten (10) days to cure same, if there is a reasonably feasible way to cure, to the reasonable determination of the Board prior to any termination.</w:t>
      </w:r>
    </w:p>
    <w:p>
      <w:pPr>
        <w:ind w:left="3240" w:hanging="490"/>
        <w:spacing w:after="0" w:line="233" w:lineRule="auto"/>
        <w:tabs>
          <w:tab w:leader="none" w:pos="3240"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means the occurrence of any one or more of the following events:</w:t>
      </w:r>
    </w:p>
    <w:p>
      <w:pPr>
        <w:spacing w:after="0" w:line="1" w:lineRule="exact"/>
        <w:rPr>
          <w:rFonts w:ascii="Times New Roman" w:cs="Times New Roman" w:eastAsia="Times New Roman" w:hAnsi="Times New Roman"/>
          <w:sz w:val="22"/>
          <w:szCs w:val="22"/>
          <w:color w:val="auto"/>
        </w:rPr>
      </w:pPr>
    </w:p>
    <w:p>
      <w:pPr>
        <w:jc w:val="both"/>
        <w:ind w:left="4540" w:hanging="320"/>
        <w:spacing w:after="0" w:line="238" w:lineRule="auto"/>
        <w:tabs>
          <w:tab w:leader="none" w:pos="4528" w:val="left"/>
        </w:tabs>
        <w:numPr>
          <w:ilvl w:val="1"/>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transaction, or a series of related transactions undertaken with a common purpose, in which any individual, entity or group (a “</w:t>
      </w:r>
      <w:r>
        <w:rPr>
          <w:rFonts w:ascii="Times New Roman" w:cs="Times New Roman" w:eastAsia="Times New Roman" w:hAnsi="Times New Roman"/>
          <w:sz w:val="21"/>
          <w:szCs w:val="21"/>
          <w:u w:val="single" w:color="auto"/>
          <w:color w:val="auto"/>
        </w:rPr>
        <w:t>Person</w:t>
      </w:r>
      <w:r>
        <w:rPr>
          <w:rFonts w:ascii="Times New Roman" w:cs="Times New Roman" w:eastAsia="Times New Roman" w:hAnsi="Times New Roman"/>
          <w:sz w:val="21"/>
          <w:szCs w:val="21"/>
          <w:color w:val="auto"/>
        </w:rPr>
        <w:t>”), acquires ownership of stock of the Company that, together with stock held by such Person, constitutes more than fifty percent (50%) of the total fair market value or total voting power of the Company’s stock; or</w:t>
      </w:r>
    </w:p>
    <w:p>
      <w:pPr>
        <w:spacing w:after="0" w:line="4" w:lineRule="exact"/>
        <w:rPr>
          <w:rFonts w:ascii="Times New Roman" w:cs="Times New Roman" w:eastAsia="Times New Roman" w:hAnsi="Times New Roman"/>
          <w:sz w:val="21"/>
          <w:szCs w:val="21"/>
          <w:color w:val="auto"/>
        </w:rPr>
      </w:pPr>
    </w:p>
    <w:p>
      <w:pPr>
        <w:jc w:val="both"/>
        <w:ind w:left="4540" w:hanging="320"/>
        <w:spacing w:after="0" w:line="230" w:lineRule="auto"/>
        <w:tabs>
          <w:tab w:leader="none" w:pos="4540"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sale, lease, exchange or other transfer, in one transaction or a series of related transactions undertaken with a common purpose, of the Company’s assets having a total gross fair market value of forty percent (40%) or more of the total gross fair market value of all of the assets of the Company. For this purpose, “</w:t>
      </w:r>
      <w:r>
        <w:rPr>
          <w:rFonts w:ascii="Times New Roman" w:cs="Times New Roman" w:eastAsia="Times New Roman" w:hAnsi="Times New Roman"/>
          <w:sz w:val="22"/>
          <w:szCs w:val="22"/>
          <w:b w:val="1"/>
          <w:bCs w:val="1"/>
          <w:i w:val="1"/>
          <w:iCs w:val="1"/>
          <w:color w:val="auto"/>
        </w:rPr>
        <w:t>gross fair market value</w:t>
      </w:r>
      <w:r>
        <w:rPr>
          <w:rFonts w:ascii="Times New Roman" w:cs="Times New Roman" w:eastAsia="Times New Roman" w:hAnsi="Times New Roman"/>
          <w:sz w:val="22"/>
          <w:szCs w:val="22"/>
          <w:color w:val="auto"/>
        </w:rPr>
        <w:t>” means the value of the assets of the Company, or the value of the assets being disposed of, determined without</w:t>
      </w:r>
    </w:p>
    <w:p>
      <w:pPr>
        <w:ind w:left="4540"/>
        <w:spacing w:after="0" w:line="220" w:lineRule="auto"/>
        <w:rPr>
          <w:sz w:val="20"/>
          <w:szCs w:val="20"/>
          <w:color w:val="auto"/>
        </w:rPr>
      </w:pPr>
      <w:r>
        <w:rPr>
          <w:rFonts w:ascii="Times New Roman" w:cs="Times New Roman" w:eastAsia="Times New Roman" w:hAnsi="Times New Roman"/>
          <w:sz w:val="22"/>
          <w:szCs w:val="22"/>
          <w:color w:val="auto"/>
        </w:rPr>
        <w:t>regard to any liabilities associated with such assets.</w:t>
      </w:r>
    </w:p>
    <w:p>
      <w:pPr>
        <w:spacing w:after="0" w:line="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purposes of this Agreement, a Change In Control will not include (1) a transaction in which the holders of the outstanding voting securities of the Company immediately prior to the transaction hold at least fifty percent (50%) of the outstanding voting securities of the successor</w:t>
      </w:r>
    </w:p>
    <w:p>
      <w:pPr>
        <w:sectPr>
          <w:pgSz w:w="11900" w:h="16838" w:orient="portrait"/>
          <w:cols w:equalWidth="0" w:num="1">
            <w:col w:w="11240"/>
          </w:cols>
          <w:pgMar w:left="320" w:top="1408" w:right="339" w:bottom="1440" w:gutter="0" w:footer="0" w:header="0"/>
        </w:sectPr>
      </w:pPr>
    </w:p>
    <w:bookmarkStart w:id="228" w:name="page229"/>
    <w:bookmarkEnd w:id="228"/>
    <w:p>
      <w:pPr>
        <w:jc w:val="both"/>
        <w:spacing w:after="0" w:line="235" w:lineRule="auto"/>
        <w:rPr>
          <w:sz w:val="20"/>
          <w:szCs w:val="20"/>
          <w:color w:val="auto"/>
        </w:rPr>
      </w:pPr>
      <w:r>
        <w:rPr>
          <w:rFonts w:ascii="Times New Roman" w:cs="Times New Roman" w:eastAsia="Times New Roman" w:hAnsi="Times New Roman"/>
          <w:sz w:val="22"/>
          <w:szCs w:val="22"/>
          <w:color w:val="auto"/>
        </w:rPr>
        <w:t>Company immediately after the transaction; (2) any transaction or series of transactions approved by the Board principally for bona fide equity financing purposes in which cash is received by the Company or any successor thereto or indebtedness of the Company is cancelled or converted or a combination thereof; (3) a sale, lease, exchange or other transfer of all or substantially all of the Company’s assets to a majority-owned Subsidiary; or (4) a transaction undertaken for the principal purpose of restructuring the capital of the Company, including, but not limited to, reincorporating the Company in a different jurisdiction.</w:t>
      </w:r>
    </w:p>
    <w:p>
      <w:pPr>
        <w:jc w:val="both"/>
        <w:ind w:firstLine="648"/>
        <w:spacing w:after="0" w:line="224" w:lineRule="auto"/>
        <w:rPr>
          <w:sz w:val="20"/>
          <w:szCs w:val="20"/>
          <w:color w:val="auto"/>
        </w:rPr>
      </w:pPr>
      <w:r>
        <w:rPr>
          <w:rFonts w:ascii="Times New Roman" w:cs="Times New Roman" w:eastAsia="Times New Roman" w:hAnsi="Times New Roman"/>
          <w:sz w:val="22"/>
          <w:szCs w:val="22"/>
          <w:color w:val="auto"/>
        </w:rPr>
        <w:t>Notwithstanding the foregoing, a “Change in Control” will only be deemed to occur if the consummation of the corporate transaction meets the requirements of Treas. Reg. Section 1.409A-3(a)(5).</w:t>
      </w:r>
    </w:p>
    <w:p>
      <w:pPr>
        <w:jc w:val="both"/>
        <w:ind w:left="3240" w:hanging="430"/>
        <w:spacing w:after="0" w:line="229" w:lineRule="auto"/>
        <w:tabs>
          <w:tab w:leader="none" w:pos="324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means that, as a result of a permanent physical or mental injury or illness, the Executive has been unable to perform the essential functions of his job, with or without reasonable accommodation, for (a) 60 consecutive days or (b) a period of 150 days in any 12-month period. The Company shall make its determination in a reasonable manner and shall take into consideration the opinion of Executive’s personal physician, if reasonably available, and any other physician deemed appropriate by the Company, but such determination by the Company shall be final and binding on the parties hereto. This provision shall be interpreted and applied in a manner consistent with all applicable laws, including laws regarding workers’ compensation, disability, and family and medical leave laws.</w:t>
      </w:r>
    </w:p>
    <w:p>
      <w:pPr>
        <w:spacing w:after="0" w:line="2" w:lineRule="exact"/>
        <w:rPr>
          <w:rFonts w:ascii="Times New Roman" w:cs="Times New Roman" w:eastAsia="Times New Roman" w:hAnsi="Times New Roman"/>
          <w:sz w:val="22"/>
          <w:szCs w:val="22"/>
          <w:color w:val="auto"/>
        </w:rPr>
      </w:pPr>
    </w:p>
    <w:p>
      <w:pPr>
        <w:jc w:val="both"/>
        <w:ind w:left="3240" w:hanging="490"/>
        <w:spacing w:after="0" w:line="229" w:lineRule="auto"/>
        <w:tabs>
          <w:tab w:leader="none" w:pos="3321"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xml:space="preserve">” means, without the Executive’s written consent: (A) a reduction in the Executive’s Base Salary; (B) subject to Section 5.3 of this Agreement, a substantial diminution in the Executive’s title, duties or responsibilities; (C) the Company’s breach of any material covenant or obligation under this Agreement; or (D) relocation of the Executive’s principal work location to a location outside of New York county;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shall have thirty (30) days after receipt of notice from the Executive in writing specifying the deficiency to cure the deficiency that would result in Good Reason, to the extent curable;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xml:space="preserve"> that the Executive delivered such written notice within 90 days after the first occurrence of the action alleged to be Good Reason;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if the Company has not cured the deficiency before expiration of such 30-day period, Executive shall have resigned within ninety (90) days thereafter.</w:t>
      </w:r>
    </w:p>
    <w:p>
      <w:pPr>
        <w:spacing w:after="0" w:line="4" w:lineRule="exact"/>
        <w:rPr>
          <w:rFonts w:ascii="Times New Roman" w:cs="Times New Roman" w:eastAsia="Times New Roman" w:hAnsi="Times New Roman"/>
          <w:sz w:val="22"/>
          <w:szCs w:val="22"/>
          <w:color w:val="auto"/>
        </w:rPr>
      </w:pPr>
    </w:p>
    <w:p>
      <w:pPr>
        <w:jc w:val="both"/>
        <w:ind w:left="1300" w:hanging="494"/>
        <w:spacing w:after="0" w:line="234" w:lineRule="auto"/>
        <w:tabs>
          <w:tab w:leader="none" w:pos="130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By the Company Without Cause, by the Company’s Non-renewal of the Term, or by the Executive with Good Reason.</w:t>
      </w:r>
      <w:r>
        <w:rPr>
          <w:rFonts w:ascii="Times New Roman" w:cs="Times New Roman" w:eastAsia="Times New Roman" w:hAnsi="Times New Roman"/>
          <w:sz w:val="22"/>
          <w:szCs w:val="22"/>
          <w:color w:val="auto"/>
        </w:rPr>
        <w:t xml:space="preserve"> If at any time during the Term, the Company terminates the Executive’s employment without Cause other than due to Disability, the Executive’s employment terminates on the Term Date due to the Company non-renewal of the then-current Term, or the Executive terminates his</w:t>
      </w:r>
    </w:p>
    <w:p>
      <w:pPr>
        <w:sectPr>
          <w:pgSz w:w="11900" w:h="16838" w:orient="portrait"/>
          <w:cols w:equalWidth="0" w:num="1">
            <w:col w:w="11240"/>
          </w:cols>
          <w:pgMar w:left="320" w:top="1408" w:right="339" w:bottom="1440" w:gutter="0" w:footer="0" w:header="0"/>
        </w:sectPr>
      </w:pPr>
    </w:p>
    <w:bookmarkStart w:id="229" w:name="page230"/>
    <w:bookmarkEnd w:id="229"/>
    <w:p>
      <w:pPr>
        <w:jc w:val="both"/>
        <w:ind w:left="180"/>
        <w:spacing w:after="0" w:line="238" w:lineRule="auto"/>
        <w:rPr>
          <w:sz w:val="20"/>
          <w:szCs w:val="20"/>
          <w:color w:val="auto"/>
        </w:rPr>
      </w:pPr>
      <w:r>
        <w:rPr>
          <w:rFonts w:ascii="Times New Roman" w:cs="Times New Roman" w:eastAsia="Times New Roman" w:hAnsi="Times New Roman"/>
          <w:sz w:val="22"/>
          <w:szCs w:val="22"/>
          <w:color w:val="auto"/>
        </w:rPr>
        <w:t>employment upon notice (except as described in the definition of Good Reason) with Good Reason, other than following the occurrence of an event that could reasonably be expected to result in a termination of his employment by the Company for Cause, the Executive shall be entitled to receive:</w:t>
      </w:r>
    </w:p>
    <w:p>
      <w:pPr>
        <w:ind w:left="1480" w:hanging="324"/>
        <w:spacing w:after="0" w:line="230" w:lineRule="auto"/>
        <w:tabs>
          <w:tab w:leader="none" w:pos="148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Accrued Benefits; and</w:t>
      </w:r>
    </w:p>
    <w:p>
      <w:pPr>
        <w:jc w:val="both"/>
        <w:ind w:left="1480" w:hanging="324"/>
        <w:spacing w:after="0" w:line="252" w:lineRule="auto"/>
        <w:tabs>
          <w:tab w:leader="none" w:pos="1475"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0"/>
          <w:szCs w:val="20"/>
          <w:color w:val="auto"/>
        </w:rPr>
        <w:t xml:space="preserve"> day after such termination of employment, but only if the Executive has executed and not revoked within the revocation period a valid release agreement in a form reasonably acceptable to the Company (but which shall not release any right to indemnification nor impose any further restrictive covenants), a severance payment in an amount equal to the sum of (i) twelve (12) months of the Executive’s Base Salary in effect on the date of such termination, (ii) an amount equal to the Annual Target Bonus in effect for the fiscal year in which the date of such termination occurs, and (iii) an amount equal to the Annual Target Bonus in effect for the fiscal year in which Executive’s employment terminates, pro-rated based on the portion of such fiscal year prior to his termination date during which the Executive was employed, which sum shall be payable in equal monthly installments for a period of twelve (12) months; provided that, if (A) such termination occurs within twelve (12) months following a Change in Control or (B) the Company terminates the Executive’s employment without Cause other than due to Disability within ninety</w:t>
      </w:r>
    </w:p>
    <w:p>
      <w:pPr>
        <w:spacing w:after="0" w:line="4" w:lineRule="exact"/>
        <w:rPr>
          <w:rFonts w:ascii="Times New Roman" w:cs="Times New Roman" w:eastAsia="Times New Roman" w:hAnsi="Times New Roman"/>
          <w:sz w:val="20"/>
          <w:szCs w:val="20"/>
          <w:color w:val="auto"/>
        </w:rPr>
      </w:pPr>
    </w:p>
    <w:p>
      <w:pPr>
        <w:jc w:val="both"/>
        <w:ind w:left="1480"/>
        <w:spacing w:after="0" w:line="228" w:lineRule="auto"/>
        <w:tabs>
          <w:tab w:leader="none" w:pos="1940" w:val="left"/>
        </w:tabs>
        <w:numPr>
          <w:ilvl w:val="1"/>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prior to a Change in Control and the Executive reasonably demonstrates that such termination was at the request of the eventual acquirer in connection with such Change in Control, such severance payment shall be in an amount equal to the sum of (i) twenty-one (21) months of the Executive’s Base Salary in effect on the date of such termination, and (ii) an amount equal to one hundred seventy-five percent (175%) of the Annual Target Bonus in effect for the fiscal year in which the date of such termination occurs, payable in equal monthly installments for a period of twenty-one (21) months. If not yet paid, Executive will also receive in full any prior year’s Annual Bonus not yet paid as of the termination date, payable on the normal payment date provided under the plan and paid entirely in cash. Payments that would otherwise have been owed to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termination of employment shall be made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such termination of employment.</w:t>
      </w:r>
    </w:p>
    <w:p>
      <w:pPr>
        <w:spacing w:after="0" w:line="2" w:lineRule="exact"/>
        <w:rPr>
          <w:rFonts w:ascii="Times New Roman" w:cs="Times New Roman" w:eastAsia="Times New Roman" w:hAnsi="Times New Roman"/>
          <w:sz w:val="22"/>
          <w:szCs w:val="22"/>
          <w:color w:val="auto"/>
        </w:rPr>
      </w:pPr>
    </w:p>
    <w:p>
      <w:pPr>
        <w:jc w:val="both"/>
        <w:ind w:left="1480" w:hanging="324"/>
        <w:spacing w:after="0" w:line="244" w:lineRule="auto"/>
        <w:tabs>
          <w:tab w:leader="none" w:pos="1477"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addition, if the Executive satisfies the release condition set forth in the preceding paragraph, then from the date of his termination of employment until twelve (12) months following the end of the month in which such termination occurs, the Company shall pay the premiums for any “COBRA” continuation health coverage for which the Executive is eligible during such 12-month period under Section 4980B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xml:space="preserve">”) (or any successor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COBRA payments that would otherwise have been paid on behalf</w:t>
      </w:r>
    </w:p>
    <w:p>
      <w:pPr>
        <w:sectPr>
          <w:pgSz w:w="11900" w:h="16838" w:orient="portrait"/>
          <w:cols w:equalWidth="0" w:num="1">
            <w:col w:w="10120"/>
          </w:cols>
          <w:pgMar w:left="1440" w:top="1408" w:right="339" w:bottom="1440" w:gutter="0" w:footer="0" w:header="0"/>
        </w:sectPr>
      </w:pPr>
    </w:p>
    <w:bookmarkStart w:id="230" w:name="page231"/>
    <w:bookmarkEnd w:id="230"/>
    <w:p>
      <w:pPr>
        <w:jc w:val="both"/>
        <w:ind w:left="2260"/>
        <w:spacing w:after="0" w:line="238" w:lineRule="auto"/>
        <w:rPr>
          <w:sz w:val="20"/>
          <w:szCs w:val="20"/>
          <w:color w:val="auto"/>
        </w:rPr>
      </w:pPr>
      <w:r>
        <w:rPr>
          <w:rFonts w:ascii="Times New Roman" w:cs="Times New Roman" w:eastAsia="Times New Roman" w:hAnsi="Times New Roman"/>
          <w:sz w:val="22"/>
          <w:szCs w:val="22"/>
          <w:color w:val="auto"/>
        </w:rPr>
        <w:t>of the Executive prior to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termination of employment shall be paid by the Executive and reimbursed by the Company to the Executive on the 60</w:t>
      </w:r>
      <w:r>
        <w:rPr>
          <w:rFonts w:ascii="Times New Roman" w:cs="Times New Roman" w:eastAsia="Times New Roman" w:hAnsi="Times New Roman"/>
          <w:sz w:val="11"/>
          <w:szCs w:val="11"/>
          <w:color w:val="auto"/>
        </w:rPr>
        <w:t>th</w:t>
      </w:r>
      <w:r>
        <w:rPr>
          <w:rFonts w:ascii="Times New Roman" w:cs="Times New Roman" w:eastAsia="Times New Roman" w:hAnsi="Times New Roman"/>
          <w:sz w:val="22"/>
          <w:szCs w:val="22"/>
          <w:color w:val="auto"/>
        </w:rPr>
        <w:t xml:space="preserve"> day after such termination of employment.</w:t>
      </w:r>
    </w:p>
    <w:p>
      <w:pPr>
        <w:jc w:val="both"/>
        <w:ind w:left="960" w:hanging="554"/>
        <w:spacing w:after="0" w:line="238" w:lineRule="auto"/>
        <w:tabs>
          <w:tab w:leader="none" w:pos="96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Duties prior to Termination</w:t>
      </w:r>
      <w:r>
        <w:rPr>
          <w:rFonts w:ascii="Times New Roman" w:cs="Times New Roman" w:eastAsia="Times New Roman" w:hAnsi="Times New Roman"/>
          <w:sz w:val="21"/>
          <w:szCs w:val="21"/>
          <w:color w:val="auto"/>
        </w:rPr>
        <w:t>. Following a notice of termination of the Executive’s employment hereunder from either Party and prior to the applicable date of termination, the Company may (a) require the Executive to continue to perform the Executive’s duties hereunder on the Company’s behalf, (b) limit or impose reasonable restrictions on the Executive’s activities as it deems necessary, or (c) modify the Executive’s authorities, responsibilities and/or duties (including as provided in Section 3.2 of this Agreement) without such action constituting a violation</w:t>
      </w:r>
    </w:p>
    <w:p>
      <w:pPr>
        <w:ind w:left="960"/>
        <w:spacing w:after="0" w:line="234" w:lineRule="auto"/>
        <w:rPr>
          <w:sz w:val="20"/>
          <w:szCs w:val="20"/>
          <w:color w:val="auto"/>
        </w:rPr>
      </w:pPr>
      <w:r>
        <w:rPr>
          <w:rFonts w:ascii="Times New Roman" w:cs="Times New Roman" w:eastAsia="Times New Roman" w:hAnsi="Times New Roman"/>
          <w:sz w:val="22"/>
          <w:szCs w:val="22"/>
          <w:color w:val="auto"/>
        </w:rPr>
        <w:t>of this Agreement or Good Reason.</w:t>
      </w:r>
    </w:p>
    <w:p>
      <w:pPr>
        <w:spacing w:after="0" w:line="1" w:lineRule="exact"/>
        <w:rPr>
          <w:sz w:val="20"/>
          <w:szCs w:val="20"/>
          <w:color w:val="auto"/>
        </w:rPr>
      </w:pPr>
    </w:p>
    <w:p>
      <w:pPr>
        <w:jc w:val="both"/>
        <w:ind w:left="960" w:hanging="542"/>
        <w:spacing w:after="0"/>
        <w:tabs>
          <w:tab w:leader="none" w:pos="946" w:val="left"/>
        </w:tabs>
        <w:numPr>
          <w:ilvl w:val="1"/>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Continued Employment Beyond the Expiration of the Term</w:t>
      </w:r>
      <w:r>
        <w:rPr>
          <w:rFonts w:ascii="Times New Roman" w:cs="Times New Roman" w:eastAsia="Times New Roman" w:hAnsi="Times New Roman"/>
          <w:sz w:val="21"/>
          <w:szCs w:val="21"/>
          <w:color w:val="auto"/>
        </w:rPr>
        <w:t xml:space="preserve">. Unless the Parties otherwise agree in writing and except for those Accrued Benefits or severance obligations owed under Section 5.1 or 5.2 above, in connection with any termination due to non-renewal, continuation of the Executive’s employment with the Company beyond the expiration of the Term shall only occur if mutually agreed to by the Parties in writing, in which event his employment shall be deemed an employment at-will and shall not be deemed to extend any of the provisions of this Agreement and the Executive’s employment may thereafter be terminated at-will by either the Executive or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provisions of this Agreement that contemplate performance following the expiration of the Term shall survive not only any termination of this Agreement but also the termination of the Executive’s employment hereunder, including, without limitation, Sections 6, 7 and 8.12 of this Agreement.</w:t>
      </w:r>
    </w:p>
    <w:p>
      <w:pPr>
        <w:jc w:val="both"/>
        <w:ind w:left="960" w:hanging="482"/>
        <w:spacing w:after="0" w:line="230" w:lineRule="auto"/>
        <w:tabs>
          <w:tab w:leader="none" w:pos="946"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Removal from Boards and Positions</w:t>
      </w:r>
      <w:r>
        <w:rPr>
          <w:rFonts w:ascii="Times New Roman" w:cs="Times New Roman" w:eastAsia="Times New Roman" w:hAnsi="Times New Roman"/>
          <w:sz w:val="22"/>
          <w:szCs w:val="22"/>
          <w:color w:val="auto"/>
        </w:rPr>
        <w:t>. If Executive’s employment terminates for any reason, the Executive shall be deemed to resign (a) if a member, from the Board or boards of directors to which he has been appointed or nominated by or on behalf of the Company and (b) from any position with the Company and its subsidiaries and affiliates or any fiduciary positions that he holds as a result thereof.</w:t>
      </w:r>
    </w:p>
    <w:p>
      <w:pPr>
        <w:spacing w:after="0" w:line="2" w:lineRule="exact"/>
        <w:rPr>
          <w:rFonts w:ascii="Times New Roman" w:cs="Times New Roman" w:eastAsia="Times New Roman" w:hAnsi="Times New Roman"/>
          <w:sz w:val="22"/>
          <w:szCs w:val="22"/>
          <w:color w:val="auto"/>
        </w:rPr>
      </w:pPr>
    </w:p>
    <w:p>
      <w:pPr>
        <w:ind w:left="960" w:hanging="542"/>
        <w:spacing w:after="0" w:line="230" w:lineRule="auto"/>
        <w:tabs>
          <w:tab w:leader="none" w:pos="960" w:val="left"/>
        </w:tabs>
        <w:numPr>
          <w:ilvl w:val="2"/>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The rights and remedies set forth in this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are Executive’s sole rights and remedies in the event of the termination of his employment, except for any rights and remedies that are not waivable.</w:t>
      </w:r>
    </w:p>
    <w:p>
      <w:pPr>
        <w:spacing w:after="0" w:line="1" w:lineRule="exact"/>
        <w:rPr>
          <w:rFonts w:ascii="Times New Roman" w:cs="Times New Roman" w:eastAsia="Times New Roman" w:hAnsi="Times New Roman"/>
          <w:sz w:val="22"/>
          <w:szCs w:val="22"/>
          <w:color w:val="auto"/>
        </w:rPr>
      </w:pPr>
    </w:p>
    <w:p>
      <w:pPr>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Restrictions and Obligations of the Executive</w:t>
      </w:r>
      <w:r>
        <w:rPr>
          <w:rFonts w:ascii="Times New Roman" w:cs="Times New Roman" w:eastAsia="Times New Roman" w:hAnsi="Times New Roman"/>
          <w:sz w:val="22"/>
          <w:szCs w:val="22"/>
          <w:color w:val="auto"/>
        </w:rPr>
        <w:t>.</w:t>
      </w:r>
    </w:p>
    <w:p>
      <w:pPr>
        <w:ind w:left="960" w:hanging="434"/>
        <w:spacing w:after="0" w:line="230" w:lineRule="auto"/>
        <w:tabs>
          <w:tab w:leader="none" w:pos="960" w:val="left"/>
        </w:tabs>
        <w:numPr>
          <w:ilvl w:val="2"/>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Confidentiality</w:t>
      </w:r>
      <w:r>
        <w:rPr>
          <w:rFonts w:ascii="Times New Roman" w:cs="Times New Roman" w:eastAsia="Times New Roman" w:hAnsi="Times New Roman"/>
          <w:sz w:val="22"/>
          <w:szCs w:val="22"/>
          <w:color w:val="auto"/>
        </w:rPr>
        <w:t>.</w:t>
      </w:r>
    </w:p>
    <w:p>
      <w:pPr>
        <w:jc w:val="both"/>
        <w:ind w:left="2260" w:hanging="324"/>
        <w:spacing w:after="0" w:line="230" w:lineRule="auto"/>
        <w:tabs>
          <w:tab w:leader="none" w:pos="2257" w:val="left"/>
        </w:tabs>
        <w:numPr>
          <w:ilvl w:val="3"/>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course of the Executive’s employment by the Company, the Executive will have access to certain trade secrets and confidential information relating to the Company, its subsidiaries and affiliates (the “</w:t>
      </w:r>
      <w:r>
        <w:rPr>
          <w:rFonts w:ascii="Times New Roman" w:cs="Times New Roman" w:eastAsia="Times New Roman" w:hAnsi="Times New Roman"/>
          <w:sz w:val="22"/>
          <w:szCs w:val="22"/>
          <w:u w:val="single" w:color="auto"/>
          <w:color w:val="auto"/>
        </w:rPr>
        <w:t>Protected Parties</w:t>
      </w:r>
      <w:r>
        <w:rPr>
          <w:rFonts w:ascii="Times New Roman" w:cs="Times New Roman" w:eastAsia="Times New Roman" w:hAnsi="Times New Roman"/>
          <w:sz w:val="22"/>
          <w:szCs w:val="22"/>
          <w:color w:val="auto"/>
        </w:rPr>
        <w:t>”) which is not readily available from sources outside the Company. The confidential and proprietary information and, in any material respect, trade secrets of the Protected Parties are among their most valuable assets, including but not limited to, their customer, supplier and vendor lists, databases, competitive strategies, computer programs, frameworks, or models, their marketing programs, their sales, financial, marketing, training and technical information, and any other information, whether communicated</w:t>
      </w:r>
    </w:p>
    <w:p>
      <w:pPr>
        <w:sectPr>
          <w:pgSz w:w="11900" w:h="16838" w:orient="portrait"/>
          <w:cols w:equalWidth="0" w:num="1">
            <w:col w:w="10900"/>
          </w:cols>
          <w:pgMar w:left="660" w:top="1408" w:right="339" w:bottom="1440" w:gutter="0" w:footer="0" w:header="0"/>
        </w:sectPr>
      </w:pPr>
    </w:p>
    <w:bookmarkStart w:id="231" w:name="page232"/>
    <w:bookmarkEnd w:id="231"/>
    <w:p>
      <w:pPr>
        <w:jc w:val="both"/>
        <w:ind w:left="1480"/>
        <w:spacing w:after="0" w:line="241" w:lineRule="auto"/>
        <w:rPr>
          <w:sz w:val="20"/>
          <w:szCs w:val="20"/>
          <w:color w:val="auto"/>
        </w:rPr>
      </w:pPr>
      <w:r>
        <w:rPr>
          <w:rFonts w:ascii="Times New Roman" w:cs="Times New Roman" w:eastAsia="Times New Roman" w:hAnsi="Times New Roman"/>
          <w:sz w:val="21"/>
          <w:szCs w:val="21"/>
          <w:color w:val="auto"/>
        </w:rPr>
        <w:t>orally, electronically, in writing or in other tangible forms concerning how the Protected Parties create, develop, acquire or maintain their products and marketing plans, target their potential customers and operate their businesses. The Protected Parties invested, and continue to invest, considerable amounts of time and money in their process, technology, know-how, obtaining and developing the goodwill of their customers, their other external relationships, their data systems and data bases, and all the information described above (hereinafter collectively referred to as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xml:space="preserve">”), and any misappropriation or unauthorized disclosure of Confidential Information in any form would irreparably harm the Protected Parties. The Executive acknowledges that such Confidential Information constitutes valuable, highly confidential, special and unique property of the Protected Parties. The Executive shall hold in a fiduciary capacity for the benefit of the Protected Parties all Confidential Information relating to the Protected Parties and their businesses, which shall have been obtained by the Executive during the Executive’s employment by the Company and which shall not be or become public knowledge (other than by acts by the Executive or representatives of the Executive in violation of this Agreement). During the period the Executive is employed by the Company and at any time thereafter, the Executive shall not disclose any Confidential Information, directly or indirectly, to any person or entity for any reason or purpose whatsoever, nor shall the Executive use it in any way, except (i) in the course of the Executive’s employment with, and for the benefit of, the Protected Parties, (ii) to enforce any rights or defend any claims hereunder or under any other agreement to which the Executive is a party with any Protected Party,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disclosure is relevant to the enforcement of such rights or defense of such claims and is only disclosed in the formal proceedings related thereto, (iii) when required to do so by a court of law, by any governmental agency having supervisory authority over the business of any of the Protected Parties or by any administrative or legislative body (including a committee thereof) with jurisdiction to order him to divulge, disclose or make accessible such information,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to the extent permitted by law, the Executive shall give prompt written notice to the Company of such requirement, disclose no more information than is so required, and cooperate with any attempts by any Protected Party (coordinated in all events through the Company) to obtain a protective order or similar treatment, (iv) as to such Confidential Information that becomes generally known to the public without his violation of this Section 6.1(a), or (v) to the Executive’s spouse, attorney, and/or his personal tax and financial advisors as reasonably necessary or appropriate to advance the Executive’s tax, financial and other personal planning (each an “</w:t>
      </w:r>
      <w:r>
        <w:rPr>
          <w:rFonts w:ascii="Times New Roman" w:cs="Times New Roman" w:eastAsia="Times New Roman" w:hAnsi="Times New Roman"/>
          <w:sz w:val="21"/>
          <w:szCs w:val="21"/>
          <w:u w:val="single" w:color="auto"/>
          <w:color w:val="auto"/>
        </w:rPr>
        <w:t>Exempt Person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 however,</w:t>
      </w:r>
    </w:p>
    <w:p>
      <w:pPr>
        <w:sectPr>
          <w:pgSz w:w="11900" w:h="16838" w:orient="portrait"/>
          <w:cols w:equalWidth="0" w:num="1">
            <w:col w:w="10120"/>
          </w:cols>
          <w:pgMar w:left="1440" w:top="1408" w:right="339" w:bottom="1440" w:gutter="0" w:footer="0" w:header="0"/>
        </w:sectPr>
      </w:pPr>
    </w:p>
    <w:bookmarkStart w:id="232" w:name="page233"/>
    <w:bookmarkEnd w:id="232"/>
    <w:p>
      <w:pPr>
        <w:jc w:val="both"/>
        <w:ind w:left="1480"/>
        <w:spacing w:after="0" w:line="231" w:lineRule="auto"/>
        <w:rPr>
          <w:sz w:val="20"/>
          <w:szCs w:val="20"/>
          <w:color w:val="auto"/>
        </w:rPr>
      </w:pPr>
      <w:r>
        <w:rPr>
          <w:rFonts w:ascii="Times New Roman" w:cs="Times New Roman" w:eastAsia="Times New Roman" w:hAnsi="Times New Roman"/>
          <w:sz w:val="22"/>
          <w:szCs w:val="22"/>
          <w:color w:val="auto"/>
        </w:rPr>
        <w:t>that any disclosure or use of Confidential Information by an Exempt Person other than the exceptions set forth in (i)-(iv) above shall be deemed to be a breach of this Section 6.1(a) by the Executive. The Executive shall take all reasonable steps to safeguard the Confidential Information and to protect it against disclosure, misuse, espionage, loss and theft. The Executive understands and agrees that the Executive shall acquire no rights to any such Confidential Information. For the sake of clarity, the Executive may retain documentation concerning his employment terms and compensation without violation of any section herein.</w:t>
      </w:r>
    </w:p>
    <w:p>
      <w:pPr>
        <w:spacing w:after="0" w:line="7" w:lineRule="exact"/>
        <w:rPr>
          <w:sz w:val="20"/>
          <w:szCs w:val="20"/>
          <w:color w:val="auto"/>
        </w:rPr>
      </w:pPr>
    </w:p>
    <w:p>
      <w:pPr>
        <w:jc w:val="both"/>
        <w:ind w:left="1480" w:hanging="324"/>
        <w:spacing w:after="0" w:line="230" w:lineRule="auto"/>
        <w:tabs>
          <w:tab w:leader="none" w:pos="147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files, records, documents, drawings, specifications, data, computer programs, evaluation mechanisms and analytics and similar items relating thereto or to the Business (for the purposes of this Agreement,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shall be as defined in Section 6.4 hereof), as well as all customer lists, specific customer information, compilations of product research and marketing techniques of any of the Protected Parties, whether prepared by the Executive or otherwise coming into the Executive’s possession, shall remain the exclusive property of the Protected Parties.</w:t>
      </w:r>
    </w:p>
    <w:p>
      <w:pPr>
        <w:spacing w:after="0" w:line="3" w:lineRule="exact"/>
        <w:rPr>
          <w:rFonts w:ascii="Times New Roman" w:cs="Times New Roman" w:eastAsia="Times New Roman" w:hAnsi="Times New Roman"/>
          <w:sz w:val="22"/>
          <w:szCs w:val="22"/>
          <w:color w:val="auto"/>
        </w:rPr>
      </w:pPr>
    </w:p>
    <w:p>
      <w:pPr>
        <w:jc w:val="both"/>
        <w:ind w:left="1480" w:hanging="324"/>
        <w:spacing w:after="0" w:line="228" w:lineRule="auto"/>
        <w:tabs>
          <w:tab w:leader="none" w:pos="147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understood that while employed by the Company, the Executive shall promptly disclose to it, and assign to it the Executive’s interest in any invention, improvement or discovery made or conceived by the Executive, either alone or jointly with others, which arises out of the Executive’s employment. At the Company’s request and expense, the Executive shall assist any Protected Party during the period of the Executive’s employment by the Company and thereafter (but subject to reasonable notice and taking into account the Executive’s schedule) in connection with any controversy or legal proceeding relating to such invention, improvement or discovery and in obtaining domestic and foreign patent or other protection covering the same.</w:t>
      </w:r>
    </w:p>
    <w:p>
      <w:pPr>
        <w:spacing w:after="0" w:line="7" w:lineRule="exact"/>
        <w:rPr>
          <w:rFonts w:ascii="Times New Roman" w:cs="Times New Roman" w:eastAsia="Times New Roman" w:hAnsi="Times New Roman"/>
          <w:sz w:val="22"/>
          <w:szCs w:val="22"/>
          <w:color w:val="auto"/>
        </w:rPr>
      </w:pPr>
    </w:p>
    <w:p>
      <w:pPr>
        <w:jc w:val="both"/>
        <w:ind w:left="1480" w:hanging="324"/>
        <w:spacing w:after="0" w:line="229" w:lineRule="auto"/>
        <w:tabs>
          <w:tab w:leader="none" w:pos="1475"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nothing contained in this Agreement limits the Executive’s ability to file a charge or complaint with the Equal Employment Opportunity Commission, the National Labor Relations Board, the Securities and Exchange Commission or any other federal, state or local governmental agency or commission (each, a “</w:t>
      </w:r>
      <w:r>
        <w:rPr>
          <w:rFonts w:ascii="Times New Roman" w:cs="Times New Roman" w:eastAsia="Times New Roman" w:hAnsi="Times New Roman"/>
          <w:sz w:val="22"/>
          <w:szCs w:val="22"/>
          <w:u w:val="single" w:color="auto"/>
          <w:color w:val="auto"/>
        </w:rPr>
        <w:t>Government Agency</w:t>
      </w:r>
      <w:r>
        <w:rPr>
          <w:rFonts w:ascii="Times New Roman" w:cs="Times New Roman" w:eastAsia="Times New Roman" w:hAnsi="Times New Roman"/>
          <w:sz w:val="22"/>
          <w:szCs w:val="22"/>
          <w:color w:val="auto"/>
        </w:rPr>
        <w:t>”). The Executive further understands that this Agreement does not limit the Executive’s ability to communicate with any Government Agency, including to report possible violations of federal law or regulation or making other disclosures that are protected under the whistleblower provisions of applicable federal, state or local law or regulation, or otherwise participate in any investigation or proceeding that may be conducted by any Government Agency, including providing documents or other information, without notice to the Company.</w:t>
      </w:r>
    </w:p>
    <w:p>
      <w:pPr>
        <w:spacing w:after="0" w:line="2" w:lineRule="exact"/>
        <w:rPr>
          <w:rFonts w:ascii="Times New Roman" w:cs="Times New Roman" w:eastAsia="Times New Roman" w:hAnsi="Times New Roman"/>
          <w:sz w:val="22"/>
          <w:szCs w:val="22"/>
          <w:color w:val="auto"/>
        </w:rPr>
      </w:pPr>
    </w:p>
    <w:p>
      <w:pPr>
        <w:ind w:left="1480" w:hanging="324"/>
        <w:spacing w:after="0" w:line="237" w:lineRule="auto"/>
        <w:tabs>
          <w:tab w:leader="none" w:pos="1477"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does not limit the Executive’s right to receive an award for information provided to any Government Agency. The</w:t>
      </w:r>
    </w:p>
    <w:p>
      <w:pPr>
        <w:sectPr>
          <w:pgSz w:w="11900" w:h="16838" w:orient="portrait"/>
          <w:cols w:equalWidth="0" w:num="1">
            <w:col w:w="10120"/>
          </w:cols>
          <w:pgMar w:left="1440" w:top="1408" w:right="339" w:bottom="1440" w:gutter="0" w:footer="0" w:header="0"/>
        </w:sectPr>
      </w:pPr>
    </w:p>
    <w:bookmarkStart w:id="233" w:name="page234"/>
    <w:bookmarkEnd w:id="233"/>
    <w:p>
      <w:pPr>
        <w:jc w:val="both"/>
        <w:ind w:left="1854"/>
        <w:spacing w:after="0" w:line="235" w:lineRule="auto"/>
        <w:rPr>
          <w:sz w:val="20"/>
          <w:szCs w:val="20"/>
          <w:color w:val="auto"/>
        </w:rPr>
      </w:pPr>
      <w:r>
        <w:rPr>
          <w:rFonts w:ascii="Times New Roman" w:cs="Times New Roman" w:eastAsia="Times New Roman" w:hAnsi="Times New Roman"/>
          <w:sz w:val="22"/>
          <w:szCs w:val="22"/>
          <w:color w:val="auto"/>
        </w:rPr>
        <w:t>Executive will not be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w:t>
      </w:r>
    </w:p>
    <w:p>
      <w:pPr>
        <w:jc w:val="both"/>
        <w:ind w:left="554" w:hanging="494"/>
        <w:spacing w:after="0" w:line="228" w:lineRule="auto"/>
        <w:tabs>
          <w:tab w:leader="none" w:pos="55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xml:space="preserve">. During the period the Executive is employed by the Company and thereafter, the Executive shall cooperate with any investigation or inquiry by the Company or any governmental or regulatory agency or body that relates to the operations of a Protected Party during the period of the Executive’s employment by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such cooperation shall take into account the Executive’s then current business and other obligations. Employee shall be reimbursed all out of pocket reasonable costs incurred by way of any such cooperation.</w:t>
      </w:r>
    </w:p>
    <w:p>
      <w:pPr>
        <w:spacing w:after="0" w:line="2" w:lineRule="exact"/>
        <w:rPr>
          <w:rFonts w:ascii="Times New Roman" w:cs="Times New Roman" w:eastAsia="Times New Roman" w:hAnsi="Times New Roman"/>
          <w:sz w:val="22"/>
          <w:szCs w:val="22"/>
          <w:color w:val="auto"/>
        </w:rPr>
      </w:pPr>
    </w:p>
    <w:p>
      <w:pPr>
        <w:jc w:val="both"/>
        <w:ind w:left="554" w:hanging="554"/>
        <w:spacing w:after="0" w:line="229" w:lineRule="auto"/>
        <w:tabs>
          <w:tab w:leader="none" w:pos="554"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Non-Solicitation or Hire</w:t>
      </w:r>
      <w:r>
        <w:rPr>
          <w:rFonts w:ascii="Times New Roman" w:cs="Times New Roman" w:eastAsia="Times New Roman" w:hAnsi="Times New Roman"/>
          <w:sz w:val="22"/>
          <w:szCs w:val="22"/>
          <w:color w:val="auto"/>
        </w:rPr>
        <w:t>. During the period the Executive is employed by the Company and for a period following the termination of the Executive’s employment for any reason equal to the longer of either (a) one (1) year following the Executive’s termination of employment and (b) the applicable period during which the severance payments are scheduled to be paid pursuant to Section 5.2(b) (such longer period, the “</w:t>
      </w:r>
      <w:r>
        <w:rPr>
          <w:rFonts w:ascii="Times New Roman" w:cs="Times New Roman" w:eastAsia="Times New Roman" w:hAnsi="Times New Roman"/>
          <w:sz w:val="22"/>
          <w:szCs w:val="22"/>
          <w:u w:val="single" w:color="auto"/>
          <w:color w:val="auto"/>
        </w:rPr>
        <w:t>Restricted Period</w:t>
      </w:r>
      <w:r>
        <w:rPr>
          <w:rFonts w:ascii="Times New Roman" w:cs="Times New Roman" w:eastAsia="Times New Roman" w:hAnsi="Times New Roman"/>
          <w:sz w:val="22"/>
          <w:szCs w:val="22"/>
          <w:color w:val="auto"/>
        </w:rPr>
        <w:t>”), the Executive shall not (i) directly or indirectly solicit, attempt to solicit or induce (x) any party who is a customer of a Protected Party, who was a customer of a Protected Party at any time during the twelve (12) month period immediately prior to the date the Executive’s employment terminates or who was a prospective customer that has been identified and targeted by a Protected Party immediately prior to the date the Executive’s employment terminates, for the purpose of marketing, selling or providing to any such party any services or products offered by or available from a Protected Party on the date the Executive’s employment terminates, or (y) any supplier or prospective supplier to a Protected Party as of the date the Executive’s employment terminates to terminate, reduce or alter negatively its relationship with the Protected Party or in any manner interfere with any agreement or contract between the Protected Party and such supplier, or (ii) directly or indirectly solicit or induce any current employee of a Protected Party or any person who was an employee of a Protected Party during the twelve (12) month period immediately prior to the date the Executive’s employment terminates to terminate such employee’s employment relationship with a Protected Party in order, in either case, to enter into a similar relationship with the Executive, or any other person or any entity.</w:t>
      </w:r>
    </w:p>
    <w:p>
      <w:pPr>
        <w:jc w:val="both"/>
        <w:ind w:left="554" w:hanging="542"/>
        <w:spacing w:after="0" w:line="232" w:lineRule="auto"/>
        <w:tabs>
          <w:tab w:leader="none" w:pos="540"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w:t>
      </w:r>
      <w:r>
        <w:rPr>
          <w:rFonts w:ascii="Times New Roman" w:cs="Times New Roman" w:eastAsia="Times New Roman" w:hAnsi="Times New Roman"/>
          <w:sz w:val="22"/>
          <w:szCs w:val="22"/>
          <w:color w:val="auto"/>
        </w:rPr>
        <w:t>. During the Restricted Period, the Executive shall not, without the Company’s prior written consent, whether individually, as a director, manager, member, stockholder, partner, owner, employee, consultant or agent of any business, or in any other capacity, other than on behalf of a Protected Party, organize, establish, own, operate, manage, control, engage in, participate in, invest in, permit his name to be used by, act as a consultant or advisor to, render services for (alone or in association with any person, firm, corporation or business organization), or otherwise engage in the business of providing financial products</w:t>
      </w:r>
    </w:p>
    <w:p>
      <w:pPr>
        <w:sectPr>
          <w:pgSz w:w="11900" w:h="16838" w:orient="portrait"/>
          <w:cols w:equalWidth="0" w:num="1">
            <w:col w:w="10494"/>
          </w:cols>
          <w:pgMar w:left="1066" w:top="1408" w:right="339" w:bottom="1440" w:gutter="0" w:footer="0" w:header="0"/>
        </w:sectPr>
      </w:pPr>
    </w:p>
    <w:bookmarkStart w:id="234" w:name="page235"/>
    <w:bookmarkEnd w:id="234"/>
    <w:p>
      <w:pPr>
        <w:jc w:val="both"/>
        <w:ind w:left="542"/>
        <w:spacing w:after="0" w:line="231" w:lineRule="auto"/>
        <w:rPr>
          <w:sz w:val="20"/>
          <w:szCs w:val="20"/>
          <w:color w:val="auto"/>
        </w:rPr>
      </w:pPr>
      <w:r>
        <w:rPr>
          <w:rFonts w:ascii="Times New Roman" w:cs="Times New Roman" w:eastAsia="Times New Roman" w:hAnsi="Times New Roman"/>
          <w:sz w:val="22"/>
          <w:szCs w:val="22"/>
          <w:color w:val="auto"/>
        </w:rPr>
        <w:t>or services to Taft-Hartley employee benefit plans, labor unions, employee benefit plans associated with labor unions in any manner, or other entities associated or affiliated with labor unions (the “</w:t>
      </w:r>
      <w:r>
        <w:rPr>
          <w:rFonts w:ascii="Times New Roman" w:cs="Times New Roman" w:eastAsia="Times New Roman" w:hAnsi="Times New Roman"/>
          <w:sz w:val="22"/>
          <w:szCs w:val="22"/>
          <w:u w:val="single" w:color="auto"/>
          <w:color w:val="auto"/>
        </w:rPr>
        <w:t>Business</w:t>
      </w:r>
      <w:r>
        <w:rPr>
          <w:rFonts w:ascii="Times New Roman" w:cs="Times New Roman" w:eastAsia="Times New Roman" w:hAnsi="Times New Roman"/>
          <w:sz w:val="22"/>
          <w:szCs w:val="22"/>
          <w:color w:val="auto"/>
        </w:rPr>
        <w:t>”). Notwithstanding the foregoing, nothing in this Agreement shall prevent the Executive from (a) owning for passive investment purposes not intended to circumvent this Agreement, less than three percent (3%) of the publicly traded common equity securities of any company engaged in the Business (so long as the Executive has no power to manage, operate, advise, consult with or control the competing enterprise and no power, alone or in conjunction with other affiliated parties, to select a director, manager, general partner, or similar governing official of the competing enterprise other than in connection with the normal and customary voting powers afforded the Executive in connection with any permissible equity ownership) or (b) being employed by or otherwise associated with (including as a director) an organization or entity of which a subsidiary, division, segment, unit, etc. is engaged in the Business (a “</w:t>
      </w:r>
      <w:r>
        <w:rPr>
          <w:rFonts w:ascii="Times New Roman" w:cs="Times New Roman" w:eastAsia="Times New Roman" w:hAnsi="Times New Roman"/>
          <w:sz w:val="22"/>
          <w:szCs w:val="22"/>
          <w:u w:val="single" w:color="auto"/>
          <w:color w:val="auto"/>
        </w:rPr>
        <w:t>Competing Division</w:t>
      </w:r>
      <w:r>
        <w:rPr>
          <w:rFonts w:ascii="Times New Roman" w:cs="Times New Roman" w:eastAsia="Times New Roman" w:hAnsi="Times New Roman"/>
          <w:sz w:val="22"/>
          <w:szCs w:val="22"/>
          <w:color w:val="auto"/>
        </w:rPr>
        <w:t xml:space="preserve">”), including in a position to which employees of the Competing Division report, directly or indirectly,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has no direct responsibilities with such Competing Division other than having general responsibility for the operation of such Competing Division. For the avoidance of doubt, the Executive may be an officer of a bank or investment advisor or a union or related organization that engages in the Business,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Executive is not directly employed in, or working in, the Competing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-792480</wp:posOffset>
            </wp:positionV>
            <wp:extent cx="431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4">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jc w:val="both"/>
        <w:ind w:left="542" w:hanging="482"/>
        <w:spacing w:after="0" w:line="238" w:lineRule="auto"/>
        <w:tabs>
          <w:tab w:leader="none" w:pos="528"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Property</w:t>
      </w:r>
      <w:r>
        <w:rPr>
          <w:rFonts w:ascii="Times New Roman" w:cs="Times New Roman" w:eastAsia="Times New Roman" w:hAnsi="Times New Roman"/>
          <w:sz w:val="21"/>
          <w:szCs w:val="21"/>
          <w:color w:val="auto"/>
        </w:rPr>
        <w:t>. The Executive acknowledges that all originals and copies of materials, records and documents generated by him or coming into his possession during his employment by the Company (prior to or during the Term) are the sole property of the Company or its subsidiaries or affiliates (“</w:t>
      </w: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 During the period the Executive is employed by the Company, and at all times thereafter, the Executive shall not remove, or cause to be</w:t>
      </w:r>
    </w:p>
    <w:p>
      <w:pPr>
        <w:spacing w:after="0" w:line="1" w:lineRule="exact"/>
        <w:rPr>
          <w:sz w:val="20"/>
          <w:szCs w:val="20"/>
          <w:color w:val="auto"/>
        </w:rPr>
      </w:pPr>
    </w:p>
    <w:p>
      <w:pPr>
        <w:jc w:val="both"/>
        <w:ind w:left="542"/>
        <w:spacing w:after="0" w:line="230" w:lineRule="auto"/>
        <w:rPr>
          <w:sz w:val="20"/>
          <w:szCs w:val="20"/>
          <w:color w:val="auto"/>
        </w:rPr>
      </w:pPr>
      <w:r>
        <w:rPr>
          <w:rFonts w:ascii="Times New Roman" w:cs="Times New Roman" w:eastAsia="Times New Roman" w:hAnsi="Times New Roman"/>
          <w:sz w:val="22"/>
          <w:szCs w:val="22"/>
          <w:color w:val="auto"/>
        </w:rPr>
        <w:t>removed, from the premises of the Company or any of its subsidiaries or affiliates, copies of any record, file, memorandum, document, computer related information or equipment, or any other item relating to the business of the Company, except in furtherance of his duties under this Agreement. When the Executive’s employment with the Company terminates, or upon request of the Company at any time, the Executive shall promptly deliver to the Company all copies of Company Property in his possession or control.</w:t>
      </w:r>
    </w:p>
    <w:p>
      <w:pPr>
        <w:spacing w:after="0" w:line="3" w:lineRule="exact"/>
        <w:rPr>
          <w:sz w:val="20"/>
          <w:szCs w:val="20"/>
          <w:color w:val="auto"/>
        </w:rPr>
      </w:pPr>
    </w:p>
    <w:p>
      <w:pPr>
        <w:jc w:val="both"/>
        <w:ind w:left="542" w:hanging="542"/>
        <w:spacing w:after="0" w:line="230" w:lineRule="auto"/>
        <w:tabs>
          <w:tab w:leader="none" w:pos="542"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Non-disparagement</w:t>
      </w:r>
      <w:r>
        <w:rPr>
          <w:rFonts w:ascii="Times New Roman" w:cs="Times New Roman" w:eastAsia="Times New Roman" w:hAnsi="Times New Roman"/>
          <w:sz w:val="22"/>
          <w:szCs w:val="22"/>
          <w:color w:val="auto"/>
        </w:rPr>
        <w:t xml:space="preserve">. The Executive agrees that he shall not, during the period the Executive is employed by the Company and at any time thereafter, publish or communicate to any person or entity any Disparaging remarks, comments or statements concerning the Company and its directors, officers, shareholders, employees, agents, attorneys, successors and assigns and the Company agrees that during the period the Executive is employed by the Company and at any time thereafter, it shall not, and it shall use its reasonable efforts to cause its directors and officers not to, publish or communicate to any person or entity any Disparaging remarks, comments or statements concerning the Executive;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xml:space="preserve"> that nothing contained in this Section 6.6 shall preclude either Party from providing truthful testimony in connection with a valid subpoena, court order, regulatory request, other legal proceeding, or as may be required by law. “</w:t>
      </w:r>
      <w:r>
        <w:rPr>
          <w:rFonts w:ascii="Times New Roman" w:cs="Times New Roman" w:eastAsia="Times New Roman" w:hAnsi="Times New Roman"/>
          <w:sz w:val="22"/>
          <w:szCs w:val="22"/>
          <w:u w:val="single" w:color="auto"/>
          <w:color w:val="auto"/>
        </w:rPr>
        <w:t>Disparaging</w:t>
      </w:r>
      <w:r>
        <w:rPr>
          <w:rFonts w:ascii="Times New Roman" w:cs="Times New Roman" w:eastAsia="Times New Roman" w:hAnsi="Times New Roman"/>
          <w:sz w:val="22"/>
          <w:szCs w:val="22"/>
          <w:color w:val="auto"/>
        </w:rPr>
        <w:t>” remarks, comments or statements are those that impugn the</w:t>
      </w:r>
    </w:p>
    <w:p>
      <w:pPr>
        <w:sectPr>
          <w:pgSz w:w="11900" w:h="16838" w:orient="portrait"/>
          <w:cols w:equalWidth="0" w:num="1">
            <w:col w:w="10482"/>
          </w:cols>
          <w:pgMar w:left="1078" w:top="1408" w:right="339" w:bottom="1440" w:gutter="0" w:footer="0" w:header="0"/>
        </w:sectPr>
      </w:pPr>
    </w:p>
    <w:bookmarkStart w:id="235" w:name="page236"/>
    <w:bookmarkEnd w:id="235"/>
    <w:p>
      <w:pPr>
        <w:ind w:left="968"/>
        <w:spacing w:after="0"/>
        <w:rPr>
          <w:sz w:val="20"/>
          <w:szCs w:val="20"/>
          <w:color w:val="auto"/>
        </w:rPr>
      </w:pPr>
      <w:r>
        <w:rPr>
          <w:rFonts w:ascii="Times New Roman" w:cs="Times New Roman" w:eastAsia="Times New Roman" w:hAnsi="Times New Roman"/>
          <w:sz w:val="22"/>
          <w:szCs w:val="22"/>
          <w:color w:val="auto"/>
        </w:rPr>
        <w:t>character, honesty, integrity or morality of the individual or entity being disparaged.</w:t>
      </w:r>
    </w:p>
    <w:p>
      <w:pPr>
        <w:spacing w:after="0" w:line="14" w:lineRule="exact"/>
        <w:rPr>
          <w:sz w:val="20"/>
          <w:szCs w:val="20"/>
          <w:color w:val="auto"/>
        </w:rPr>
      </w:pPr>
    </w:p>
    <w:p>
      <w:pPr>
        <w:jc w:val="both"/>
        <w:ind w:left="968" w:hanging="602"/>
        <w:spacing w:after="0" w:line="227" w:lineRule="auto"/>
        <w:tabs>
          <w:tab w:leader="none" w:pos="96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Reasonableness of Covenants</w:t>
      </w:r>
      <w:r>
        <w:rPr>
          <w:rFonts w:ascii="Times New Roman" w:cs="Times New Roman" w:eastAsia="Times New Roman" w:hAnsi="Times New Roman"/>
          <w:sz w:val="22"/>
          <w:szCs w:val="22"/>
          <w:color w:val="auto"/>
        </w:rPr>
        <w:t>. The Parties agree that the duration and area for which the covenants set forth in this Section 6 apply are reasonable. In the event that any arbitrator or court of competent jurisdiction determines that the time period or the area or both are unreasonable and any such covenant is to that extent unenforceable, the Company and the Executive agree that such covenant shall be modified to remain in full force and effect for the greatest time period and in the greatest area that would not render it unenforceable.</w:t>
      </w:r>
    </w:p>
    <w:p>
      <w:pPr>
        <w:spacing w:after="0" w:line="5" w:lineRule="exact"/>
        <w:rPr>
          <w:rFonts w:ascii="Times New Roman" w:cs="Times New Roman" w:eastAsia="Times New Roman" w:hAnsi="Times New Roman"/>
          <w:sz w:val="22"/>
          <w:szCs w:val="22"/>
          <w:color w:val="auto"/>
        </w:rPr>
      </w:pPr>
    </w:p>
    <w:p>
      <w:pPr>
        <w:jc w:val="both"/>
        <w:ind w:left="968" w:hanging="662"/>
        <w:spacing w:after="0" w:line="229" w:lineRule="auto"/>
        <w:tabs>
          <w:tab w:leader="none" w:pos="968"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Specific Performance</w:t>
      </w:r>
      <w:r>
        <w:rPr>
          <w:rFonts w:ascii="Times New Roman" w:cs="Times New Roman" w:eastAsia="Times New Roman" w:hAnsi="Times New Roman"/>
          <w:sz w:val="22"/>
          <w:szCs w:val="22"/>
          <w:color w:val="auto"/>
        </w:rPr>
        <w:t>. The Parties acknowledge and agree that the Executive’s breach or threatened breach of any of the restrictions set forth in Section 6 or the Company’s breach or threatened breach of the restrictions set forth in Section 6.6 shall result in irreparable and continuing damage to the Protected Parties or the Executive for which there may be no adequate remedy at law and that the Protected Parties or the Executive shall be entitled to seek equitable relief, including specific performance and injunctive relief as remedies for any such breach or threatened or attempted breach, without requiring the posting of a bond. The Parties hereby consent to the grant of an injunction (temporary or otherwise) against the other Party or the entry of any other court order against the other party prohibiting and enjoining him or it from violating, or directing him or it to comply with any provision of Section 6. The Parties also agree that such remedies shall be in addition to any and all remedies, including damages, available to the Protected Parties or the Executive for such breaches or threatened or attempted breaches.</w:t>
      </w:r>
    </w:p>
    <w:p>
      <w:pPr>
        <w:spacing w:after="0" w:line="4" w:lineRule="exact"/>
        <w:rPr>
          <w:rFonts w:ascii="Times New Roman" w:cs="Times New Roman" w:eastAsia="Times New Roman" w:hAnsi="Times New Roman"/>
          <w:sz w:val="22"/>
          <w:szCs w:val="22"/>
          <w:color w:val="auto"/>
        </w:rPr>
      </w:pPr>
    </w:p>
    <w:p>
      <w:pPr>
        <w:ind w:left="368" w:hanging="368"/>
        <w:spacing w:after="0" w:line="230" w:lineRule="auto"/>
        <w:tabs>
          <w:tab w:leader="none" w:pos="36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Provisions</w:t>
      </w:r>
      <w:r>
        <w:rPr>
          <w:rFonts w:ascii="Times New Roman" w:cs="Times New Roman" w:eastAsia="Times New Roman" w:hAnsi="Times New Roman"/>
          <w:sz w:val="22"/>
          <w:szCs w:val="22"/>
          <w:color w:val="auto"/>
        </w:rPr>
        <w:t>.</w:t>
      </w:r>
    </w:p>
    <w:p>
      <w:pPr>
        <w:jc w:val="both"/>
        <w:ind w:left="968" w:hanging="434"/>
        <w:spacing w:after="0" w:line="230" w:lineRule="auto"/>
        <w:tabs>
          <w:tab w:leader="none" w:pos="968" w:val="left"/>
        </w:tabs>
        <w:numPr>
          <w:ilvl w:val="1"/>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or other communication required or which may be given hereunder shall be in writing and shall be delivered personally, sent by facsimile transmission or sent by certified, registered or express mail,</w:t>
      </w:r>
    </w:p>
    <w:p>
      <w:pPr>
        <w:spacing w:after="0" w:line="1" w:lineRule="exact"/>
        <w:rPr>
          <w:sz w:val="20"/>
          <w:szCs w:val="20"/>
          <w:color w:val="auto"/>
        </w:rPr>
      </w:pPr>
    </w:p>
    <w:p>
      <w:pPr>
        <w:jc w:val="both"/>
        <w:ind w:left="968"/>
        <w:spacing w:after="0" w:line="230" w:lineRule="auto"/>
        <w:rPr>
          <w:sz w:val="20"/>
          <w:szCs w:val="20"/>
          <w:color w:val="auto"/>
        </w:rPr>
      </w:pPr>
      <w:r>
        <w:rPr>
          <w:rFonts w:ascii="Times New Roman" w:cs="Times New Roman" w:eastAsia="Times New Roman" w:hAnsi="Times New Roman"/>
          <w:sz w:val="22"/>
          <w:szCs w:val="22"/>
          <w:color w:val="auto"/>
        </w:rPr>
        <w:t>postage prepaid or overnight mail and shall be deemed given when so delivered personally, or sent by facsimile transmission or, if mailed, four (4) business days after the date of mailing or one (1) business day after overnight mail, addressed to such party at the address set forth below or such other address as may hereafter be designated in writing by the addressee as follows:</w:t>
      </w:r>
    </w:p>
    <w:p>
      <w:pPr>
        <w:ind w:left="2268" w:hanging="324"/>
        <w:spacing w:after="0" w:line="232" w:lineRule="auto"/>
        <w:tabs>
          <w:tab w:leader="none" w:pos="226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to:</w:t>
      </w:r>
    </w:p>
    <w:p>
      <w:pPr>
        <w:ind w:left="162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Amalgamated Bank</w:t>
      </w:r>
    </w:p>
    <w:p>
      <w:pPr>
        <w:ind w:left="1628"/>
        <w:spacing w:after="0" w:line="21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275 Seventh Avenue</w:t>
      </w:r>
    </w:p>
    <w:p>
      <w:pPr>
        <w:ind w:left="1628" w:right="6380"/>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York, New York 10001 Attention: Chairman of the Board Telephone: (212) 255-6200 Fax: (212) 895-4428</w:t>
      </w:r>
    </w:p>
    <w:p>
      <w:pPr>
        <w:spacing w:after="0" w:line="2" w:lineRule="exact"/>
        <w:rPr>
          <w:rFonts w:ascii="Times New Roman" w:cs="Times New Roman" w:eastAsia="Times New Roman" w:hAnsi="Times New Roman"/>
          <w:sz w:val="22"/>
          <w:szCs w:val="22"/>
          <w:color w:val="auto"/>
        </w:rPr>
      </w:pPr>
    </w:p>
    <w:p>
      <w:pPr>
        <w:ind w:left="162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a copy to:</w:t>
      </w:r>
    </w:p>
    <w:p>
      <w:pPr>
        <w:ind w:left="226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Amalgamated Financial Corp.</w:t>
      </w:r>
    </w:p>
    <w:p>
      <w:pPr>
        <w:ind w:left="2268"/>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275 Seventh Avenue</w:t>
      </w:r>
    </w:p>
    <w:p>
      <w:pPr>
        <w:ind w:left="2268" w:right="6160"/>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New York, New York 10001 Attention: General Counsel Telephone: (212) 895 4431</w:t>
      </w:r>
    </w:p>
    <w:p>
      <w:pPr>
        <w:spacing w:after="0" w:line="1" w:lineRule="exact"/>
        <w:rPr>
          <w:rFonts w:ascii="Times New Roman" w:cs="Times New Roman" w:eastAsia="Times New Roman" w:hAnsi="Times New Roman"/>
          <w:sz w:val="22"/>
          <w:szCs w:val="22"/>
          <w:color w:val="auto"/>
        </w:rPr>
      </w:pPr>
    </w:p>
    <w:p>
      <w:pPr>
        <w:ind w:left="2268" w:hanging="324"/>
        <w:spacing w:after="0"/>
        <w:tabs>
          <w:tab w:leader="none" w:pos="2268"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Executive, to the Executive’s home address reflected in the Company’s records.</w:t>
      </w:r>
    </w:p>
    <w:p>
      <w:pPr>
        <w:sectPr>
          <w:pgSz w:w="11900" w:h="16838" w:orient="portrait"/>
          <w:cols w:equalWidth="0" w:num="1">
            <w:col w:w="10908"/>
          </w:cols>
          <w:pgMar w:left="652" w:top="1408" w:right="339" w:bottom="1440" w:gutter="0" w:footer="0" w:header="0"/>
        </w:sectPr>
      </w:pPr>
    </w:p>
    <w:bookmarkStart w:id="236" w:name="page237"/>
    <w:bookmarkEnd w:id="236"/>
    <w:p>
      <w:pPr>
        <w:jc w:val="both"/>
        <w:ind w:left="554" w:hanging="494"/>
        <w:spacing w:after="0" w:line="236" w:lineRule="auto"/>
        <w:tabs>
          <w:tab w:leader="none" w:pos="635"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together with the other agreements referenced herein, contain the entire understanding of the Parties with respect to the subject matter hereof and thereof and supersede all prior and contemporaneous oral or written agreements, negotiations, understandings, statements or proposals with respect to the subject matter hereof and thereof.</w:t>
      </w:r>
    </w:p>
    <w:p>
      <w:pPr>
        <w:jc w:val="both"/>
        <w:ind w:left="554" w:hanging="554"/>
        <w:spacing w:after="0" w:line="229" w:lineRule="auto"/>
        <w:tabs>
          <w:tab w:leader="none" w:pos="554" w:val="left"/>
        </w:tabs>
        <w:numPr>
          <w:ilvl w:val="1"/>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Representations and Warranties</w:t>
      </w:r>
      <w:r>
        <w:rPr>
          <w:rFonts w:ascii="Times New Roman" w:cs="Times New Roman" w:eastAsia="Times New Roman" w:hAnsi="Times New Roman"/>
          <w:sz w:val="22"/>
          <w:szCs w:val="22"/>
          <w:color w:val="auto"/>
        </w:rPr>
        <w:t>. The Executive represents and warrants that he is not a party to or subject to any restrictive covenants, legal restrictions or other agreements in favor of any entity or person which could preclude, inhibit, impair or limit the Executive’s ability to perform his obligations under this Agreement, including, but not limited to, non-competition agreements, non-solicitation agreements or confidentiality agreements. The Company represents and warrants that (a) it has full corporate power and authority to execute and deliver this Agreement and to perform its obligations contemplated hereunder, (b) it has taken all corporate action necessary to authorize the execution and performance of this Agreement, (c) it has obtained all required regulatory or other consents as may be necessary or appropriate to permit it to enter into this Agreement and (d) this Agreement has been duly executed and delivered by it and, assuming due authorization, execution, and delivery of this Agreement by the Executive, is the legal, valid and binding obligation of the Company enforceable against the Company in accordance with its terms.</w:t>
      </w:r>
    </w:p>
    <w:p>
      <w:pPr>
        <w:spacing w:after="0" w:line="4" w:lineRule="exact"/>
        <w:rPr>
          <w:rFonts w:ascii="Times New Roman" w:cs="Times New Roman" w:eastAsia="Times New Roman" w:hAnsi="Times New Roman"/>
          <w:sz w:val="22"/>
          <w:szCs w:val="22"/>
          <w:color w:val="auto"/>
        </w:rPr>
      </w:pPr>
    </w:p>
    <w:p>
      <w:pPr>
        <w:jc w:val="both"/>
        <w:ind w:left="554" w:hanging="542"/>
        <w:spacing w:after="0" w:line="228" w:lineRule="auto"/>
        <w:tabs>
          <w:tab w:leader="none" w:pos="5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Waiver and Amendments</w:t>
      </w:r>
      <w:r>
        <w:rPr>
          <w:rFonts w:ascii="Times New Roman" w:cs="Times New Roman" w:eastAsia="Times New Roman" w:hAnsi="Times New Roman"/>
          <w:sz w:val="22"/>
          <w:szCs w:val="22"/>
          <w:color w:val="auto"/>
        </w:rPr>
        <w:t>. This Agreement may be modified, amended, superseded, canceled, renewed or extended, and the terms and conditions hereof may be waived, only by a written instrument signed by the Parties or, in the case of a waiver, by the party waiving compliance. No delay on the part of any party in exercising any right, power or privilege hereunder shall operate as a waiver thereof, nor shall any waiver on the part of any right, power or privilege hereunder, nor any single or partial exercise of any right, power or privilege hereunder, preclude any other or further exercise thereof or the exercise of any other right, power or privilege hereunder.</w:t>
      </w:r>
    </w:p>
    <w:p>
      <w:pPr>
        <w:spacing w:after="0" w:line="2" w:lineRule="exact"/>
        <w:rPr>
          <w:rFonts w:ascii="Times New Roman" w:cs="Times New Roman" w:eastAsia="Times New Roman" w:hAnsi="Times New Roman"/>
          <w:sz w:val="22"/>
          <w:szCs w:val="22"/>
          <w:color w:val="auto"/>
        </w:rPr>
      </w:pPr>
    </w:p>
    <w:p>
      <w:pPr>
        <w:ind w:left="534" w:hanging="462"/>
        <w:spacing w:after="0" w:line="230" w:lineRule="auto"/>
        <w:tabs>
          <w:tab w:leader="none" w:pos="534"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Dispute Resolution and Venue</w:t>
      </w:r>
      <w:r>
        <w:rPr>
          <w:rFonts w:ascii="Times New Roman" w:cs="Times New Roman" w:eastAsia="Times New Roman" w:hAnsi="Times New Roman"/>
          <w:sz w:val="22"/>
          <w:szCs w:val="22"/>
          <w:color w:val="auto"/>
        </w:rPr>
        <w:t>.</w:t>
      </w:r>
    </w:p>
    <w:p>
      <w:pPr>
        <w:jc w:val="both"/>
        <w:ind w:left="1854" w:hanging="324"/>
        <w:spacing w:after="0" w:line="230" w:lineRule="auto"/>
        <w:tabs>
          <w:tab w:leader="none" w:pos="1850"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shall be governed and construed in accordance with the laws of New York applicable to agreements made and to be performed entirely within such state, without regard to conflicts of laws principles, unless superseded by federal law.</w:t>
      </w:r>
    </w:p>
    <w:p>
      <w:pPr>
        <w:spacing w:after="0" w:line="1" w:lineRule="exact"/>
        <w:rPr>
          <w:rFonts w:ascii="Times New Roman" w:cs="Times New Roman" w:eastAsia="Times New Roman" w:hAnsi="Times New Roman"/>
          <w:sz w:val="22"/>
          <w:szCs w:val="22"/>
          <w:color w:val="auto"/>
        </w:rPr>
      </w:pPr>
    </w:p>
    <w:p>
      <w:pPr>
        <w:jc w:val="both"/>
        <w:ind w:left="1854" w:hanging="324"/>
        <w:spacing w:after="0" w:line="230" w:lineRule="auto"/>
        <w:tabs>
          <w:tab w:leader="none" w:pos="1849"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controversy or claim arising out of or relating to this Agreement or the breach 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in New York, New York in accordance with the Employment Dispute Resolution Rules of the AAA, including, but not limited to, the rules and procedures applicable to the selection of arbitrators, except that the arbitrator shall apply the law as established by decisions of the U.S. Supreme Court, the Court of Appeals for the Second Circuit and the U.S. District Court</w:t>
      </w:r>
    </w:p>
    <w:p>
      <w:pPr>
        <w:sectPr>
          <w:pgSz w:w="11900" w:h="16838" w:orient="portrait"/>
          <w:cols w:equalWidth="0" w:num="1">
            <w:col w:w="10494"/>
          </w:cols>
          <w:pgMar w:left="1066" w:top="1408" w:right="339" w:bottom="1440" w:gutter="0" w:footer="0" w:header="0"/>
        </w:sectPr>
      </w:pPr>
    </w:p>
    <w:bookmarkStart w:id="237" w:name="page238"/>
    <w:bookmarkEnd w:id="237"/>
    <w:p>
      <w:pPr>
        <w:jc w:val="both"/>
        <w:ind w:left="1962"/>
        <w:spacing w:after="0" w:line="231" w:lineRule="auto"/>
        <w:rPr>
          <w:sz w:val="20"/>
          <w:szCs w:val="20"/>
          <w:color w:val="auto"/>
        </w:rPr>
      </w:pPr>
      <w:r>
        <w:rPr>
          <w:rFonts w:ascii="Times New Roman" w:cs="Times New Roman" w:eastAsia="Times New Roman" w:hAnsi="Times New Roman"/>
          <w:sz w:val="22"/>
          <w:szCs w:val="22"/>
          <w:color w:val="auto"/>
        </w:rPr>
        <w:t>for the Southern District of New York in deciding the merits of claims and defenses under federal law (including without limitation any federal antidiscrimination law). The Company and the Executive specifically agree that the arbitrator may award injunctive relief.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The parties covenant that they shall participate in the arbitration in good faith. Each party to any arbitration proceeding shall bear its or his own costs and expenses in connection therewith, except as permitted by law or otherwise ordered by the arbitrator in such proceeding. Notwithstanding the foregoing, this Section 7.5 shall not preclude any party hereto from pursuing a court action pursuant to Section 6 or otherwise for the sole purpose of obtaining a temporary restraining order or a preliminary injunction.</w:t>
      </w:r>
    </w:p>
    <w:p>
      <w:pPr>
        <w:spacing w:after="0" w:line="5" w:lineRule="exact"/>
        <w:rPr>
          <w:sz w:val="20"/>
          <w:szCs w:val="20"/>
          <w:color w:val="auto"/>
        </w:rPr>
      </w:pPr>
    </w:p>
    <w:p>
      <w:pPr>
        <w:jc w:val="both"/>
        <w:ind w:left="662" w:hanging="542"/>
        <w:spacing w:after="0" w:line="230" w:lineRule="auto"/>
        <w:tabs>
          <w:tab w:leader="none" w:pos="66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Assignability by the Company and the Executive</w:t>
      </w:r>
      <w:r>
        <w:rPr>
          <w:rFonts w:ascii="Times New Roman" w:cs="Times New Roman" w:eastAsia="Times New Roman" w:hAnsi="Times New Roman"/>
          <w:sz w:val="22"/>
          <w:szCs w:val="22"/>
          <w:color w:val="auto"/>
        </w:rPr>
        <w:t xml:space="preserve">. This Agreement, and the rights and obligations hereunder, may not be assigned by the Company or the Executive without written consent signed by the other party;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Company may assign this Agreement to any successor that continues the business of the Company, including any person or entity that acquires all or substantially all of the assets of the Company.</w:t>
      </w:r>
    </w:p>
    <w:p>
      <w:pPr>
        <w:spacing w:after="0" w:line="2" w:lineRule="exact"/>
        <w:rPr>
          <w:rFonts w:ascii="Times New Roman" w:cs="Times New Roman" w:eastAsia="Times New Roman" w:hAnsi="Times New Roman"/>
          <w:sz w:val="22"/>
          <w:szCs w:val="22"/>
          <w:color w:val="auto"/>
        </w:rPr>
      </w:pPr>
    </w:p>
    <w:p>
      <w:pPr>
        <w:ind w:left="662" w:hanging="602"/>
        <w:spacing w:after="0" w:line="224" w:lineRule="auto"/>
        <w:tabs>
          <w:tab w:leader="none" w:pos="66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counterparts, each of which shall be deemed an original but all of which shall constitute one and the same instrument.</w:t>
      </w:r>
    </w:p>
    <w:p>
      <w:pPr>
        <w:ind w:left="662" w:hanging="662"/>
        <w:spacing w:after="0" w:line="230" w:lineRule="auto"/>
        <w:tabs>
          <w:tab w:leader="none" w:pos="66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in this Agreement are for convenience of reference only and shall not limit or otherwise affect the meaning of terms contained herein.</w:t>
      </w:r>
    </w:p>
    <w:p>
      <w:pPr>
        <w:spacing w:after="0" w:line="1" w:lineRule="exact"/>
        <w:rPr>
          <w:rFonts w:ascii="Times New Roman" w:cs="Times New Roman" w:eastAsia="Times New Roman" w:hAnsi="Times New Roman"/>
          <w:sz w:val="22"/>
          <w:szCs w:val="22"/>
          <w:color w:val="auto"/>
        </w:rPr>
      </w:pPr>
    </w:p>
    <w:p>
      <w:pPr>
        <w:jc w:val="both"/>
        <w:ind w:left="662" w:hanging="542"/>
        <w:spacing w:after="0" w:line="228" w:lineRule="auto"/>
        <w:tabs>
          <w:tab w:leader="none" w:pos="66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or any part thereof, is held by a court of competent jurisdiction of any foreign, federal, state, county or local government or any other governmental, regulatory or administrative agency or authority to be invalid, void, unenforceable or against public policy for any reason, the remainder of the terms, provisions, covenants and restrictions of this Agreement shall remain in full force and effect and shall in no way be affected or impaired or invalidated. The Executive acknowledges that the restrictive covenants contained in Section 6 are a condition of this Agreement and are reasonable and valid in temporal scope and in all other respects.</w:t>
      </w:r>
    </w:p>
    <w:p>
      <w:pPr>
        <w:spacing w:after="0" w:line="5" w:lineRule="exact"/>
        <w:rPr>
          <w:rFonts w:ascii="Times New Roman" w:cs="Times New Roman" w:eastAsia="Times New Roman" w:hAnsi="Times New Roman"/>
          <w:sz w:val="22"/>
          <w:szCs w:val="22"/>
          <w:color w:val="auto"/>
        </w:rPr>
      </w:pPr>
    </w:p>
    <w:p>
      <w:pPr>
        <w:jc w:val="both"/>
        <w:ind w:left="662" w:hanging="482"/>
        <w:spacing w:after="0" w:line="230" w:lineRule="auto"/>
        <w:tabs>
          <w:tab w:leader="none" w:pos="66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The Company or other payor is authorized to withhold from any benefit provided or payment due hereunder, the amount of withholding taxes due any federal, state or local authority in respect of such benefit or payment and to take such other action as may be necessary in the opinion of the Board to satisfy all obligations for the payment of such withholding taxes.</w:t>
      </w:r>
    </w:p>
    <w:p>
      <w:pPr>
        <w:spacing w:after="0" w:line="2" w:lineRule="exact"/>
        <w:rPr>
          <w:rFonts w:ascii="Times New Roman" w:cs="Times New Roman" w:eastAsia="Times New Roman" w:hAnsi="Times New Roman"/>
          <w:sz w:val="22"/>
          <w:szCs w:val="22"/>
          <w:color w:val="auto"/>
        </w:rPr>
      </w:pPr>
    </w:p>
    <w:p>
      <w:pPr>
        <w:jc w:val="both"/>
        <w:ind w:left="662" w:hanging="542"/>
        <w:spacing w:after="0" w:line="235" w:lineRule="auto"/>
        <w:tabs>
          <w:tab w:leader="none" w:pos="662" w:val="left"/>
        </w:tabs>
        <w:numPr>
          <w:ilvl w:val="0"/>
          <w:numId w:val="1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Advice</w:t>
      </w:r>
      <w:r>
        <w:rPr>
          <w:rFonts w:ascii="Times New Roman" w:cs="Times New Roman" w:eastAsia="Times New Roman" w:hAnsi="Times New Roman"/>
          <w:sz w:val="22"/>
          <w:szCs w:val="22"/>
          <w:color w:val="auto"/>
        </w:rPr>
        <w:t>. Executive acknowledges that no representative or agent of the Company has provided him with any tax advice of any nature, and Executive has had the opportunity to consult with his own legal, tax and financial advisors as to tax and related matters concerning the compensation to be received under this Agreement.</w:t>
      </w:r>
    </w:p>
    <w:p>
      <w:pPr>
        <w:sectPr>
          <w:pgSz w:w="11900" w:h="16838" w:orient="portrait"/>
          <w:cols w:equalWidth="0" w:num="1">
            <w:col w:w="10602"/>
          </w:cols>
          <w:pgMar w:left="958" w:top="1408" w:right="339" w:bottom="1440" w:gutter="0" w:footer="0" w:header="0"/>
        </w:sectPr>
      </w:pPr>
    </w:p>
    <w:bookmarkStart w:id="238" w:name="page239"/>
    <w:bookmarkEnd w:id="238"/>
    <w:p>
      <w:pPr>
        <w:jc w:val="both"/>
        <w:ind w:left="662" w:hanging="602"/>
        <w:spacing w:after="0" w:line="231" w:lineRule="auto"/>
        <w:tabs>
          <w:tab w:leader="none" w:pos="662"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and Insurance</w:t>
      </w:r>
      <w:r>
        <w:rPr>
          <w:rFonts w:ascii="Times New Roman" w:cs="Times New Roman" w:eastAsia="Times New Roman" w:hAnsi="Times New Roman"/>
          <w:sz w:val="22"/>
          <w:szCs w:val="22"/>
          <w:color w:val="auto"/>
        </w:rPr>
        <w:t>. The Executive shall be indemnified in accordance with the Company’s certificate of incorporation, by-laws, and policies and to the fullest extent permitted by, and in accordance with, applicable law. The Company agrees that it shall promptly move to ensure that the Executive is insured under the Company’s Directors’ and Officers’ liability insurance policy (including Side A coverage). Subject to the requirements of applicable law, the Company shall indemnify the Executive on a current basis and to the extent the Company acquires insurance to cover all or part of the Company’s indemnification obligations, the Company shall ensure that amounts paid in respect of such insurance are paid on a current basis.</w:t>
      </w:r>
    </w:p>
    <w:p>
      <w:pPr>
        <w:spacing w:after="0" w:line="7" w:lineRule="exact"/>
        <w:rPr>
          <w:rFonts w:ascii="Times New Roman" w:cs="Times New Roman" w:eastAsia="Times New Roman" w:hAnsi="Times New Roman"/>
          <w:sz w:val="22"/>
          <w:szCs w:val="22"/>
          <w:color w:val="auto"/>
        </w:rPr>
      </w:pPr>
    </w:p>
    <w:p>
      <w:pPr>
        <w:jc w:val="both"/>
        <w:ind w:left="662" w:hanging="662"/>
        <w:spacing w:after="0" w:line="241" w:lineRule="auto"/>
        <w:tabs>
          <w:tab w:leader="none" w:pos="662" w:val="left"/>
        </w:tabs>
        <w:numPr>
          <w:ilvl w:val="0"/>
          <w:numId w:val="1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xml:space="preserve"> This Agreement is intended to comply with Code Section 409A to the extent subject thereto and shall be interpreted and administered in compliance therewith. Any term used in this Agreement which is defined in Code Section 409A or the regulations promulgated thereunder (the “</w:t>
      </w:r>
      <w:r>
        <w:rPr>
          <w:rFonts w:ascii="Times New Roman" w:cs="Times New Roman" w:eastAsia="Times New Roman" w:hAnsi="Times New Roman"/>
          <w:sz w:val="21"/>
          <w:szCs w:val="21"/>
          <w:u w:val="single" w:color="auto"/>
          <w:color w:val="auto"/>
        </w:rPr>
        <w:t>Regulations</w:t>
      </w:r>
      <w:r>
        <w:rPr>
          <w:rFonts w:ascii="Times New Roman" w:cs="Times New Roman" w:eastAsia="Times New Roman" w:hAnsi="Times New Roman"/>
          <w:sz w:val="21"/>
          <w:szCs w:val="21"/>
          <w:color w:val="auto"/>
        </w:rPr>
        <w:t xml:space="preserve">”) shall have the meaning set forth therein unless otherwise specifically defined herein. For purposes of determining the timing of payment of any obligations to pay nonqualified deferred compensation (within the meaning of Code Section 409A) under this Agreement that arise in connection with the Executive’s “termination of employment,” “termination” or other similar references, references to termination of employment or similar references shall mean a “separation from service” within the meaning of §1.409A-l(h) of the Regulations. Notwithstanding any other provision of this Agreement, if at the time of such “separation from service”, the Executive is a “specified employee,” as defined in Code Section 409A or the Regulations, and any payments upon such termination under this Agreement hereof shall result in additional tax or interest to the Executive under Code Section 409A, Executive shall not be entitled to receive such payments until the date which is six (6) months after the termination of the Executive’s employment for any reason or, if earlier, the date of the Executive’s death. Each amount to be paid or benefit to be provided to the Executive under this Agreement that constitutes nonqualified deferred compensation subject to Code Section 409A shall be construed as a separate identified payment for purposes of Code Section 409A. If any expense reimbursement payable to the Executive under this Agreement is determined to be “nonqualified deferred compensation” within the meaning of Code Section 409A, including, without limitation any reimbursement under Section 4.4, then the reimbursement shall be made to the Executive as soon as practicable after submission for the reimbursement, but no later than December 31 of the year following the year during which such expense was incurred. Any offset, recoupment or clawback provided by Section 7.14 or 7.15, or otherwise permitted in this Agreement, shall be applied to the maximum extent possible to comply with Code Section 409A. In addition, if the Parties become aware that any provision of this Agreement could reasonably be expected to subject the Executive to any additional tax or interest under Code Section 409A, then the Company and the Executive agree to act in good faith to reform such provision;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any such reform shall (x) maintain, to the maximum extent practicable, the original intent of the applicable provision without subjecting the Executive to such additional tax or interest, and (y) not incur any additional compensation expense as a result of such reformation. Notwithstanding the foregoing, the Company does not represent, warrant or guarantee that any</w:t>
      </w:r>
    </w:p>
    <w:p>
      <w:pPr>
        <w:sectPr>
          <w:pgSz w:w="11900" w:h="16838" w:orient="portrait"/>
          <w:cols w:equalWidth="0" w:num="1">
            <w:col w:w="10602"/>
          </w:cols>
          <w:pgMar w:left="958" w:top="1408" w:right="339" w:bottom="1440" w:gutter="0" w:footer="0" w:header="0"/>
        </w:sectPr>
      </w:pPr>
    </w:p>
    <w:bookmarkStart w:id="239" w:name="page240"/>
    <w:bookmarkEnd w:id="239"/>
    <w:p>
      <w:pPr>
        <w:ind w:left="650"/>
        <w:spacing w:after="0" w:line="241" w:lineRule="auto"/>
        <w:rPr>
          <w:sz w:val="20"/>
          <w:szCs w:val="20"/>
          <w:color w:val="auto"/>
        </w:rPr>
      </w:pPr>
      <w:r>
        <w:rPr>
          <w:rFonts w:ascii="Times New Roman" w:cs="Times New Roman" w:eastAsia="Times New Roman" w:hAnsi="Times New Roman"/>
          <w:sz w:val="22"/>
          <w:szCs w:val="22"/>
          <w:color w:val="auto"/>
        </w:rPr>
        <w:t>payments that may be made pursuant to this Agreement will not result in inclusion in Executive’s gross income, or any penalty, pursuant to Section 409A(a)(1) of the Code or any similar state or local statute or regulation.</w:t>
      </w:r>
    </w:p>
    <w:p>
      <w:pPr>
        <w:ind w:left="650" w:hanging="650"/>
        <w:spacing w:after="0" w:line="232" w:lineRule="auto"/>
        <w:tabs>
          <w:tab w:leader="none" w:pos="650" w:val="left"/>
        </w:tabs>
        <w:numPr>
          <w:ilvl w:val="0"/>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Golden Parachute Provisions</w:t>
      </w:r>
      <w:r>
        <w:rPr>
          <w:rFonts w:ascii="Times New Roman" w:cs="Times New Roman" w:eastAsia="Times New Roman" w:hAnsi="Times New Roman"/>
          <w:sz w:val="22"/>
          <w:szCs w:val="22"/>
          <w:color w:val="auto"/>
        </w:rPr>
        <w:t>.</w:t>
      </w:r>
    </w:p>
    <w:p>
      <w:pPr>
        <w:jc w:val="both"/>
        <w:ind w:left="1950" w:hanging="324"/>
        <w:spacing w:after="0" w:line="228" w:lineRule="auto"/>
        <w:tabs>
          <w:tab w:leader="none" w:pos="1947" w:val="left"/>
        </w:tabs>
        <w:numPr>
          <w:ilvl w:val="1"/>
          <w:numId w:val="1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Anything in this Agreement to the contrary notwithstanding, if any payment or benefit to the Executive under this Agreement or otherwise would be a “golden parachute payment” or “indemnification payment” within the meaning of Section 18(k) of the Federal Deposit Insurance Act, such payment or benefit shall not be made unless permitted under applicable law. The Company shall use best efforts promptly to apply to the appropriate federal banking agency for a determination that any golden parachute payment is permissible.</w:t>
      </w:r>
    </w:p>
    <w:p>
      <w:pPr>
        <w:spacing w:after="0" w:line="2" w:lineRule="exact"/>
        <w:rPr>
          <w:rFonts w:ascii="Times New Roman" w:cs="Times New Roman" w:eastAsia="Times New Roman" w:hAnsi="Times New Roman"/>
          <w:sz w:val="22"/>
          <w:szCs w:val="22"/>
          <w:color w:val="auto"/>
        </w:rPr>
      </w:pPr>
    </w:p>
    <w:p>
      <w:pPr>
        <w:jc w:val="both"/>
        <w:ind w:left="1950" w:hanging="324"/>
        <w:spacing w:after="0" w:line="241" w:lineRule="auto"/>
        <w:tabs>
          <w:tab w:leader="none" w:pos="1945" w:val="left"/>
        </w:tabs>
        <w:numPr>
          <w:ilvl w:val="1"/>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benefits provided for in the Agreement, when aggregated with any other payments or benefits received by the Executive (the “</w:t>
      </w:r>
      <w:r>
        <w:rPr>
          <w:rFonts w:ascii="Times New Roman" w:cs="Times New Roman" w:eastAsia="Times New Roman" w:hAnsi="Times New Roman"/>
          <w:sz w:val="21"/>
          <w:szCs w:val="21"/>
          <w:u w:val="single" w:color="auto"/>
          <w:color w:val="auto"/>
        </w:rPr>
        <w:t>Aggregate Benefits</w:t>
      </w:r>
      <w:r>
        <w:rPr>
          <w:rFonts w:ascii="Times New Roman" w:cs="Times New Roman" w:eastAsia="Times New Roman" w:hAnsi="Times New Roman"/>
          <w:sz w:val="21"/>
          <w:szCs w:val="21"/>
          <w:color w:val="auto"/>
        </w:rPr>
        <w:t>”), would (i) constitute “parachute payments” within the meaning of Section 280G of the Code, and (ii) would be subject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Executive’s Aggregate Benefits will be either: (a) delivered in full, or (b) delivered as to such lesser extent as would result in no portion of such Aggregate Benefits being subject to the Excise Tax, whichever of the foregoing amounts, taking into account the applicable federal, state and local income taxes and the Excise Tax, results in the receipt by the Executive on an after-tax basis of the greatest amount of Aggregate Benefits, notwithstanding that all or some portion of such Aggregate Benefits may be taxable under Section 4999 of the Code. Unless the Company and the Executive otherwise agree in writing, any determination required under this paragraph will be made in writing by an independent certified public accounting firm mutually agreeable to the Company and the Executive (the “</w:t>
      </w:r>
      <w:r>
        <w:rPr>
          <w:rFonts w:ascii="Times New Roman" w:cs="Times New Roman" w:eastAsia="Times New Roman" w:hAnsi="Times New Roman"/>
          <w:sz w:val="21"/>
          <w:szCs w:val="21"/>
          <w:u w:val="single" w:color="auto"/>
          <w:color w:val="auto"/>
        </w:rPr>
        <w:t>Accounting Firm</w:t>
      </w:r>
      <w:r>
        <w:rPr>
          <w:rFonts w:ascii="Times New Roman" w:cs="Times New Roman" w:eastAsia="Times New Roman" w:hAnsi="Times New Roman"/>
          <w:sz w:val="21"/>
          <w:szCs w:val="21"/>
          <w:color w:val="auto"/>
        </w:rPr>
        <w:t>”) whose determination will be conclusive and binding upon Executive and the Company for all purposes. For purposes of making the calculations required by this paragraph, the Accounting Firm may make reasonable assumptions and approximations concerning applicable taxes and may rely on reasonable, good faith interpretations concerning the application of Sections 280G and 4999 of the Code. The Company and the Executive will furnish to the Accounting Firm such information and documents as the Accounting Firm may reasonably request in order to make a determination under this paragraph. To the extent any reduction in Aggregate Benefits is required by this paragraph, Aggregate Benefits shall be reduced or eliminated in reverse order of time of payment (that is, Aggregate Benefits payable later shall be reduced or eliminated before any reduction or elimination of Aggregate Benefits payable sooner), Aggregate Benefits payable at the same time shall be reduced or eliminated in accordance with the Executive’s instructions provided the Company has no</w:t>
      </w:r>
    </w:p>
    <w:p>
      <w:pPr>
        <w:sectPr>
          <w:pgSz w:w="11900" w:h="16838" w:orient="portrait"/>
          <w:cols w:equalWidth="0" w:num="1">
            <w:col w:w="10590"/>
          </w:cols>
          <w:pgMar w:left="970" w:top="1408" w:right="339" w:bottom="1440" w:gutter="0" w:footer="0" w:header="0"/>
        </w:sectPr>
      </w:pPr>
    </w:p>
    <w:bookmarkStart w:id="240" w:name="page241"/>
    <w:bookmarkEnd w:id="240"/>
    <w:p>
      <w:pPr>
        <w:jc w:val="both"/>
        <w:ind w:left="1890"/>
        <w:spacing w:after="0" w:line="238" w:lineRule="auto"/>
        <w:rPr>
          <w:sz w:val="20"/>
          <w:szCs w:val="20"/>
          <w:color w:val="auto"/>
        </w:rPr>
      </w:pPr>
      <w:r>
        <w:rPr>
          <w:rFonts w:ascii="Times New Roman" w:cs="Times New Roman" w:eastAsia="Times New Roman" w:hAnsi="Times New Roman"/>
          <w:sz w:val="22"/>
          <w:szCs w:val="22"/>
          <w:color w:val="auto"/>
        </w:rPr>
        <w:t>reasonable objection thereto, and all reductions or eliminations shall be based on the value of the Aggregate Benefits established for purposes of the determination required under this paragraph. All fees and expenses of the Accounting Firm shall be borne solely by the Company.</w:t>
      </w:r>
    </w:p>
    <w:p>
      <w:pPr>
        <w:jc w:val="both"/>
        <w:ind w:left="1890" w:hanging="324"/>
        <w:spacing w:after="0" w:line="228" w:lineRule="auto"/>
        <w:tabs>
          <w:tab w:leader="none" w:pos="1887"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this Agreement are subject to and shall be interpreted to be consistent with Applicable Law, which terms control over the terms of this Agreement in the event of a conflict between Applicable Law and this Agreement. Notwithstanding anything herein to the contrary, no payment or benefit shall be paid or provided to the Executive or be vested or accrued if any such payment or benefit, vesting or accrual would violate Applicable Law and, to the extent any such payment or benefit that has been paid, provided, vested or accrued is determined to be in violation of Applicable Law, any such payment or benefit shall be subject to recoupment or cancellation. In the event of any such violation, the Executive and the Company shall cooperate in good faith to endeavor to meet the requirements of Applicable Law in a manner that preserves to the greatest extent possible the intent and purposes of this Amendment. “</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the laws, statutes, rules, regulations, treaties, directives, guidelines, ordinances, codes, administrative or judicial precedents or authorities and orders of any Governmental Authority, as well as the interpretation or administration thereof by any Governmental Authority charged with the enforcement, interpretation or administration thereof, and all applicable administrative orders, decisions, judgments, directed duties, requests, licenses, authorizations, decrees and permits of, and agreements with any Governmental Authority, to which the Company or the Executive are a party or by which the Company or the Executive are bound, in each case whether or not having the force of law, and all orders, decisions, judgments, and decrees of all courts or arbitrators in proceedings or actions to which the Company or the Executive are a party or by which the Company or the Executive are bound. “</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the United States of America, any state or territory thereof and any federal, state, provincial, city, town, municipality, county or local authority, including without limitation, the Federal Deposit Insurance Corporation, the New York State Department of Financial Services, and any board, bureau, instrumentality, agency or other entity exercising executive, legislative, judicial, taxing, regulatory or administrative powers or functions of or pertaining to government.</w:t>
      </w:r>
    </w:p>
    <w:p>
      <w:pPr>
        <w:spacing w:after="0" w:line="26" w:lineRule="exact"/>
        <w:rPr>
          <w:rFonts w:ascii="Times New Roman" w:cs="Times New Roman" w:eastAsia="Times New Roman" w:hAnsi="Times New Roman"/>
          <w:sz w:val="22"/>
          <w:szCs w:val="22"/>
          <w:color w:val="auto"/>
        </w:rPr>
      </w:pPr>
    </w:p>
    <w:p>
      <w:pPr>
        <w:jc w:val="both"/>
        <w:ind w:left="590" w:hanging="590"/>
        <w:spacing w:after="0" w:line="233" w:lineRule="auto"/>
        <w:tabs>
          <w:tab w:leader="none" w:pos="576"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Claw-Back and Forfeiture</w:t>
      </w:r>
      <w:r>
        <w:rPr>
          <w:rFonts w:ascii="Times New Roman" w:cs="Times New Roman" w:eastAsia="Times New Roman" w:hAnsi="Times New Roman"/>
          <w:sz w:val="22"/>
          <w:szCs w:val="22"/>
          <w:color w:val="auto"/>
        </w:rPr>
        <w:t>. This Agreement and any Annual Bonus, Equity Plan or other incentive or performance-based compensation paid or payable to the Executive pursuant to this Agreement or under any other plan or arrangement adopted by the Company (collectively, “</w:t>
      </w: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shall be subject in all respects to any compensation claw-back or forfeiture policy implemented by the Company from time to time and applicable to all officers of</w:t>
      </w:r>
    </w:p>
    <w:p>
      <w:pPr>
        <w:sectPr>
          <w:pgSz w:w="11900" w:h="16838" w:orient="portrait"/>
          <w:cols w:equalWidth="0" w:num="1">
            <w:col w:w="10530"/>
          </w:cols>
          <w:pgMar w:left="1030" w:top="1408" w:right="339" w:bottom="1440" w:gutter="0" w:footer="0" w:header="0"/>
        </w:sectPr>
      </w:pPr>
    </w:p>
    <w:bookmarkStart w:id="241" w:name="page242"/>
    <w:bookmarkEnd w:id="241"/>
    <w:p>
      <w:pPr>
        <w:jc w:val="both"/>
        <w:ind w:left="1300"/>
        <w:spacing w:after="0" w:line="231" w:lineRule="auto"/>
        <w:rPr>
          <w:sz w:val="20"/>
          <w:szCs w:val="20"/>
          <w:color w:val="auto"/>
        </w:rPr>
      </w:pPr>
      <w:r>
        <w:rPr>
          <w:rFonts w:ascii="Times New Roman" w:cs="Times New Roman" w:eastAsia="Times New Roman" w:hAnsi="Times New Roman"/>
          <w:sz w:val="22"/>
          <w:szCs w:val="22"/>
          <w:color w:val="auto"/>
        </w:rPr>
        <w:t>the Company on the same terms and conditions, including without limitation, any such policy adopted to comply with the requirements of applicable law or the rules and regulations of any stock exchange applicable to the Company, and any revisions or amendments to any of the foregoing policies adopted by the Company from time to time and applicable to all officers of the Company on the same terms and conditions (collectively, the “</w:t>
      </w:r>
      <w:r>
        <w:rPr>
          <w:rFonts w:ascii="Times New Roman" w:cs="Times New Roman" w:eastAsia="Times New Roman" w:hAnsi="Times New Roman"/>
          <w:sz w:val="22"/>
          <w:szCs w:val="22"/>
          <w:u w:val="single" w:color="auto"/>
          <w:color w:val="auto"/>
        </w:rPr>
        <w:t>Claw-Back Policy</w:t>
      </w:r>
      <w:r>
        <w:rPr>
          <w:rFonts w:ascii="Times New Roman" w:cs="Times New Roman" w:eastAsia="Times New Roman" w:hAnsi="Times New Roman"/>
          <w:sz w:val="22"/>
          <w:szCs w:val="22"/>
          <w:color w:val="auto"/>
        </w:rPr>
        <w:t>”). The Executive acknowledges and agrees that, if the Company is permitted to and does affirmatively effect a claw-back or forfeiture of Incentive Compensation pursuant to the Claw-Back Policy, the Company shall be entitled to recover or retain any Incentive Compensation paid or payable to the Executive in accordance with the terms and conditions of the Claw-Back Policy.</w:t>
      </w:r>
    </w:p>
    <w:p>
      <w:pPr>
        <w:spacing w:after="0" w:line="7" w:lineRule="exact"/>
        <w:rPr>
          <w:sz w:val="20"/>
          <w:szCs w:val="20"/>
          <w:color w:val="auto"/>
        </w:rPr>
      </w:pPr>
    </w:p>
    <w:p>
      <w:pPr>
        <w:jc w:val="both"/>
        <w:ind w:left="1300" w:hanging="650"/>
        <w:spacing w:after="0" w:line="230" w:lineRule="auto"/>
        <w:tabs>
          <w:tab w:leader="none" w:pos="130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w:t>
      </w:r>
      <w:r>
        <w:rPr>
          <w:rFonts w:ascii="Times New Roman" w:cs="Times New Roman" w:eastAsia="Times New Roman" w:hAnsi="Times New Roman"/>
          <w:sz w:val="22"/>
          <w:szCs w:val="22"/>
          <w:color w:val="auto"/>
        </w:rPr>
        <w:t>. This Agreement may be executed in several counterparts (including counterparts by email, facsimile, portable document format (pdf) or any electronic signature complying with the U.S. federal ESIGN Act of 2000 (including DocuSign)), each of which shall be deemed an original and all of which shall together constitute one and the same instrument.</w:t>
      </w:r>
    </w:p>
    <w:p>
      <w:pPr>
        <w:spacing w:after="0" w:line="2" w:lineRule="exact"/>
        <w:rPr>
          <w:rFonts w:ascii="Times New Roman" w:cs="Times New Roman" w:eastAsia="Times New Roman" w:hAnsi="Times New Roman"/>
          <w:sz w:val="22"/>
          <w:szCs w:val="22"/>
          <w:color w:val="auto"/>
        </w:rPr>
      </w:pPr>
    </w:p>
    <w:p>
      <w:pPr>
        <w:jc w:val="both"/>
        <w:ind w:left="1300" w:hanging="710"/>
        <w:spacing w:after="0" w:line="239" w:lineRule="auto"/>
        <w:tabs>
          <w:tab w:leader="none" w:pos="1300" w:val="left"/>
        </w:tabs>
        <w:numPr>
          <w:ilvl w:val="0"/>
          <w:numId w:val="1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Legal Representation and Independent Review</w:t>
      </w:r>
      <w:r>
        <w:rPr>
          <w:rFonts w:ascii="Times New Roman" w:cs="Times New Roman" w:eastAsia="Times New Roman" w:hAnsi="Times New Roman"/>
          <w:sz w:val="21"/>
          <w:szCs w:val="21"/>
          <w:color w:val="auto"/>
        </w:rPr>
        <w:t>. Executive acknowledges that he was advised to consult with, and has had ample opportunity to receive the advice of, independent legal counsel before executing this Agreement – and the Company hereby advises Executive to do so – and that Executive has fully exercised that opportunity to the extent he desired. Executive acknowledges that he had ample opportunity to consider this Agreement and to receive an explanation from such legal counsel of the legal nature, effect, ramifications, and consequences of this Agreement. Executive warrants that he has carefully read this Agreement, that he understands completely its contents, that he understands the significance, nature, effect, and consequences of signing it, and that he has agreed to and signed this Agreement knowingly and voluntarily of his own free will, act, and deed, and for full</w:t>
      </w:r>
    </w:p>
    <w:p>
      <w:pPr>
        <w:ind w:left="1300"/>
        <w:spacing w:after="0" w:line="236" w:lineRule="auto"/>
        <w:rPr>
          <w:sz w:val="20"/>
          <w:szCs w:val="20"/>
          <w:color w:val="auto"/>
        </w:rPr>
      </w:pPr>
      <w:r>
        <w:rPr>
          <w:rFonts w:ascii="Times New Roman" w:cs="Times New Roman" w:eastAsia="Times New Roman" w:hAnsi="Times New Roman"/>
          <w:sz w:val="22"/>
          <w:szCs w:val="22"/>
          <w:color w:val="auto"/>
        </w:rPr>
        <w:t>and sufficient consideration.</w:t>
      </w:r>
    </w:p>
    <w:p>
      <w:pPr>
        <w:spacing w:after="0" w:line="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IN WITNESS WHEREOF, the Parties hereto, intending to be legally bound hereby, have executed this Agreement as of the day and year first above mentioned.</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5540" w:type="dxa"/>
            <w:vAlign w:val="bottom"/>
          </w:tcPr>
          <w:p>
            <w:pPr>
              <w:spacing w:after="0"/>
              <w:rPr>
                <w:sz w:val="20"/>
                <w:szCs w:val="20"/>
                <w:color w:val="auto"/>
              </w:rPr>
            </w:pPr>
            <w:r>
              <w:rPr>
                <w:rFonts w:ascii="Arial" w:cs="Arial" w:eastAsia="Arial" w:hAnsi="Arial"/>
                <w:sz w:val="22"/>
                <w:szCs w:val="22"/>
                <w:color w:val="auto"/>
              </w:rPr>
              <w:t>EXECUTIVE:</w:t>
            </w:r>
          </w:p>
        </w:tc>
        <w:tc>
          <w:tcPr>
            <w:tcW w:w="4240" w:type="dxa"/>
            <w:vAlign w:val="bottom"/>
          </w:tcPr>
          <w:p>
            <w:pPr>
              <w:ind w:left="80"/>
              <w:spacing w:after="0"/>
              <w:rPr>
                <w:sz w:val="20"/>
                <w:szCs w:val="20"/>
                <w:color w:val="auto"/>
              </w:rPr>
            </w:pPr>
            <w:r>
              <w:rPr>
                <w:rFonts w:ascii="Arial" w:cs="Arial" w:eastAsia="Arial" w:hAnsi="Arial"/>
                <w:sz w:val="22"/>
                <w:szCs w:val="22"/>
                <w:color w:val="auto"/>
              </w:rPr>
              <w:t>COMPANY:</w:t>
            </w:r>
          </w:p>
        </w:tc>
        <w:tc>
          <w:tcPr>
            <w:tcW w:w="0" w:type="dxa"/>
            <w:vAlign w:val="bottom"/>
          </w:tcPr>
          <w:p>
            <w:pPr>
              <w:spacing w:after="0"/>
              <w:rPr>
                <w:sz w:val="1"/>
                <w:szCs w:val="1"/>
                <w:color w:val="auto"/>
              </w:rPr>
            </w:pPr>
          </w:p>
        </w:tc>
      </w:tr>
      <w:tr>
        <w:trPr>
          <w:trHeight w:val="283"/>
        </w:trPr>
        <w:tc>
          <w:tcPr>
            <w:tcW w:w="5540" w:type="dxa"/>
            <w:vAlign w:val="bottom"/>
            <w:vMerge w:val="restart"/>
          </w:tcPr>
          <w:p>
            <w:pPr>
              <w:spacing w:after="0"/>
              <w:rPr>
                <w:sz w:val="20"/>
                <w:szCs w:val="20"/>
                <w:color w:val="auto"/>
              </w:rPr>
            </w:pPr>
            <w:r>
              <w:rPr>
                <w:rFonts w:ascii="Arial" w:cs="Arial" w:eastAsia="Arial" w:hAnsi="Arial"/>
                <w:sz w:val="22"/>
                <w:szCs w:val="22"/>
                <w:color w:val="auto"/>
                <w:w w:val="99"/>
              </w:rPr>
              <w:t>_________________________________ Edgar Romney</w:t>
            </w:r>
          </w:p>
        </w:tc>
        <w:tc>
          <w:tcPr>
            <w:tcW w:w="4240" w:type="dxa"/>
            <w:vAlign w:val="bottom"/>
          </w:tcPr>
          <w:p>
            <w:pPr>
              <w:ind w:left="80"/>
              <w:spacing w:after="0"/>
              <w:rPr>
                <w:sz w:val="20"/>
                <w:szCs w:val="20"/>
                <w:color w:val="auto"/>
              </w:rPr>
            </w:pPr>
            <w:r>
              <w:rPr>
                <w:rFonts w:ascii="Arial" w:cs="Arial" w:eastAsia="Arial" w:hAnsi="Arial"/>
                <w:sz w:val="22"/>
                <w:szCs w:val="22"/>
                <w:color w:val="auto"/>
              </w:rPr>
              <w:t>AMALGAMATED FINANCIAL CORP.</w:t>
            </w:r>
          </w:p>
        </w:tc>
        <w:tc>
          <w:tcPr>
            <w:tcW w:w="0" w:type="dxa"/>
            <w:vAlign w:val="bottom"/>
          </w:tcPr>
          <w:p>
            <w:pPr>
              <w:spacing w:after="0"/>
              <w:rPr>
                <w:sz w:val="1"/>
                <w:szCs w:val="1"/>
                <w:color w:val="auto"/>
              </w:rPr>
            </w:pPr>
          </w:p>
        </w:tc>
      </w:tr>
      <w:tr>
        <w:trPr>
          <w:trHeight w:val="189"/>
        </w:trPr>
        <w:tc>
          <w:tcPr>
            <w:tcW w:w="5540" w:type="dxa"/>
            <w:vAlign w:val="bottom"/>
            <w:vMerge w:val="continue"/>
          </w:tcPr>
          <w:p>
            <w:pPr>
              <w:spacing w:after="0"/>
              <w:rPr>
                <w:sz w:val="16"/>
                <w:szCs w:val="16"/>
                <w:color w:val="auto"/>
              </w:rPr>
            </w:pPr>
          </w:p>
        </w:tc>
        <w:tc>
          <w:tcPr>
            <w:tcW w:w="4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40" w:type="dxa"/>
            <w:vAlign w:val="bottom"/>
          </w:tcPr>
          <w:p>
            <w:pPr>
              <w:spacing w:after="0" w:line="243" w:lineRule="exact"/>
              <w:rPr>
                <w:sz w:val="20"/>
                <w:szCs w:val="20"/>
                <w:color w:val="auto"/>
              </w:rPr>
            </w:pPr>
            <w:r>
              <w:rPr>
                <w:rFonts w:ascii="Arial" w:cs="Arial" w:eastAsia="Arial" w:hAnsi="Arial"/>
                <w:sz w:val="22"/>
                <w:szCs w:val="22"/>
                <w:color w:val="auto"/>
              </w:rPr>
              <w:t>Jr. an individual</w:t>
            </w:r>
          </w:p>
        </w:tc>
        <w:tc>
          <w:tcPr>
            <w:tcW w:w="4240" w:type="dxa"/>
            <w:vAlign w:val="bottom"/>
          </w:tcPr>
          <w:p>
            <w:pPr>
              <w:ind w:left="80"/>
              <w:spacing w:after="0" w:line="243" w:lineRule="exact"/>
              <w:rPr>
                <w:sz w:val="20"/>
                <w:szCs w:val="20"/>
                <w:color w:val="auto"/>
              </w:rPr>
            </w:pPr>
            <w:r>
              <w:rPr>
                <w:rFonts w:ascii="Arial" w:cs="Arial" w:eastAsia="Arial" w:hAnsi="Arial"/>
                <w:sz w:val="22"/>
                <w:szCs w:val="22"/>
                <w:color w:val="auto"/>
                <w:w w:val="97"/>
              </w:rPr>
              <w:t>By:________________________________</w:t>
            </w:r>
          </w:p>
        </w:tc>
        <w:tc>
          <w:tcPr>
            <w:tcW w:w="0" w:type="dxa"/>
            <w:vAlign w:val="bottom"/>
          </w:tcPr>
          <w:p>
            <w:pPr>
              <w:spacing w:after="0"/>
              <w:rPr>
                <w:sz w:val="1"/>
                <w:szCs w:val="1"/>
                <w:color w:val="auto"/>
              </w:rPr>
            </w:pPr>
          </w:p>
        </w:tc>
      </w:tr>
      <w:tr>
        <w:trPr>
          <w:trHeight w:val="230"/>
        </w:trPr>
        <w:tc>
          <w:tcPr>
            <w:tcW w:w="5540" w:type="dxa"/>
            <w:vAlign w:val="bottom"/>
          </w:tcPr>
          <w:p>
            <w:pPr>
              <w:spacing w:after="0"/>
              <w:rPr>
                <w:sz w:val="19"/>
                <w:szCs w:val="19"/>
                <w:color w:val="auto"/>
              </w:rPr>
            </w:pPr>
          </w:p>
        </w:tc>
        <w:tc>
          <w:tcPr>
            <w:tcW w:w="4240" w:type="dxa"/>
            <w:vAlign w:val="bottom"/>
          </w:tcPr>
          <w:p>
            <w:pPr>
              <w:ind w:left="80"/>
              <w:spacing w:after="0" w:line="229" w:lineRule="exact"/>
              <w:rPr>
                <w:sz w:val="20"/>
                <w:szCs w:val="20"/>
                <w:color w:val="auto"/>
              </w:rPr>
            </w:pPr>
            <w:r>
              <w:rPr>
                <w:rFonts w:ascii="Arial" w:cs="Arial" w:eastAsia="Arial" w:hAnsi="Arial"/>
                <w:sz w:val="22"/>
                <w:szCs w:val="22"/>
                <w:color w:val="auto"/>
              </w:rPr>
              <w:t>Name: Priscilla Brown</w:t>
            </w:r>
          </w:p>
        </w:tc>
        <w:tc>
          <w:tcPr>
            <w:tcW w:w="0" w:type="dxa"/>
            <w:vAlign w:val="bottom"/>
          </w:tcPr>
          <w:p>
            <w:pPr>
              <w:spacing w:after="0"/>
              <w:rPr>
                <w:sz w:val="1"/>
                <w:szCs w:val="1"/>
                <w:color w:val="auto"/>
              </w:rPr>
            </w:pPr>
          </w:p>
        </w:tc>
      </w:tr>
      <w:tr>
        <w:trPr>
          <w:trHeight w:val="283"/>
        </w:trPr>
        <w:tc>
          <w:tcPr>
            <w:tcW w:w="5540" w:type="dxa"/>
            <w:vAlign w:val="bottom"/>
          </w:tcPr>
          <w:p>
            <w:pPr>
              <w:spacing w:after="0"/>
              <w:rPr>
                <w:sz w:val="24"/>
                <w:szCs w:val="24"/>
                <w:color w:val="auto"/>
              </w:rPr>
            </w:pPr>
          </w:p>
        </w:tc>
        <w:tc>
          <w:tcPr>
            <w:tcW w:w="4240" w:type="dxa"/>
            <w:vAlign w:val="bottom"/>
          </w:tcPr>
          <w:p>
            <w:pPr>
              <w:ind w:left="80"/>
              <w:spacing w:after="0"/>
              <w:rPr>
                <w:sz w:val="20"/>
                <w:szCs w:val="20"/>
                <w:color w:val="auto"/>
              </w:rPr>
            </w:pPr>
            <w:r>
              <w:rPr>
                <w:rFonts w:ascii="Arial" w:cs="Arial" w:eastAsia="Arial" w:hAnsi="Arial"/>
                <w:sz w:val="22"/>
                <w:szCs w:val="22"/>
                <w:color w:val="auto"/>
              </w:rPr>
              <w:t>Title: President &amp; CEO</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08" w:right="339"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2677160</wp:posOffset>
            </wp:positionH>
            <wp:positionV relativeFrom="page">
              <wp:posOffset>1006475</wp:posOffset>
            </wp:positionV>
            <wp:extent cx="2194560" cy="5657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219456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left="340" w:right="260"/>
        <w:spacing w:after="0" w:line="244" w:lineRule="auto"/>
        <w:rPr>
          <w:sz w:val="20"/>
          <w:szCs w:val="20"/>
          <w:color w:val="auto"/>
        </w:rPr>
      </w:pPr>
      <w:r>
        <w:rPr>
          <w:rFonts w:ascii="Arial" w:cs="Arial" w:eastAsia="Arial" w:hAnsi="Arial"/>
          <w:sz w:val="64"/>
          <w:szCs w:val="64"/>
          <w:b w:val="1"/>
          <w:bCs w:val="1"/>
          <w:color w:val="auto"/>
        </w:rPr>
        <w:t>Policy Regarding Insider Trading and Related Securites Law Matters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i w:val="1"/>
          <w:iCs w:val="1"/>
          <w:color w:val="auto"/>
        </w:rPr>
        <w:t>Approved:7/21/2025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8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Description</w:t>
      </w:r>
    </w:p>
    <w:p>
      <w:pPr>
        <w:spacing w:after="0" w:line="250"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The Boards of Directors of Amalgamated Financial Corp. and Amalgamated Bank (collectively, the “</w:t>
      </w:r>
      <w:r>
        <w:rPr>
          <w:rFonts w:ascii="Arial" w:cs="Arial" w:eastAsia="Arial" w:hAnsi="Arial"/>
          <w:sz w:val="22"/>
          <w:szCs w:val="22"/>
          <w:b w:val="1"/>
          <w:bCs w:val="1"/>
          <w:color w:val="auto"/>
        </w:rPr>
        <w:t>Company</w:t>
      </w:r>
      <w:r>
        <w:rPr>
          <w:rFonts w:ascii="Arial" w:cs="Arial" w:eastAsia="Arial" w:hAnsi="Arial"/>
          <w:sz w:val="22"/>
          <w:szCs w:val="22"/>
          <w:color w:val="auto"/>
        </w:rPr>
        <w:t>”) have adopted this Policy Regarding Insider Trading and Related Securities Law</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Matters (“</w:t>
      </w:r>
      <w:r>
        <w:rPr>
          <w:rFonts w:ascii="Arial" w:cs="Arial" w:eastAsia="Arial" w:hAnsi="Arial"/>
          <w:sz w:val="22"/>
          <w:szCs w:val="22"/>
          <w:b w:val="1"/>
          <w:bCs w:val="1"/>
          <w:color w:val="auto"/>
        </w:rPr>
        <w:t>Policy Statement</w:t>
      </w:r>
      <w:r>
        <w:rPr>
          <w:rFonts w:ascii="Arial" w:cs="Arial" w:eastAsia="Arial" w:hAnsi="Arial"/>
          <w:sz w:val="22"/>
          <w:szCs w:val="22"/>
          <w:color w:val="auto"/>
        </w:rPr>
        <w:t>”):</w:t>
      </w:r>
    </w:p>
    <w:p>
      <w:pPr>
        <w:spacing w:after="0" w:line="146" w:lineRule="exact"/>
        <w:rPr>
          <w:sz w:val="20"/>
          <w:szCs w:val="20"/>
          <w:color w:val="auto"/>
        </w:rPr>
      </w:pPr>
    </w:p>
    <w:p>
      <w:pPr>
        <w:ind w:left="620" w:hanging="288"/>
        <w:spacing w:after="0"/>
        <w:tabs>
          <w:tab w:leader="none" w:pos="6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prevent insider trading or allegations of insider trading;</w:t>
      </w:r>
    </w:p>
    <w:p>
      <w:pPr>
        <w:spacing w:after="0" w:line="165" w:lineRule="exact"/>
        <w:rPr>
          <w:rFonts w:ascii="Arial" w:cs="Arial" w:eastAsia="Arial" w:hAnsi="Arial"/>
          <w:sz w:val="22"/>
          <w:szCs w:val="22"/>
          <w:color w:val="auto"/>
        </w:rPr>
      </w:pPr>
    </w:p>
    <w:p>
      <w:pPr>
        <w:ind w:left="660" w:hanging="328"/>
        <w:spacing w:after="0" w:line="285" w:lineRule="auto"/>
        <w:tabs>
          <w:tab w:leader="none" w:pos="62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prevent misappropriation, inadvertent disclosure or other misuse of Material Nonpublic Information (as defined below); and</w:t>
      </w:r>
    </w:p>
    <w:p>
      <w:pPr>
        <w:spacing w:after="0" w:line="74" w:lineRule="exact"/>
        <w:rPr>
          <w:rFonts w:ascii="Arial" w:cs="Arial" w:eastAsia="Arial" w:hAnsi="Arial"/>
          <w:sz w:val="22"/>
          <w:szCs w:val="22"/>
          <w:color w:val="auto"/>
        </w:rPr>
      </w:pPr>
    </w:p>
    <w:p>
      <w:pPr>
        <w:ind w:left="620" w:hanging="288"/>
        <w:spacing w:after="0"/>
        <w:tabs>
          <w:tab w:leader="none" w:pos="62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protect the Company’s reputation for integrity and ethical conduct.</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following policies regarding the disclosure or use by personnel of the Company of Material Nonpublic Information and other confidential information relating to the Company, or its subsidiaries, apply to all officers, directors, employees or agents, including consultants, of the Company and its subsidiaries (collectively, “</w:t>
      </w:r>
      <w:r>
        <w:rPr>
          <w:rFonts w:ascii="Arial" w:cs="Arial" w:eastAsia="Arial" w:hAnsi="Arial"/>
          <w:sz w:val="22"/>
          <w:szCs w:val="22"/>
          <w:b w:val="1"/>
          <w:bCs w:val="1"/>
          <w:color w:val="auto"/>
        </w:rPr>
        <w:t>Company</w:t>
      </w:r>
      <w:r>
        <w:rPr>
          <w:rFonts w:ascii="Arial" w:cs="Arial" w:eastAsia="Arial" w:hAnsi="Arial"/>
          <w:sz w:val="22"/>
          <w:szCs w:val="22"/>
          <w:color w:val="auto"/>
        </w:rPr>
        <w:t xml:space="preserve"> </w:t>
      </w:r>
      <w:r>
        <w:rPr>
          <w:rFonts w:ascii="Arial" w:cs="Arial" w:eastAsia="Arial" w:hAnsi="Arial"/>
          <w:sz w:val="22"/>
          <w:szCs w:val="22"/>
          <w:b w:val="1"/>
          <w:bCs w:val="1"/>
          <w:color w:val="auto"/>
        </w:rPr>
        <w:t>Personnel</w:t>
      </w:r>
      <w:r>
        <w:rPr>
          <w:rFonts w:ascii="Arial" w:cs="Arial" w:eastAsia="Arial" w:hAnsi="Arial"/>
          <w:sz w:val="22"/>
          <w:szCs w:val="22"/>
          <w:color w:val="auto"/>
        </w:rPr>
        <w:t>”). Furthermore, for purposes of this Policy Statement, the term “Company” shall refer to and include both</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and each subsidiary.</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21"/>
          <w:szCs w:val="21"/>
          <w:color w:val="auto"/>
        </w:rPr>
        <w:t>For the purposes of this Policy Statement, “</w:t>
      </w:r>
      <w:r>
        <w:rPr>
          <w:rFonts w:ascii="Arial" w:cs="Arial" w:eastAsia="Arial" w:hAnsi="Arial"/>
          <w:sz w:val="21"/>
          <w:szCs w:val="21"/>
          <w:b w:val="1"/>
          <w:bCs w:val="1"/>
          <w:color w:val="auto"/>
        </w:rPr>
        <w:t>Material Nonpublic Information</w:t>
      </w:r>
      <w:r>
        <w:rPr>
          <w:rFonts w:ascii="Arial" w:cs="Arial" w:eastAsia="Arial" w:hAnsi="Arial"/>
          <w:sz w:val="21"/>
          <w:szCs w:val="21"/>
          <w:color w:val="auto"/>
        </w:rPr>
        <w:t>” means nonpublic or confidential information relating to the Company or its affairs, or, if applicable, another company, that, if made public, would be likely to affect the market price of the Company Securities (as defined below) or the securities of the other company, or that would be likely to be considered important by a reasonable investor in deciding whether to buy, sell or hold those securities. The source of the information is irrelevant. While it is not possible to define all categories of “Material Nonpublic Information,” some examples of information that ordinarily would be regarded as such are:</w:t>
      </w:r>
    </w:p>
    <w:p>
      <w:pPr>
        <w:spacing w:after="0" w:line="85" w:lineRule="exact"/>
        <w:rPr>
          <w:sz w:val="20"/>
          <w:szCs w:val="20"/>
          <w:color w:val="auto"/>
        </w:rPr>
      </w:pPr>
    </w:p>
    <w:p>
      <w:pPr>
        <w:ind w:left="620" w:hanging="288"/>
        <w:spacing w:after="0"/>
        <w:tabs>
          <w:tab w:leader="none" w:pos="6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Projections of future earnings or losses, or other earnings guidance;</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2"/>
        </w:numPr>
        <w:rPr>
          <w:rFonts w:ascii="Arial" w:cs="Arial" w:eastAsia="Arial" w:hAnsi="Arial"/>
          <w:sz w:val="22"/>
          <w:szCs w:val="22"/>
          <w:color w:val="auto"/>
        </w:rPr>
      </w:pPr>
      <w:r>
        <w:rPr>
          <w:rFonts w:ascii="Arial" w:cs="Arial" w:eastAsia="Arial" w:hAnsi="Arial"/>
          <w:sz w:val="22"/>
          <w:szCs w:val="22"/>
          <w:color w:val="auto"/>
        </w:rPr>
        <w:t>Changes to previously announced earnings guidance or the decision to suspend earnings guidance;</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32" w:lineRule="exact"/>
        <w:rPr>
          <w:sz w:val="20"/>
          <w:szCs w:val="20"/>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pending or proposed merger, acquisition or tender offer;</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pending or proposed acquisition or disposing of a significant asset or joint venture;</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pending or proposed equity or debt offering;</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Company restructuring;</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Significant related party transactions;</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change in dividend policy, the declaration of a stock split, or an offering of additional securities;</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establishment of a repurchase program for Company Securities;</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Writedowns and additions to reserves for nonaccrual loans and loans past due of the Company;</w:t>
      </w:r>
    </w:p>
    <w:p>
      <w:pPr>
        <w:spacing w:after="0" w:line="165" w:lineRule="exact"/>
        <w:rPr>
          <w:rFonts w:ascii="Arial" w:cs="Arial" w:eastAsia="Arial" w:hAnsi="Arial"/>
          <w:sz w:val="22"/>
          <w:szCs w:val="22"/>
          <w:color w:val="auto"/>
        </w:rPr>
      </w:pPr>
    </w:p>
    <w:p>
      <w:pPr>
        <w:ind w:left="660" w:hanging="328"/>
        <w:spacing w:after="0" w:line="285" w:lineRule="auto"/>
        <w:tabs>
          <w:tab w:leader="none" w:pos="628"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change in the Bank’s loan or deposit interest rates that results in a material change to the net interest margin;</w:t>
      </w:r>
    </w:p>
    <w:p>
      <w:pPr>
        <w:spacing w:after="0" w:line="87"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Major marketing changes;</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change in management;</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A change in auditors or notification that the auditor’s reports may no longer be relied upon;</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Development of a significant new product, process, or service;</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Pending or threatened significant litigation, or the resolution of such litigation;</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Pending or threatened regulatory enforcement action or proceedings against the Company;</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Significant cybersecurity risks and incidents, including vulnerabilities and breaches;</w:t>
      </w:r>
    </w:p>
    <w:p>
      <w:pPr>
        <w:spacing w:after="0" w:line="152"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Impending bankruptcy, receivership or the existence of severe liquidity problems of the Company; and</w:t>
      </w:r>
    </w:p>
    <w:p>
      <w:pPr>
        <w:spacing w:after="0" w:line="165" w:lineRule="exact"/>
        <w:rPr>
          <w:rFonts w:ascii="Arial" w:cs="Arial" w:eastAsia="Arial" w:hAnsi="Arial"/>
          <w:sz w:val="22"/>
          <w:szCs w:val="22"/>
          <w:color w:val="auto"/>
        </w:rPr>
      </w:pPr>
    </w:p>
    <w:p>
      <w:pPr>
        <w:ind w:left="620" w:hanging="288"/>
        <w:spacing w:after="0"/>
        <w:tabs>
          <w:tab w:leader="none" w:pos="620"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imposition of a ban on trading in Company Securities or delisting from a stock exchange.</w:t>
      </w:r>
    </w:p>
    <w:p>
      <w:pPr>
        <w:spacing w:after="0" w:line="152"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Information that has not been disclosed to the public is generally considered to be nonpublic information. Information is considered to be available to the public only when (a) it has been released broadly to the marketplace, such as by a press release or a filing with the Securities and Exchange Commission (the “SEC”) that is also disclosed on the Company’s website; and (b) the investing public has had time to absorb the information fully. As a general rule, information is considered nonpublic until after the second full trading day after the information is publicly released. If, for example, the Company were to make an announcement before trading began on a Tuesday, the first time you could buy or sell Company Securities would be the opening of</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3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the market on Thursday (assuming you were not then aware of other Material Nonpublic Information). However, if the Company were to make an announcement after the start of trading on a Tuesday, the earliest you could buy or sell the Company’s Securities would be the start of trading on Friday. Depending on the particular circumstances, the Company may determine that a longer or shorter period should apply to the release of specific material nonpublic information.</w:t>
      </w:r>
    </w:p>
    <w:p>
      <w:pPr>
        <w:spacing w:after="0" w:line="9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All Company Personnel must understand the breadth of activities that constitute illegal insider trading and its consequences, which can be severe. U.S. enforcement officials and the staff of any exchange on which the Company Securities may be listed investigate and are very effective at detecting insider trading. Cases have been successfully prosecuted against trading by employees through foreign accounts, trading by family members and friends, and trading involving only a small number of shares.</w:t>
      </w:r>
    </w:p>
    <w:p>
      <w:pPr>
        <w:spacing w:after="0" w:line="6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Purpose</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It is the Company’s objective to comply with all securities laws.</w:t>
      </w:r>
    </w:p>
    <w:p>
      <w:pPr>
        <w:spacing w:after="0" w:line="18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 PENALTIES FOR NONCOMPLIANCE</w:t>
      </w:r>
    </w:p>
    <w:p>
      <w:pPr>
        <w:spacing w:after="0" w:line="25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Under some circumstances, federal securities laws impose substantial civil and criminal penalties on persons who purchase or sell securities while they possess Material Nonpublic Information about the issuer of the securities or the market for the securities. Persons who provide Material Nonpublic Information to another person who then purchases or sells the securities are subject to the same penalties.</w:t>
      </w:r>
    </w:p>
    <w:p>
      <w:pPr>
        <w:spacing w:after="0" w:line="207" w:lineRule="exact"/>
        <w:rPr>
          <w:sz w:val="20"/>
          <w:szCs w:val="20"/>
          <w:color w:val="auto"/>
        </w:rPr>
      </w:pPr>
    </w:p>
    <w:p>
      <w:pPr>
        <w:jc w:val="both"/>
        <w:ind w:left="660" w:hanging="328"/>
        <w:spacing w:after="0" w:line="245" w:lineRule="auto"/>
        <w:tabs>
          <w:tab w:leader="none" w:pos="62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Civil and Criminal Penalties. Potential penalties for engaging in insider trading or tipping include (a) imprisonment for up to 20 years, (b) criminal fines of up to $5 million (or $25 million for entities), and (c) civil fines of up to three times the profit gained or loss avoided.</w:t>
      </w:r>
    </w:p>
    <w:p>
      <w:pPr>
        <w:spacing w:after="0" w:line="197" w:lineRule="exact"/>
        <w:rPr>
          <w:rFonts w:ascii="Arial" w:cs="Arial" w:eastAsia="Arial" w:hAnsi="Arial"/>
          <w:sz w:val="22"/>
          <w:szCs w:val="22"/>
          <w:color w:val="auto"/>
        </w:rPr>
      </w:pPr>
    </w:p>
    <w:p>
      <w:pPr>
        <w:jc w:val="both"/>
        <w:ind w:left="660" w:hanging="328"/>
        <w:spacing w:after="0" w:line="251" w:lineRule="auto"/>
        <w:tabs>
          <w:tab w:leader="none" w:pos="628" w:val="left"/>
        </w:tabs>
        <w:numPr>
          <w:ilvl w:val="0"/>
          <w:numId w:val="134"/>
        </w:numPr>
        <w:rPr>
          <w:rFonts w:ascii="Arial" w:cs="Arial" w:eastAsia="Arial" w:hAnsi="Arial"/>
          <w:sz w:val="21"/>
          <w:szCs w:val="21"/>
          <w:color w:val="auto"/>
        </w:rPr>
      </w:pPr>
      <w:r>
        <w:rPr>
          <w:rFonts w:ascii="Arial" w:cs="Arial" w:eastAsia="Arial" w:hAnsi="Arial"/>
          <w:sz w:val="21"/>
          <w:szCs w:val="21"/>
          <w:color w:val="auto"/>
        </w:rPr>
        <w:t>Controlling Person Liability. If the Company fails to take appropriate steps to prevent illegal insider trading, the Company may have “controlling person” liability for a trading violation, with civil penalties of up to the greater of</w:t>
      </w:r>
    </w:p>
    <w:p>
      <w:pPr>
        <w:jc w:val="both"/>
        <w:ind w:left="660"/>
        <w:spacing w:after="0" w:line="237" w:lineRule="auto"/>
        <w:rPr>
          <w:rFonts w:ascii="Arial" w:cs="Arial" w:eastAsia="Arial" w:hAnsi="Arial"/>
          <w:sz w:val="21"/>
          <w:szCs w:val="21"/>
          <w:color w:val="auto"/>
        </w:rPr>
      </w:pPr>
      <w:r>
        <w:rPr>
          <w:rFonts w:ascii="Arial" w:cs="Arial" w:eastAsia="Arial" w:hAnsi="Arial"/>
          <w:sz w:val="22"/>
          <w:szCs w:val="22"/>
          <w:color w:val="auto"/>
        </w:rPr>
        <w:t>(a) $1 million and (b) three times the profit gained or loss avoided, as well as a criminal penalty of up to $25 million. The civil penalties can extend personal liability to the Company’s directors, officers and other supervisory personnel if they fail to take appropriate steps to prevent insider trading.</w:t>
      </w:r>
    </w:p>
    <w:p>
      <w:pPr>
        <w:spacing w:after="0" w:line="189" w:lineRule="exact"/>
        <w:rPr>
          <w:rFonts w:ascii="Arial" w:cs="Arial" w:eastAsia="Arial" w:hAnsi="Arial"/>
          <w:sz w:val="21"/>
          <w:szCs w:val="21"/>
          <w:color w:val="auto"/>
        </w:rPr>
      </w:pPr>
    </w:p>
    <w:p>
      <w:pPr>
        <w:jc w:val="both"/>
        <w:ind w:left="660" w:hanging="328"/>
        <w:spacing w:after="0" w:line="245" w:lineRule="auto"/>
        <w:tabs>
          <w:tab w:leader="none" w:pos="628" w:val="left"/>
        </w:tabs>
        <w:numPr>
          <w:ilvl w:val="0"/>
          <w:numId w:val="134"/>
        </w:numPr>
        <w:rPr>
          <w:rFonts w:ascii="Arial" w:cs="Arial" w:eastAsia="Arial" w:hAnsi="Arial"/>
          <w:sz w:val="22"/>
          <w:szCs w:val="22"/>
          <w:color w:val="auto"/>
        </w:rPr>
      </w:pPr>
      <w:r>
        <w:rPr>
          <w:rFonts w:ascii="Arial" w:cs="Arial" w:eastAsia="Arial" w:hAnsi="Arial"/>
          <w:sz w:val="22"/>
          <w:szCs w:val="22"/>
          <w:color w:val="auto"/>
        </w:rPr>
        <w:t>Disciplinary Action. Failure to comply with this Policy Statement may also subject you to Company-imposed sanctions, including dismissal for cause, whether or not your failure to comply with this Policy Statement results in a violation of law.</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B. SCOPE OF POLICY</w:t>
      </w:r>
    </w:p>
    <w:p>
      <w:pPr>
        <w:spacing w:after="0" w:line="259" w:lineRule="exact"/>
        <w:rPr>
          <w:sz w:val="20"/>
          <w:szCs w:val="20"/>
          <w:color w:val="auto"/>
        </w:rPr>
      </w:pPr>
    </w:p>
    <w:p>
      <w:pPr>
        <w:jc w:val="both"/>
        <w:ind w:left="660" w:hanging="328"/>
        <w:spacing w:after="0" w:line="242" w:lineRule="auto"/>
        <w:tabs>
          <w:tab w:leader="none" w:pos="665" w:val="left"/>
        </w:tabs>
        <w:numPr>
          <w:ilvl w:val="1"/>
          <w:numId w:val="135"/>
        </w:numPr>
        <w:rPr>
          <w:rFonts w:ascii="Arial" w:cs="Arial" w:eastAsia="Arial" w:hAnsi="Arial"/>
          <w:sz w:val="21"/>
          <w:szCs w:val="21"/>
          <w:color w:val="auto"/>
        </w:rPr>
      </w:pPr>
      <w:r>
        <w:rPr>
          <w:rFonts w:ascii="Arial" w:cs="Arial" w:eastAsia="Arial" w:hAnsi="Arial"/>
          <w:sz w:val="21"/>
          <w:szCs w:val="21"/>
          <w:u w:val="single" w:color="auto"/>
          <w:color w:val="auto"/>
        </w:rPr>
        <w:t>Persons Covered</w:t>
      </w:r>
      <w:r>
        <w:rPr>
          <w:rFonts w:ascii="Arial" w:cs="Arial" w:eastAsia="Arial" w:hAnsi="Arial"/>
          <w:sz w:val="21"/>
          <w:szCs w:val="21"/>
          <w:color w:val="auto"/>
        </w:rPr>
        <w:t>. As an officer, director, employee, agent or consultant of the Company, this Policy Statement applies to you. The same restrictions that apply to you apply to your family members who reside with you (including a spouse, child, a child away at college, stepchildren, grandchildren, parents, siblings and in-laws), anyone else who lives in your household and any family members who do not live in your household but whose transactions in Company Securities are directed by you or are subject to your influence or control – such as parents or children who consult with you before they trade in Company Securities (collectively referred to as “Family Members”). You are responsible for making sure that the purchase or sale of any security covered by this Policy Statement by any such person complies with this Policy Statement and therefore should make them aware of the need to confer with you before they trade in Company Securities, and you should treat all such transactions for the purposes of this Policy Statement and applicable securities laws as if the transactions were for your own account. This Policy Statement also applies to any entities that you influence or control, including any corporations, partnerships or trusts (collectively referred to as “Controlled Entities”), and transactions by these Controlled Entities should be treated for the purposes of this Policy Statement and applicable securities laws as if they were for your own account.</w:t>
      </w:r>
    </w:p>
    <w:p>
      <w:pPr>
        <w:spacing w:after="0" w:line="209" w:lineRule="exact"/>
        <w:rPr>
          <w:rFonts w:ascii="Arial" w:cs="Arial" w:eastAsia="Arial" w:hAnsi="Arial"/>
          <w:sz w:val="21"/>
          <w:szCs w:val="21"/>
          <w:color w:val="auto"/>
        </w:rPr>
      </w:pPr>
    </w:p>
    <w:p>
      <w:pPr>
        <w:jc w:val="both"/>
        <w:ind w:left="660" w:hanging="328"/>
        <w:spacing w:after="0" w:line="236" w:lineRule="auto"/>
        <w:tabs>
          <w:tab w:leader="none" w:pos="665"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Companies Covered</w:t>
      </w:r>
      <w:r>
        <w:rPr>
          <w:rFonts w:ascii="Arial" w:cs="Arial" w:eastAsia="Arial" w:hAnsi="Arial"/>
          <w:sz w:val="22"/>
          <w:szCs w:val="22"/>
          <w:color w:val="auto"/>
        </w:rPr>
        <w:t>. The prohibition on insider trading in this Policy Statement is not limited to trading in Company Securities. It includes trading in the securities of other companies based on your access to Material Nonpublic Information during the course of your employment at the Company, such as companies with which the Company (a) may be negotiating a major transaction, such as an acquisition, investment or sale or (b) may have a proposed, present or past lending relationship. Information that is not material to the Company may nevertheless be material to one of those other companies.</w:t>
      </w:r>
    </w:p>
    <w:p>
      <w:pPr>
        <w:spacing w:after="0" w:line="208" w:lineRule="exact"/>
        <w:rPr>
          <w:rFonts w:ascii="Arial" w:cs="Arial" w:eastAsia="Arial" w:hAnsi="Arial"/>
          <w:sz w:val="22"/>
          <w:szCs w:val="22"/>
          <w:color w:val="auto"/>
        </w:rPr>
      </w:pPr>
    </w:p>
    <w:p>
      <w:pPr>
        <w:jc w:val="both"/>
        <w:ind w:left="660" w:hanging="328"/>
        <w:spacing w:after="0" w:line="239" w:lineRule="auto"/>
        <w:tabs>
          <w:tab w:leader="none" w:pos="665" w:val="left"/>
        </w:tabs>
        <w:numPr>
          <w:ilvl w:val="1"/>
          <w:numId w:val="135"/>
        </w:numPr>
        <w:rPr>
          <w:rFonts w:ascii="Arial" w:cs="Arial" w:eastAsia="Arial" w:hAnsi="Arial"/>
          <w:sz w:val="22"/>
          <w:szCs w:val="22"/>
          <w:color w:val="auto"/>
        </w:rPr>
      </w:pPr>
      <w:r>
        <w:rPr>
          <w:rFonts w:ascii="Arial" w:cs="Arial" w:eastAsia="Arial" w:hAnsi="Arial"/>
          <w:sz w:val="22"/>
          <w:szCs w:val="22"/>
          <w:u w:val="single" w:color="auto"/>
          <w:color w:val="auto"/>
        </w:rPr>
        <w:t>Transactions Covered</w:t>
      </w:r>
      <w:r>
        <w:rPr>
          <w:rFonts w:ascii="Arial" w:cs="Arial" w:eastAsia="Arial" w:hAnsi="Arial"/>
          <w:sz w:val="22"/>
          <w:szCs w:val="22"/>
          <w:color w:val="auto"/>
        </w:rPr>
        <w:t>. Transactions include gifts and purchases and sales of stock, derivative securities such as any swaps or options (including puts and calls), warrants, preferred stock and debt securities (debentures, bonds and notes), convertible securities, options to purchase stock, units, or any other type of securities that may be issued by Amalgamated Financial Corp. (collectively, “</w:t>
      </w:r>
      <w:r>
        <w:rPr>
          <w:rFonts w:ascii="Arial" w:cs="Arial" w:eastAsia="Arial" w:hAnsi="Arial"/>
          <w:sz w:val="22"/>
          <w:szCs w:val="22"/>
          <w:b w:val="1"/>
          <w:bCs w:val="1"/>
          <w:color w:val="auto"/>
        </w:rPr>
        <w:t>Company Securities</w:t>
      </w:r>
      <w:r>
        <w:rPr>
          <w:rFonts w:ascii="Arial" w:cs="Arial" w:eastAsia="Arial" w:hAnsi="Arial"/>
          <w:sz w:val="22"/>
          <w:szCs w:val="22"/>
          <w:color w:val="auto"/>
        </w:rPr>
        <w:t>”).</w:t>
      </w:r>
    </w:p>
    <w:p>
      <w:pPr>
        <w:spacing w:after="0" w:line="169" w:lineRule="exact"/>
        <w:rPr>
          <w:rFonts w:ascii="Arial" w:cs="Arial" w:eastAsia="Arial" w:hAnsi="Arial"/>
          <w:sz w:val="22"/>
          <w:szCs w:val="22"/>
          <w:color w:val="auto"/>
        </w:rPr>
      </w:pPr>
    </w:p>
    <w:p>
      <w:pPr>
        <w:ind w:left="460" w:hanging="452"/>
        <w:spacing w:after="0"/>
        <w:tabs>
          <w:tab w:leader="none" w:pos="460" w:val="left"/>
        </w:tabs>
        <w:numPr>
          <w:ilvl w:val="0"/>
          <w:numId w:val="136"/>
        </w:numPr>
        <w:rPr>
          <w:rFonts w:ascii="Arial" w:cs="Arial" w:eastAsia="Arial" w:hAnsi="Arial"/>
          <w:sz w:val="36"/>
          <w:szCs w:val="36"/>
          <w:b w:val="1"/>
          <w:bCs w:val="1"/>
          <w:color w:val="auto"/>
        </w:rPr>
      </w:pPr>
      <w:r>
        <w:rPr>
          <w:rFonts w:ascii="Arial" w:cs="Arial" w:eastAsia="Arial" w:hAnsi="Arial"/>
          <w:sz w:val="36"/>
          <w:szCs w:val="36"/>
          <w:b w:val="1"/>
          <w:bCs w:val="1"/>
          <w:color w:val="auto"/>
        </w:rPr>
        <w:t>STATEMENT OF POLICY</w:t>
      </w:r>
    </w:p>
    <w:p>
      <w:pPr>
        <w:spacing w:after="0" w:line="258" w:lineRule="exact"/>
        <w:rPr>
          <w:rFonts w:ascii="Arial" w:cs="Arial" w:eastAsia="Arial" w:hAnsi="Arial"/>
          <w:sz w:val="36"/>
          <w:szCs w:val="36"/>
          <w:b w:val="1"/>
          <w:bCs w:val="1"/>
          <w:color w:val="auto"/>
        </w:rPr>
      </w:pPr>
    </w:p>
    <w:p>
      <w:pPr>
        <w:ind w:left="660" w:hanging="328"/>
        <w:spacing w:after="0"/>
        <w:tabs>
          <w:tab w:leader="none" w:pos="660" w:val="left"/>
        </w:tabs>
        <w:numPr>
          <w:ilvl w:val="1"/>
          <w:numId w:val="136"/>
        </w:numPr>
        <w:rPr>
          <w:rFonts w:ascii="Arial" w:cs="Arial" w:eastAsia="Arial" w:hAnsi="Arial"/>
          <w:sz w:val="22"/>
          <w:szCs w:val="22"/>
          <w:color w:val="auto"/>
        </w:rPr>
      </w:pPr>
      <w:r>
        <w:rPr>
          <w:rFonts w:ascii="Arial" w:cs="Arial" w:eastAsia="Arial" w:hAnsi="Arial"/>
          <w:sz w:val="22"/>
          <w:szCs w:val="22"/>
          <w:u w:val="single" w:color="auto"/>
          <w:color w:val="auto"/>
        </w:rPr>
        <w:t>No Trading on Inside Information</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jc w:val="both"/>
        <w:ind w:firstLine="405"/>
        <w:spacing w:after="0" w:line="238" w:lineRule="auto"/>
        <w:rPr>
          <w:rFonts w:ascii="Arial" w:cs="Arial" w:eastAsia="Arial" w:hAnsi="Arial"/>
          <w:sz w:val="22"/>
          <w:szCs w:val="22"/>
          <w:color w:val="auto"/>
        </w:rPr>
      </w:pPr>
      <w:r>
        <w:rPr>
          <w:rFonts w:ascii="Arial" w:cs="Arial" w:eastAsia="Arial" w:hAnsi="Arial"/>
          <w:sz w:val="22"/>
          <w:szCs w:val="22"/>
          <w:color w:val="auto"/>
        </w:rPr>
        <w:t>a. Company Securities. If you have access to Material Nonpublic Information regarding the Company, you are prohibited from trading in any Company Securities, directly or through family members or other persons or entities, until the information has been released to the public. Company Personnel having access to Material Nonpublic Information regarding the Company must consult with the Company’s Chief Legal Officer, who will serve as the“Securities</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18"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Compliance Officer” for purposes of this Policy Statement (who will consult with the Company’s securities counsel if necessary), and in the Chief Legal Officer’s absence, the Chief Executive Officer or another executive officer designated by the Securities Compliance Officer, before executing any trade of Company Securities. Among the factors that the Securities Compliance Officer will consider, with counsel if appropriate, is whether Material Nonpublic Information regarding the Company has not yet been announced, the amount of time that has passed since the announcement of material information about the Company, and the timing of the proposed trade compared with the Company’s financial reporting cycle.</w:t>
      </w:r>
    </w:p>
    <w:p>
      <w:pPr>
        <w:spacing w:after="0" w:line="204"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b. Securities of Other Companies. If you, in the course of your employment or other association with the Company, have access to confidential information or Material Nonpublic Information about other companies, you must observe the same restrictions with respect to that information and with respect to trading in the securities of those companies as you do with respect to trading in Company Securities.</w:t>
      </w:r>
    </w:p>
    <w:p>
      <w:pPr>
        <w:spacing w:after="0" w:line="203" w:lineRule="exact"/>
        <w:rPr>
          <w:sz w:val="20"/>
          <w:szCs w:val="20"/>
          <w:color w:val="auto"/>
        </w:rPr>
      </w:pPr>
    </w:p>
    <w:p>
      <w:pPr>
        <w:ind w:left="660" w:hanging="328"/>
        <w:spacing w:after="0"/>
        <w:tabs>
          <w:tab w:leader="none" w:pos="660"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No “Tipping.</w:t>
      </w:r>
      <w:r>
        <w:rPr>
          <w:rFonts w:ascii="Arial" w:cs="Arial" w:eastAsia="Arial" w:hAnsi="Arial"/>
          <w:sz w:val="22"/>
          <w:szCs w:val="22"/>
          <w:color w:val="auto"/>
        </w:rPr>
        <w:t>”</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You may not pass Material Nonpublic Information on to others or recommend to anyone the purchase or sale of any securities when you are aware of such information. This practice, known as “tipping,” also violates the securities laws and can result in the same civil and criminal penalties that apply to insider trading, even though you did not trade and did not gain any benefit from another’s trading.</w:t>
      </w:r>
    </w:p>
    <w:p>
      <w:pPr>
        <w:spacing w:after="0" w:line="207"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 Exception for Hardship</w:t>
      </w:r>
      <w:r>
        <w:rPr>
          <w:rFonts w:ascii="Arial" w:cs="Arial" w:eastAsia="Arial" w:hAnsi="Arial"/>
          <w:sz w:val="22"/>
          <w:szCs w:val="22"/>
          <w:color w:val="auto"/>
        </w:rPr>
        <w: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The existence of a personal financial emergency does not excuse you from compliance with this Policy Statement.</w:t>
      </w:r>
    </w:p>
    <w:p>
      <w:pPr>
        <w:spacing w:after="0" w:line="213" w:lineRule="exact"/>
        <w:rPr>
          <w:sz w:val="20"/>
          <w:szCs w:val="20"/>
          <w:color w:val="auto"/>
        </w:rPr>
      </w:pPr>
    </w:p>
    <w:p>
      <w:pPr>
        <w:ind w:left="660" w:hanging="328"/>
        <w:spacing w:after="0"/>
        <w:tabs>
          <w:tab w:leader="none" w:pos="660"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Blackout and Pre-Clearance Procedures</w:t>
      </w:r>
      <w:r>
        <w:rPr>
          <w:rFonts w:ascii="Arial" w:cs="Arial" w:eastAsia="Arial" w:hAnsi="Arial"/>
          <w:sz w:val="22"/>
          <w:szCs w:val="22"/>
          <w:color w:val="auto"/>
        </w:rPr>
        <w:t>.</w:t>
      </w:r>
    </w:p>
    <w:p>
      <w:pPr>
        <w:spacing w:after="0" w:line="1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To help prevent inadvertent violations of the federal securities laws and to avoid even the appearance of trading on the basis of Material Nonpublic Information, the Company’s Board of Directors has adopted an addendum to this Policy Statement (the “Addendum”) that applies to directors, executive officers subject to Section 16 of the Securities Exchange Act of 1934, as amended (“executive officers”), and certain designated employees and agents of the Company and its subsidiaries who have routine access to Material Nonpublic Information about the Company. The Company will notify you if you are subject to the Addendum.</w:t>
      </w:r>
    </w:p>
    <w:p>
      <w:pPr>
        <w:spacing w:after="0" w:line="207"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Addendum generally prohibits persons covered by it from trading in Company Securities during quarterly blackout periods (beginning 15 days before the end of a quarter and ending after the second full business day following the public announcement of the Company’s earnings for that quarter) and during certain event-specific blackouts. As more fully set forth in the Addendum, directors and executive officers of the Company must also pre-clear all transactions in Company Securities with the Securities Compliance Officer.</w:t>
      </w:r>
    </w:p>
    <w:p>
      <w:pPr>
        <w:spacing w:after="0" w:line="17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 ADDITIONAL GUIDANCE</w:t>
      </w:r>
    </w:p>
    <w:p>
      <w:pPr>
        <w:spacing w:after="0" w:line="259" w:lineRule="exact"/>
        <w:rPr>
          <w:sz w:val="20"/>
          <w:szCs w:val="20"/>
          <w:color w:val="auto"/>
        </w:rPr>
      </w:pPr>
    </w:p>
    <w:p>
      <w:pPr>
        <w:jc w:val="both"/>
        <w:ind w:right="20"/>
        <w:spacing w:after="0" w:line="259" w:lineRule="auto"/>
        <w:rPr>
          <w:sz w:val="20"/>
          <w:szCs w:val="20"/>
          <w:color w:val="auto"/>
        </w:rPr>
      </w:pPr>
      <w:r>
        <w:rPr>
          <w:rFonts w:ascii="Arial" w:cs="Arial" w:eastAsia="Arial" w:hAnsi="Arial"/>
          <w:sz w:val="22"/>
          <w:szCs w:val="22"/>
          <w:color w:val="auto"/>
        </w:rPr>
        <w:t>The Company considers it improper and inappropriate for those employed by or associated with the Company to engage in short-term or speculative transactions in Company Securities or</w:t>
      </w:r>
    </w:p>
    <w:p>
      <w:pPr>
        <w:sectPr>
          <w:pgSz w:w="11900" w:h="16838" w:orient="portrait"/>
          <w:cols w:equalWidth="0" w:num="1">
            <w:col w:w="11240"/>
          </w:cols>
          <w:pgMar w:left="320" w:top="1440" w:right="339" w:bottom="1440" w:gutter="0" w:footer="0" w:header="0"/>
        </w:sectPr>
      </w:pPr>
    </w:p>
    <w:bookmarkStart w:id="247" w:name="page248"/>
    <w:bookmarkEnd w:id="247"/>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in other transactions in Company Securities that may lead to inadvertent violations of the insider trading laws.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Accordingly, your trading in Company Securities is subject to the following additional guidance.</w:t>
      </w:r>
    </w:p>
    <w:p>
      <w:pPr>
        <w:spacing w:after="0" w:line="200" w:lineRule="exact"/>
        <w:rPr>
          <w:sz w:val="20"/>
          <w:szCs w:val="20"/>
          <w:color w:val="auto"/>
        </w:rPr>
      </w:pPr>
    </w:p>
    <w:p>
      <w:pPr>
        <w:ind w:left="660" w:right="20" w:hanging="328"/>
        <w:spacing w:after="0" w:line="259" w:lineRule="auto"/>
        <w:tabs>
          <w:tab w:leader="none" w:pos="66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Short Sales. You may not engage in short sales of Company Securities (sales of securities that are not then owned), including a “sale against the box” (a sale with delayed delivery).</w:t>
      </w:r>
    </w:p>
    <w:p>
      <w:pPr>
        <w:spacing w:after="0" w:line="183" w:lineRule="exact"/>
        <w:rPr>
          <w:rFonts w:ascii="Arial" w:cs="Arial" w:eastAsia="Arial" w:hAnsi="Arial"/>
          <w:sz w:val="22"/>
          <w:szCs w:val="22"/>
          <w:color w:val="auto"/>
        </w:rPr>
      </w:pPr>
    </w:p>
    <w:p>
      <w:pPr>
        <w:jc w:val="both"/>
        <w:ind w:left="660" w:hanging="328"/>
        <w:spacing w:after="0"/>
        <w:tabs>
          <w:tab w:leader="none" w:pos="66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Speculating. You may not undertake speculating in Company Securities, which may include buying with the intention of quickly reselling such securities, or selling Company Securities with the intention of quickly buying such securities (other than in connection with the acquisition and sale of shares issued under the Company’s stock option plan or any other Company benefit plan or arrangement)</w:t>
      </w:r>
    </w:p>
    <w:p>
      <w:pPr>
        <w:spacing w:after="0" w:line="203" w:lineRule="exact"/>
        <w:rPr>
          <w:rFonts w:ascii="Arial" w:cs="Arial" w:eastAsia="Arial" w:hAnsi="Arial"/>
          <w:sz w:val="22"/>
          <w:szCs w:val="22"/>
          <w:color w:val="auto"/>
        </w:rPr>
      </w:pPr>
    </w:p>
    <w:p>
      <w:pPr>
        <w:ind w:left="660" w:hanging="328"/>
        <w:spacing w:after="0" w:line="259" w:lineRule="auto"/>
        <w:tabs>
          <w:tab w:leader="none" w:pos="66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Publicly Traded Options. You may not engage in transactions in publicly traded options, such as puts, calls and other derivative securities, on an exchange or in any other organized market.</w:t>
      </w:r>
    </w:p>
    <w:p>
      <w:pPr>
        <w:spacing w:after="0" w:line="183" w:lineRule="exact"/>
        <w:rPr>
          <w:rFonts w:ascii="Arial" w:cs="Arial" w:eastAsia="Arial" w:hAnsi="Arial"/>
          <w:sz w:val="22"/>
          <w:szCs w:val="22"/>
          <w:color w:val="auto"/>
        </w:rPr>
      </w:pPr>
    </w:p>
    <w:p>
      <w:pPr>
        <w:jc w:val="both"/>
        <w:ind w:left="660" w:hanging="328"/>
        <w:spacing w:after="0" w:line="236" w:lineRule="auto"/>
        <w:tabs>
          <w:tab w:leader="none" w:pos="66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Standing Orders. Standing orders should be used only for a very brief period of time. A standing order placed with a broker to sell or purchase stock at a specified price leaves you with no control over the timing of the transaction. A standing order transaction executed by the broker when you are aware of Material Nonpublic Information may result in unlawful insider trading.</w:t>
      </w:r>
    </w:p>
    <w:p>
      <w:pPr>
        <w:spacing w:after="0" w:line="206" w:lineRule="exact"/>
        <w:rPr>
          <w:rFonts w:ascii="Arial" w:cs="Arial" w:eastAsia="Arial" w:hAnsi="Arial"/>
          <w:sz w:val="22"/>
          <w:szCs w:val="22"/>
          <w:color w:val="auto"/>
        </w:rPr>
      </w:pPr>
    </w:p>
    <w:p>
      <w:pPr>
        <w:jc w:val="both"/>
        <w:ind w:left="660" w:hanging="328"/>
        <w:spacing w:after="0" w:line="236" w:lineRule="auto"/>
        <w:tabs>
          <w:tab w:leader="none" w:pos="66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Hedging Transactions. Certain forms of hedging or monetization transactions, such as zero-cost collars and forward sale contracts, allow an employee or director to lock in much of the value of his or her stock holdings, often in exchange for all or part of the potential for upside appreciation in the stock. These transactions allow the employee or director to continue to own the covered securities, but without the full risks and rewards of ownership. When that occurs, the director or employee may no longer have the same objectives as the Company’s other shareholders. Therefore, directors and employees are prohibited from engaging in any hedging or monetization transactions involving Company Securities.</w:t>
      </w:r>
    </w:p>
    <w:p>
      <w:pPr>
        <w:spacing w:after="0" w:line="202" w:lineRule="exact"/>
        <w:rPr>
          <w:rFonts w:ascii="Arial" w:cs="Arial" w:eastAsia="Arial" w:hAnsi="Arial"/>
          <w:sz w:val="22"/>
          <w:szCs w:val="22"/>
          <w:color w:val="auto"/>
        </w:rPr>
      </w:pPr>
    </w:p>
    <w:p>
      <w:pPr>
        <w:jc w:val="both"/>
        <w:ind w:left="660" w:hanging="328"/>
        <w:spacing w:after="0" w:line="242" w:lineRule="auto"/>
        <w:tabs>
          <w:tab w:leader="none" w:pos="665" w:val="left"/>
        </w:tabs>
        <w:numPr>
          <w:ilvl w:val="0"/>
          <w:numId w:val="140"/>
        </w:numPr>
        <w:rPr>
          <w:rFonts w:ascii="Arial" w:cs="Arial" w:eastAsia="Arial" w:hAnsi="Arial"/>
          <w:sz w:val="21"/>
          <w:szCs w:val="21"/>
          <w:color w:val="auto"/>
        </w:rPr>
      </w:pPr>
      <w:r>
        <w:rPr>
          <w:rFonts w:ascii="Arial" w:cs="Arial" w:eastAsia="Arial" w:hAnsi="Arial"/>
          <w:sz w:val="21"/>
          <w:szCs w:val="21"/>
          <w:color w:val="auto"/>
        </w:rPr>
        <w:t>Margin Accounts and Pledges. 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Company Securities, you are prohibited from holding Company Securities in a margin account or pledging Company Securities as collateral for a loan.</w:t>
      </w:r>
    </w:p>
    <w:p>
      <w:pPr>
        <w:spacing w:after="0" w:line="4" w:lineRule="exact"/>
        <w:rPr>
          <w:rFonts w:ascii="Arial" w:cs="Arial" w:eastAsia="Arial" w:hAnsi="Arial"/>
          <w:sz w:val="21"/>
          <w:szCs w:val="21"/>
          <w:color w:val="auto"/>
        </w:rPr>
      </w:pPr>
    </w:p>
    <w:p>
      <w:pPr>
        <w:jc w:val="both"/>
        <w:ind w:left="660" w:hanging="328"/>
        <w:spacing w:after="0" w:line="235" w:lineRule="auto"/>
        <w:tabs>
          <w:tab w:leader="none" w:pos="665" w:val="left"/>
        </w:tabs>
        <w:numPr>
          <w:ilvl w:val="0"/>
          <w:numId w:val="140"/>
        </w:numPr>
        <w:rPr>
          <w:rFonts w:ascii="Arial" w:cs="Arial" w:eastAsia="Arial" w:hAnsi="Arial"/>
          <w:sz w:val="22"/>
          <w:szCs w:val="22"/>
          <w:color w:val="auto"/>
        </w:rPr>
      </w:pPr>
      <w:r>
        <w:rPr>
          <w:rFonts w:ascii="Arial" w:cs="Arial" w:eastAsia="Arial" w:hAnsi="Arial"/>
          <w:sz w:val="22"/>
          <w:szCs w:val="22"/>
          <w:color w:val="auto"/>
        </w:rPr>
        <w:t>Gifts. Bona fide gifts are acceptable, unless the donor gifts the securities while they are aware of Material Nonpublic Information and there is a reason to believe that the donee will sell the securities before the Material Nonpublic Information is disclosed. Gifts are subject to pre-clearance procedures as set forth in the Addendum.</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9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E. RULE 10B5-1 PLANS</w:t>
      </w:r>
    </w:p>
    <w:p>
      <w:pPr>
        <w:spacing w:after="0" w:line="25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Rule 10b5-1 under the Securities Exchange Act of 1934, as amended, provides a defense from insider trading liability under Rule 10b5-1. In order to be eligible to rely on this defense, a person subject to this Policy Statement (a “Participant”) must enter into a Rule 10b5-1 plan for transactions in Company Securities that meets certain conditions specified in the Rule (a “Rule 10b5-1 Plan”). If the plan meets the requirements of Rule 10b5-1 and this Policy Statement, the Company Securities may be purchased or sold without regard to certain insider trading restrictions.</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22"/>
          <w:szCs w:val="22"/>
          <w:color w:val="auto"/>
        </w:rPr>
        <w:t>Any Rule 10b5-1 Plan must be submitted for approval five days prior to the entry into the Rule 10b5-1 Plan. No further pre-approval of transactions conducted pursuant to the Rule 10b5- 1 Plan will be required.</w:t>
      </w:r>
    </w:p>
    <w:p>
      <w:pPr>
        <w:spacing w:after="0" w:line="88" w:lineRule="exact"/>
        <w:rPr>
          <w:sz w:val="20"/>
          <w:szCs w:val="20"/>
          <w:color w:val="auto"/>
        </w:rPr>
      </w:pPr>
    </w:p>
    <w:p>
      <w:pPr>
        <w:ind w:left="660" w:hanging="328"/>
        <w:spacing w:after="0"/>
        <w:tabs>
          <w:tab w:leader="none" w:pos="660" w:val="left"/>
        </w:tabs>
        <w:numPr>
          <w:ilvl w:val="0"/>
          <w:numId w:val="141"/>
        </w:numPr>
        <w:rPr>
          <w:rFonts w:ascii="Arial" w:cs="Arial" w:eastAsia="Arial" w:hAnsi="Arial"/>
          <w:sz w:val="22"/>
          <w:szCs w:val="22"/>
          <w:color w:val="auto"/>
        </w:rPr>
      </w:pPr>
      <w:r>
        <w:rPr>
          <w:rFonts w:ascii="Arial" w:cs="Arial" w:eastAsia="Arial" w:hAnsi="Arial"/>
          <w:sz w:val="22"/>
          <w:szCs w:val="22"/>
          <w:u w:val="single" w:color="auto"/>
          <w:color w:val="auto"/>
        </w:rPr>
        <w:t>Reporting</w:t>
      </w:r>
      <w:r>
        <w:rPr>
          <w:rFonts w:ascii="Arial" w:cs="Arial" w:eastAsia="Arial" w:hAnsi="Arial"/>
          <w:sz w:val="22"/>
          <w:szCs w:val="22"/>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 copy of this Policy Statement will be disclosed as an exhibit to the Company’s annual report on Form 10-K.</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When a director or officer has adopted, modified or terminated a Rule 10b5-1 Plan or similar arrangement during a fiscal quarter, the event will be disclosed on the report on Form 10-Q or Form 10-K covering that quarter. The disclosure will identify whether the trading arrangement is intended to satisfy the affirmative defense of Rule 10b5-1(c), and it will also include a description of the material terms of each Rule10b5-1 Plan, other than pricing, including the name and title of the director or officer; the date the plan was adopted, modified or terminated; the plan’s duration; and the total amount of Company Securities to be purchased or sold under the plan.</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Each Participant understands that the approval or adoption of a pre-planned selling program in no way reduces or eliminates such person’s obligations under Section 16 of the Securities Exchange Act of 1934, as amended, including such person’s disclosure and short-swing trading liabilities thereunder. A Participant will check a checkbox on Forms 4 and 5 reporting their transactions in Company Securities, indicating whether a transaction reported on that form was made under a plan intended to satisfy the affirmative defense conditions of Rule 10b5-1, and providing the date the plan was adopted.</w:t>
      </w:r>
    </w:p>
    <w:p>
      <w:pPr>
        <w:spacing w:after="0" w:line="104" w:lineRule="exact"/>
        <w:rPr>
          <w:sz w:val="20"/>
          <w:szCs w:val="20"/>
          <w:color w:val="auto"/>
        </w:rPr>
      </w:pPr>
    </w:p>
    <w:p>
      <w:pPr>
        <w:ind w:left="660" w:hanging="328"/>
        <w:spacing w:after="0"/>
        <w:tabs>
          <w:tab w:leader="none" w:pos="660"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Rule 10b5-1 Plan Requirements</w:t>
      </w:r>
      <w:r>
        <w:rPr>
          <w:rFonts w:ascii="Arial" w:cs="Arial" w:eastAsia="Arial" w:hAnsi="Arial"/>
          <w:sz w:val="22"/>
          <w:szCs w:val="22"/>
          <w:color w:val="auto"/>
        </w:rPr>
        <w:t>.</w:t>
      </w:r>
    </w:p>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22"/>
          <w:szCs w:val="22"/>
          <w:color w:val="auto"/>
        </w:rPr>
        <w:t>A Rule 10b5-1 Plan must be approved by the Securities Compliance Officer and meet the requirements of Rule 10b5-1 and this Policy Statement. Any Rule 10b5-1 Plan must be submitted for approval five business days prior to the entry into the Rule 10b5-1 Plan. No further pre-approval of transactions conducted pursuant to the Rule 10b5-1 Plan will be required.</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color w:val="auto"/>
        </w:rPr>
        <w:t>The following requirements apply to all Rule 10b5-1 Plans:</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32" w:lineRule="exact"/>
        <w:rPr>
          <w:sz w:val="20"/>
          <w:szCs w:val="20"/>
          <w:color w:val="auto"/>
        </w:rPr>
      </w:pPr>
    </w:p>
    <w:p>
      <w:pPr>
        <w:jc w:val="both"/>
        <w:ind w:left="328" w:hanging="328"/>
        <w:spacing w:after="0" w:line="260" w:lineRule="auto"/>
        <w:tabs>
          <w:tab w:leader="none" w:pos="2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director or officer may not commence purchases or sales under a Rule 10b5-1 Plan until expiration of a cooling-off period consisting of the later of (1) 90 days after the adoption or modification of a Rule 10b5-1 Plan or (2) two business days following the disclosure of the Company’s financial results in a Form 10-Q or Form 10-K for the completed fiscal quarter in which the Rule 10b5-1 Plan was adopted. The cooling-off period will not exceed 120 days following adoption or modification of the Rule 10b5-1 Plan. A Participant who is not a director or officer may not commence purchases or sales under a Rule 10b5-1 Plan until the expiration of a cooling-off period that is 30 days after the adoption or modification of the Rule 10b5-1 Plan.</w:t>
      </w:r>
    </w:p>
    <w:p>
      <w:pPr>
        <w:spacing w:after="0" w:line="106" w:lineRule="exact"/>
        <w:rPr>
          <w:rFonts w:ascii="Arial" w:cs="Arial" w:eastAsia="Arial" w:hAnsi="Arial"/>
          <w:sz w:val="22"/>
          <w:szCs w:val="22"/>
          <w:color w:val="auto"/>
        </w:rPr>
      </w:pPr>
    </w:p>
    <w:p>
      <w:pPr>
        <w:jc w:val="both"/>
        <w:ind w:left="328" w:hanging="328"/>
        <w:spacing w:after="0" w:line="265" w:lineRule="auto"/>
        <w:tabs>
          <w:tab w:leader="none" w:pos="2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director or officer must certify in their Rule 10b5-1 Plan that on the date of adoption or modification: they are not aware of any Material Nonpublic Information about the Company Securities or the Company; and they are adopting the Rule 10b5-1 Plan in good faith and not as part of a scheme to evade the prohibitions of Section 10(b) and Rule 10b5-1 under the Securities Exchange Act, as amended.</w:t>
      </w:r>
    </w:p>
    <w:p>
      <w:pPr>
        <w:spacing w:after="0" w:line="111" w:lineRule="exact"/>
        <w:rPr>
          <w:rFonts w:ascii="Arial" w:cs="Arial" w:eastAsia="Arial" w:hAnsi="Arial"/>
          <w:sz w:val="22"/>
          <w:szCs w:val="22"/>
          <w:color w:val="auto"/>
        </w:rPr>
      </w:pPr>
    </w:p>
    <w:p>
      <w:pPr>
        <w:jc w:val="both"/>
        <w:ind w:left="328" w:hanging="328"/>
        <w:spacing w:after="0" w:line="259" w:lineRule="auto"/>
        <w:tabs>
          <w:tab w:leader="none" w:pos="2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Participant must not adopt multiple overlapping Rule 10b5-1 Plans, except as permitted under Rule 10b5-1. These exceptions may include: entry into one later-commencing Rule 10b5-1 Plan under which trading is not authorized to begin until after all trades under the earlier-commencing Rule 10b5-1 Plan are completed or expired without execution, as long as the first trade under the later-commencing plan is not scheduled during the cooling-off period that would be applicable with respect to the later-commencing plan if its date of adoption were deemed to be the date of termination of the earlier-commencing plan; and “Sell-to-cover” provisions for the sale of only such Company Securities as are necessary to satisfy tax-withholding obligations arising exclusively from the vesting of a compensatory award, as long as the Participant does not otherwise exercise control over the timing of such sale.</w:t>
      </w:r>
    </w:p>
    <w:p>
      <w:pPr>
        <w:spacing w:after="0" w:line="121" w:lineRule="exact"/>
        <w:rPr>
          <w:rFonts w:ascii="Arial" w:cs="Arial" w:eastAsia="Arial" w:hAnsi="Arial"/>
          <w:sz w:val="22"/>
          <w:szCs w:val="22"/>
          <w:color w:val="auto"/>
        </w:rPr>
      </w:pPr>
    </w:p>
    <w:p>
      <w:pPr>
        <w:jc w:val="both"/>
        <w:ind w:left="328" w:hanging="328"/>
        <w:spacing w:after="0" w:line="260" w:lineRule="auto"/>
        <w:tabs>
          <w:tab w:leader="none" w:pos="2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 any 12-month period, a Participant is limited to one “single-trade plan” — one designed to effect the open market purchase or sale of the total amount of the Company Securities subject to the plan as a single transaction. A Rule 10b5-1 Plan will not be treated as a single trade plan if, for example, it gives the broker discretion over whether to execute the plan as a single transaction, or provides that the broker’s future acts will depend on events or data not known at the time the plan is entered into, and it is reasonably foreseeable at the time the plan is entered into that the plan might result in multiple trades. “Sell-to-cover” plans are exempt from this limitation.</w:t>
      </w:r>
    </w:p>
    <w:p>
      <w:pPr>
        <w:spacing w:after="0" w:line="106" w:lineRule="exact"/>
        <w:rPr>
          <w:rFonts w:ascii="Arial" w:cs="Arial" w:eastAsia="Arial" w:hAnsi="Arial"/>
          <w:sz w:val="22"/>
          <w:szCs w:val="22"/>
          <w:color w:val="auto"/>
        </w:rPr>
      </w:pPr>
    </w:p>
    <w:p>
      <w:pPr>
        <w:ind w:left="328" w:hanging="328"/>
        <w:spacing w:after="0" w:line="285" w:lineRule="auto"/>
        <w:tabs>
          <w:tab w:leader="none" w:pos="2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Participant may not enter into any sale of Company Securities outside of a Rule 10b5-1 Plan while the plan is in effect.</w:t>
      </w:r>
    </w:p>
    <w:p>
      <w:pPr>
        <w:spacing w:after="0" w:line="87" w:lineRule="exact"/>
        <w:rPr>
          <w:rFonts w:ascii="Arial" w:cs="Arial" w:eastAsia="Arial" w:hAnsi="Arial"/>
          <w:sz w:val="22"/>
          <w:szCs w:val="22"/>
          <w:color w:val="auto"/>
        </w:rPr>
      </w:pPr>
    </w:p>
    <w:p>
      <w:pPr>
        <w:jc w:val="both"/>
        <w:ind w:left="328" w:hanging="328"/>
        <w:spacing w:after="0" w:line="265" w:lineRule="auto"/>
        <w:tabs>
          <w:tab w:leader="none" w:pos="296" w:val="left"/>
        </w:tabs>
        <w:numPr>
          <w:ilvl w:val="0"/>
          <w:numId w:val="143"/>
        </w:numPr>
        <w:rPr>
          <w:rFonts w:ascii="Arial" w:cs="Arial" w:eastAsia="Arial" w:hAnsi="Arial"/>
          <w:sz w:val="22"/>
          <w:szCs w:val="22"/>
          <w:color w:val="auto"/>
        </w:rPr>
      </w:pPr>
      <w:r>
        <w:rPr>
          <w:rFonts w:ascii="Arial" w:cs="Arial" w:eastAsia="Arial" w:hAnsi="Arial"/>
          <w:sz w:val="22"/>
          <w:szCs w:val="22"/>
          <w:color w:val="auto"/>
        </w:rPr>
        <w:t>A Participant must use the broker approved by the Company. The substitution of a broker that is executing trades pursuant to a Rule 10b5-1 Plan will not be a modification of the plan, as long as the purchase or sales instructions applicable to the substitute and substituted broker are identical with respect to the prices, execution dates and amount of securities to be purchased or sold.</w:t>
      </w:r>
    </w:p>
    <w:p>
      <w:pPr>
        <w:sectPr>
          <w:pgSz w:w="11900" w:h="16838" w:orient="portrait"/>
          <w:cols w:equalWidth="0" w:num="1">
            <w:col w:w="10908"/>
          </w:cols>
          <w:pgMar w:left="652" w:top="1440" w:right="339" w:bottom="1440" w:gutter="0" w:footer="0" w:header="0"/>
        </w:sectPr>
      </w:pPr>
    </w:p>
    <w:bookmarkStart w:id="250" w:name="page251"/>
    <w:bookmarkEnd w:id="250"/>
    <w:p>
      <w:pPr>
        <w:spacing w:after="0" w:line="132" w:lineRule="exact"/>
        <w:rPr>
          <w:sz w:val="20"/>
          <w:szCs w:val="20"/>
          <w:color w:val="auto"/>
        </w:rPr>
      </w:pPr>
    </w:p>
    <w:p>
      <w:pPr>
        <w:ind w:left="620" w:hanging="288"/>
        <w:spacing w:after="0"/>
        <w:tabs>
          <w:tab w:leader="none" w:pos="620" w:val="left"/>
        </w:tabs>
        <w:numPr>
          <w:ilvl w:val="0"/>
          <w:numId w:val="144"/>
        </w:numPr>
        <w:rPr>
          <w:rFonts w:ascii="Arial" w:cs="Arial" w:eastAsia="Arial" w:hAnsi="Arial"/>
          <w:sz w:val="22"/>
          <w:szCs w:val="22"/>
          <w:color w:val="auto"/>
        </w:rPr>
      </w:pPr>
      <w:r>
        <w:rPr>
          <w:rFonts w:ascii="Arial" w:cs="Arial" w:eastAsia="Arial" w:hAnsi="Arial"/>
          <w:sz w:val="22"/>
          <w:szCs w:val="22"/>
          <w:color w:val="auto"/>
        </w:rPr>
        <w:t>A Participant must act in good faith throughout the duration of their Rule 10b5-1 Plan.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If any questions arise, a Participant should consult with their own counsel in implementing a Rule 10b5-1 Plan.</w:t>
      </w:r>
    </w:p>
    <w:p>
      <w:pPr>
        <w:spacing w:after="0" w:line="12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 POST-TERMINATION TRANSACTIONS</w:t>
      </w:r>
    </w:p>
    <w:p>
      <w:pPr>
        <w:spacing w:after="0" w:line="25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Policy Statement continues to apply to your transactions in Company Securities even after you have terminated employment or other services to the Company or a subsidiary as follows: if you are aware of Material Nonpublic Information when your employment or service relationship terminates, you may not trade in Company Securities until that information has become public or is no longer material.</w:t>
      </w:r>
    </w:p>
    <w:p>
      <w:pPr>
        <w:spacing w:after="0" w:line="16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 CONFIDENTIALITY OF NONPUBLIC INFORMATION</w:t>
      </w:r>
    </w:p>
    <w:p>
      <w:pPr>
        <w:spacing w:after="0" w:line="259" w:lineRule="exact"/>
        <w:rPr>
          <w:sz w:val="20"/>
          <w:szCs w:val="20"/>
          <w:color w:val="auto"/>
        </w:rPr>
      </w:pPr>
    </w:p>
    <w:p>
      <w:pPr>
        <w:jc w:val="both"/>
        <w:ind w:firstLine="8"/>
        <w:spacing w:after="0" w:line="235" w:lineRule="auto"/>
        <w:tabs>
          <w:tab w:leader="none" w:pos="27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Maintaining the confidentiality of Company information is essential for competitive, security and other business reasons, as well as to comply with the securities laws and applicable banking laws. You should treat all nonpublic information you learn about the Company or its business plans in connection with your employment as confidential and proprietary to the Company. Disclosure of that information to any person other than Company Personnel (including family members), whether directly, in the form of a recommendation to purchase or sell Company Securities, or in any other manner or for any other purpose, violates Company policy and is prohibited. Inadvertent disclosure of confidential or inside information may expose the Company and you to significant risk of investigation and litigation.</w:t>
      </w:r>
    </w:p>
    <w:p>
      <w:pPr>
        <w:spacing w:after="0" w:line="205" w:lineRule="exact"/>
        <w:rPr>
          <w:rFonts w:ascii="Arial" w:cs="Arial" w:eastAsia="Arial" w:hAnsi="Arial"/>
          <w:sz w:val="22"/>
          <w:szCs w:val="22"/>
          <w:color w:val="auto"/>
        </w:rPr>
      </w:pPr>
    </w:p>
    <w:p>
      <w:pPr>
        <w:jc w:val="both"/>
        <w:ind w:firstLine="8"/>
        <w:spacing w:after="0" w:line="234" w:lineRule="auto"/>
        <w:tabs>
          <w:tab w:leader="none" w:pos="30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Company Personnel working on sensitive matters involving Material Nonpublic Information shall adopt and implement protective measures appropriate and consistent with the level of confidentiality reasonably called for in the particular circumstances to prevent the misappropriation, loss or other misuse of such information by Company Personnel and/or other parties. All Company Personnel working on sensitive matters involving Material Nonpublic Information shall cooperate with, assist in and abide by the protective measures instituted to prevent misappropriation, loss or other misuse of the information.</w:t>
      </w:r>
    </w:p>
    <w:p>
      <w:pPr>
        <w:spacing w:after="0" w:line="113" w:lineRule="exact"/>
        <w:rPr>
          <w:rFonts w:ascii="Arial" w:cs="Arial" w:eastAsia="Arial" w:hAnsi="Arial"/>
          <w:sz w:val="22"/>
          <w:szCs w:val="22"/>
          <w:color w:val="auto"/>
        </w:rPr>
      </w:pPr>
    </w:p>
    <w:p>
      <w:pPr>
        <w:jc w:val="both"/>
        <w:ind w:firstLine="8"/>
        <w:spacing w:after="0" w:line="239" w:lineRule="auto"/>
        <w:tabs>
          <w:tab w:leader="none" w:pos="296" w:val="left"/>
        </w:tabs>
        <w:numPr>
          <w:ilvl w:val="0"/>
          <w:numId w:val="145"/>
        </w:numPr>
        <w:rPr>
          <w:rFonts w:ascii="Arial" w:cs="Arial" w:eastAsia="Arial" w:hAnsi="Arial"/>
          <w:sz w:val="22"/>
          <w:szCs w:val="22"/>
          <w:color w:val="auto"/>
        </w:rPr>
      </w:pPr>
      <w:r>
        <w:rPr>
          <w:rFonts w:ascii="Arial" w:cs="Arial" w:eastAsia="Arial" w:hAnsi="Arial"/>
          <w:sz w:val="22"/>
          <w:szCs w:val="22"/>
          <w:color w:val="auto"/>
        </w:rPr>
        <w:t>This Policy Statement supplements, but does not supersede or otherwise modify, the provisions of existing confidentiality agreements and other standard procedures and agreements intended to protect confidential information and materials.</w:t>
      </w:r>
    </w:p>
    <w:p>
      <w:pPr>
        <w:spacing w:after="0" w:line="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H. PERSONAL RESPONSIBILITY</w:t>
      </w:r>
    </w:p>
    <w:p>
      <w:pPr>
        <w:spacing w:after="0" w:line="259"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You should remember that the ultimate responsibility for adhering to this Policy Statement and avoiding improper trading rests with you. You are responsible for making sure that you comply with this Policy Statement, and that any Family Members and Controlled Entities also comply with this Policy Statement. In all cases, it is your responsibility for determining whether you are in possession of Material Nonpublic Information, and any action on the part of the Company, the Securities Compliance Officer or any other employee or director pursuant to this Policy Statement (or otherwise) does not in any way constitute legal advice or insulate you from liability under applicable securities laws. If you violate this Policy Statement, you could be</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subject to severe legal penalties and the Company may take disciplinary action, including dismissal for cause.</w:t>
      </w:r>
    </w:p>
    <w:p>
      <w:pPr>
        <w:spacing w:after="0" w:line="20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 COMPANY ASSISTANCE</w:t>
      </w:r>
    </w:p>
    <w:p>
      <w:pPr>
        <w:spacing w:after="0" w:line="245"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Your compliance with this Policy Statement is of the utmost importance both for you and for the Company. Many Company Personnel do not deal on a regular basis with matters of the type discussed in this Policy Statement, and some of these matters may be unfamiliar. If and when questions arise about any of the policies expressed in this policy, please direct inquiries to the Securities Compliance Officer. That officer will obtain assistance from the Company’s securities counsel as necessary or appropriate. Do not try to resolve uncertainties on your own, as the rules relating to insider trading are often complex, not always intuitive, and carry severe consequences.</w:t>
      </w:r>
    </w:p>
    <w:p>
      <w:pPr>
        <w:spacing w:after="0" w:line="1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J. CERTIFICATION</w:t>
      </w:r>
    </w:p>
    <w:p>
      <w:pPr>
        <w:spacing w:after="0" w:line="259"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All Company Personnel must certify their understanding of, and intent to comply with, this Policy Statement on the attached form of Certificate of Compliance. Directors, executive officers and certain employees and consultants are subject to the Addendum. Persons who are covered by the Addendum should sign the form of Certificate of Compliance attached to the Addendum.</w:t>
      </w:r>
    </w:p>
    <w:p>
      <w:pPr>
        <w:spacing w:after="0" w:line="17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Exceptions</w:t>
      </w:r>
    </w:p>
    <w:p>
      <w:pPr>
        <w:spacing w:after="0" w:line="26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Any exception to this Policy Statement requires prior written approval by the Securities Compliance Officer or his/her designee and must be documented in writing. The previous statement and the trading restrictions of this Policy Statement do not apply to the following transactions (except as specifically noted):</w:t>
      </w:r>
    </w:p>
    <w:p>
      <w:pPr>
        <w:spacing w:after="0" w:line="197" w:lineRule="exact"/>
        <w:rPr>
          <w:sz w:val="20"/>
          <w:szCs w:val="20"/>
          <w:color w:val="auto"/>
        </w:rPr>
      </w:pPr>
    </w:p>
    <w:p>
      <w:pPr>
        <w:jc w:val="both"/>
        <w:ind w:left="660" w:hanging="328"/>
        <w:spacing w:after="0" w:line="234" w:lineRule="auto"/>
        <w:tabs>
          <w:tab w:leader="none" w:pos="678" w:val="left"/>
        </w:tabs>
        <w:numPr>
          <w:ilvl w:val="0"/>
          <w:numId w:val="146"/>
        </w:numPr>
        <w:rPr>
          <w:rFonts w:ascii="Arial" w:cs="Arial" w:eastAsia="Arial" w:hAnsi="Arial"/>
          <w:sz w:val="22"/>
          <w:szCs w:val="22"/>
          <w:color w:val="auto"/>
        </w:rPr>
      </w:pPr>
      <w:r>
        <w:rPr>
          <w:rFonts w:ascii="Arial" w:cs="Arial" w:eastAsia="Arial" w:hAnsi="Arial"/>
          <w:sz w:val="22"/>
          <w:szCs w:val="22"/>
          <w:color w:val="auto"/>
        </w:rPr>
        <w:t>Exercise of Stock Options. This Policy Statement does not apply to the exercise of an employee stock option acquired pursuant to the Company’s plans, or to the exercise of a tax withholding right pursuant to which a person has elected to have the Company withhold shares subject to an option to satisfy tax withholding requirements. This Policy Statement does apply, however, to any sale of stock as part of a broker-assisted cashless exercise of an option, or any other market sale for the purpose of generating the cash needed to pay the exercise price of cashless exercise.</w:t>
      </w:r>
    </w:p>
    <w:p>
      <w:pPr>
        <w:spacing w:after="0" w:line="207" w:lineRule="exact"/>
        <w:rPr>
          <w:rFonts w:ascii="Arial" w:cs="Arial" w:eastAsia="Arial" w:hAnsi="Arial"/>
          <w:sz w:val="22"/>
          <w:szCs w:val="22"/>
          <w:color w:val="auto"/>
        </w:rPr>
      </w:pPr>
    </w:p>
    <w:p>
      <w:pPr>
        <w:jc w:val="both"/>
        <w:ind w:left="660" w:hanging="328"/>
        <w:spacing w:after="0"/>
        <w:tabs>
          <w:tab w:leader="none" w:pos="665" w:val="left"/>
        </w:tabs>
        <w:numPr>
          <w:ilvl w:val="0"/>
          <w:numId w:val="146"/>
        </w:numPr>
        <w:rPr>
          <w:rFonts w:ascii="Arial" w:cs="Arial" w:eastAsia="Arial" w:hAnsi="Arial"/>
          <w:sz w:val="22"/>
          <w:szCs w:val="22"/>
          <w:color w:val="auto"/>
        </w:rPr>
      </w:pPr>
      <w:r>
        <w:rPr>
          <w:rFonts w:ascii="Arial" w:cs="Arial" w:eastAsia="Arial" w:hAnsi="Arial"/>
          <w:sz w:val="22"/>
          <w:szCs w:val="22"/>
          <w:color w:val="auto"/>
        </w:rPr>
        <w:t>Restricted Stock Awards. This Policy Statement does not apply to the vesting of restricted stock, or the exercise of a tax withholding right pursuant to which you elect to have the Company withhold shares of stock to satisfy tax withholding requirements upon the vesting of any restricted stock. The Policy does apply, however, to any market sale of restricted stock.</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18" w:lineRule="exact"/>
        <w:rPr>
          <w:sz w:val="20"/>
          <w:szCs w:val="20"/>
          <w:color w:val="auto"/>
        </w:rPr>
      </w:pPr>
    </w:p>
    <w:p>
      <w:pPr>
        <w:jc w:val="both"/>
        <w:ind w:left="660" w:right="20" w:hanging="328"/>
        <w:spacing w:after="0" w:line="239" w:lineRule="auto"/>
        <w:tabs>
          <w:tab w:leader="none" w:pos="67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Other Similar Transaction. Any purchase of securities of Amalgamated Bank (or other Amalgamated Financial Corp. subsidiaries) from the Company or sales of Company Securities to the Company are not subject to this Policy.</w:t>
      </w:r>
    </w:p>
    <w:p>
      <w:pPr>
        <w:spacing w:after="0" w:line="1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Ownership</w:t>
      </w:r>
    </w:p>
    <w:p>
      <w:pPr>
        <w:spacing w:after="0" w:line="265" w:lineRule="exact"/>
        <w:rPr>
          <w:sz w:val="20"/>
          <w:szCs w:val="20"/>
          <w:color w:val="auto"/>
        </w:rPr>
      </w:pPr>
    </w:p>
    <w:p>
      <w:pPr>
        <w:ind w:right="2040"/>
        <w:spacing w:after="0" w:line="272" w:lineRule="auto"/>
        <w:rPr>
          <w:sz w:val="20"/>
          <w:szCs w:val="20"/>
          <w:color w:val="auto"/>
        </w:rPr>
      </w:pPr>
      <w:r>
        <w:rPr>
          <w:rFonts w:ascii="Arial" w:cs="Arial" w:eastAsia="Arial" w:hAnsi="Arial"/>
          <w:sz w:val="22"/>
          <w:szCs w:val="22"/>
          <w:color w:val="auto"/>
        </w:rPr>
        <w:t>The Company’s Chief Legal Officer holds the responsibility for adherence to and maintenance of this policy.</w:t>
      </w:r>
    </w:p>
    <w:p>
      <w:pPr>
        <w:spacing w:after="0" w:line="5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Roles and Responsibilities:</w:t>
      </w:r>
    </w:p>
    <w:p>
      <w:pPr>
        <w:spacing w:after="0" w:line="263" w:lineRule="exact"/>
        <w:rPr>
          <w:sz w:val="20"/>
          <w:szCs w:val="20"/>
          <w:color w:val="auto"/>
        </w:rPr>
      </w:pPr>
    </w:p>
    <w:p>
      <w:pPr>
        <w:ind w:right="20"/>
        <w:spacing w:after="0" w:line="285" w:lineRule="auto"/>
        <w:rPr>
          <w:sz w:val="20"/>
          <w:szCs w:val="20"/>
          <w:color w:val="auto"/>
        </w:rPr>
      </w:pPr>
      <w:r>
        <w:rPr>
          <w:rFonts w:ascii="Arial" w:cs="Arial" w:eastAsia="Arial" w:hAnsi="Arial"/>
          <w:sz w:val="21"/>
          <w:szCs w:val="21"/>
          <w:b w:val="1"/>
          <w:bCs w:val="1"/>
          <w:color w:val="auto"/>
        </w:rPr>
        <w:t>Internal Audit Department</w:t>
      </w:r>
      <w:r>
        <w:rPr>
          <w:rFonts w:ascii="Arial" w:cs="Arial" w:eastAsia="Arial" w:hAnsi="Arial"/>
          <w:sz w:val="21"/>
          <w:szCs w:val="21"/>
          <w:color w:val="auto"/>
        </w:rPr>
        <w:t>: Responsible for periodically reviewing this policy and for testing the appropriate control</w:t>
      </w:r>
      <w:r>
        <w:rPr>
          <w:rFonts w:ascii="Arial" w:cs="Arial" w:eastAsia="Arial" w:hAnsi="Arial"/>
          <w:sz w:val="21"/>
          <w:szCs w:val="21"/>
          <w:b w:val="1"/>
          <w:bCs w:val="1"/>
          <w:color w:val="auto"/>
        </w:rPr>
        <w:t xml:space="preserve"> </w:t>
      </w:r>
      <w:r>
        <w:rPr>
          <w:rFonts w:ascii="Arial" w:cs="Arial" w:eastAsia="Arial" w:hAnsi="Arial"/>
          <w:sz w:val="21"/>
          <w:szCs w:val="21"/>
          <w:color w:val="auto"/>
        </w:rPr>
        <w:t>of each department through the internal audit process to ensure the adherence of the program by all employees.</w:t>
      </w:r>
    </w:p>
    <w:p>
      <w:pPr>
        <w:spacing w:after="0" w:line="155" w:lineRule="exact"/>
        <w:rPr>
          <w:sz w:val="20"/>
          <w:szCs w:val="20"/>
          <w:color w:val="auto"/>
        </w:rPr>
      </w:pPr>
    </w:p>
    <w:p>
      <w:pPr>
        <w:ind w:right="920"/>
        <w:spacing w:after="0" w:line="287" w:lineRule="auto"/>
        <w:rPr>
          <w:sz w:val="20"/>
          <w:szCs w:val="20"/>
          <w:color w:val="auto"/>
        </w:rPr>
      </w:pPr>
      <w:r>
        <w:rPr>
          <w:rFonts w:ascii="Arial" w:cs="Arial" w:eastAsia="Arial" w:hAnsi="Arial"/>
          <w:sz w:val="22"/>
          <w:szCs w:val="22"/>
          <w:b w:val="1"/>
          <w:bCs w:val="1"/>
          <w:color w:val="auto"/>
        </w:rPr>
        <w:t>Department Heads</w:t>
      </w:r>
      <w:r>
        <w:rPr>
          <w:rFonts w:ascii="Arial" w:cs="Arial" w:eastAsia="Arial" w:hAnsi="Arial"/>
          <w:sz w:val="22"/>
          <w:szCs w:val="22"/>
          <w:color w:val="auto"/>
        </w:rPr>
        <w:t>: Responsible for ensuring that their departments follow this policy and that they raise all</w:t>
      </w:r>
      <w:r>
        <w:rPr>
          <w:rFonts w:ascii="Arial" w:cs="Arial" w:eastAsia="Arial" w:hAnsi="Arial"/>
          <w:sz w:val="22"/>
          <w:szCs w:val="22"/>
          <w:b w:val="1"/>
          <w:bCs w:val="1"/>
          <w:color w:val="auto"/>
        </w:rPr>
        <w:t xml:space="preserve"> </w:t>
      </w:r>
      <w:r>
        <w:rPr>
          <w:rFonts w:ascii="Arial" w:cs="Arial" w:eastAsia="Arial" w:hAnsi="Arial"/>
          <w:sz w:val="22"/>
          <w:szCs w:val="22"/>
          <w:color w:val="auto"/>
        </w:rPr>
        <w:t>appropriate questions to the Chief Legal Officer or their designee.</w:t>
      </w:r>
    </w:p>
    <w:p>
      <w:pPr>
        <w:spacing w:after="0" w:line="83" w:lineRule="exact"/>
        <w:rPr>
          <w:sz w:val="20"/>
          <w:szCs w:val="20"/>
          <w:color w:val="auto"/>
        </w:rPr>
      </w:pPr>
    </w:p>
    <w:p>
      <w:pPr>
        <w:ind w:right="640"/>
        <w:spacing w:after="0" w:line="287" w:lineRule="auto"/>
        <w:rPr>
          <w:sz w:val="20"/>
          <w:szCs w:val="20"/>
          <w:color w:val="auto"/>
        </w:rPr>
      </w:pPr>
      <w:r>
        <w:rPr>
          <w:rFonts w:ascii="Arial" w:cs="Arial" w:eastAsia="Arial" w:hAnsi="Arial"/>
          <w:sz w:val="22"/>
          <w:szCs w:val="22"/>
          <w:b w:val="1"/>
          <w:bCs w:val="1"/>
          <w:color w:val="auto"/>
        </w:rPr>
        <w:t>The Office of the Chief Legal Officer</w:t>
      </w:r>
      <w:r>
        <w:rPr>
          <w:rFonts w:ascii="Arial" w:cs="Arial" w:eastAsia="Arial" w:hAnsi="Arial"/>
          <w:sz w:val="22"/>
          <w:szCs w:val="22"/>
          <w:color w:val="auto"/>
        </w:rPr>
        <w:t>: Responsible for maintaining the policy and responding to inquiries from</w:t>
      </w:r>
      <w:r>
        <w:rPr>
          <w:rFonts w:ascii="Arial" w:cs="Arial" w:eastAsia="Arial" w:hAnsi="Arial"/>
          <w:sz w:val="22"/>
          <w:szCs w:val="22"/>
          <w:b w:val="1"/>
          <w:bCs w:val="1"/>
          <w:color w:val="auto"/>
        </w:rPr>
        <w:t xml:space="preserve"> </w:t>
      </w:r>
      <w:r>
        <w:rPr>
          <w:rFonts w:ascii="Arial" w:cs="Arial" w:eastAsia="Arial" w:hAnsi="Arial"/>
          <w:sz w:val="22"/>
          <w:szCs w:val="22"/>
          <w:color w:val="auto"/>
        </w:rPr>
        <w:t>department heads.</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color w:val="auto"/>
        </w:rPr>
        <w:t>As mentioned in H above, the ultimate responsibility rests with each employee.</w:t>
      </w:r>
    </w:p>
    <w:p>
      <w:pPr>
        <w:spacing w:after="0" w:line="10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Review and Approval</w:t>
      </w:r>
    </w:p>
    <w:p>
      <w:pPr>
        <w:spacing w:after="0" w:line="265"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This Policy is to be annually reviewed, revised as needed and approved by the Board of Directors (or an appropriate Board Committee).</w:t>
      </w:r>
    </w:p>
    <w:p>
      <w:pPr>
        <w:spacing w:after="0" w:line="153"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Change Log</w:t>
      </w:r>
    </w:p>
    <w:p>
      <w:pPr>
        <w:spacing w:after="0" w:line="75"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2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b w:val="1"/>
                <w:bCs w:val="1"/>
                <w:color w:val="auto"/>
              </w:rPr>
              <w:t>Approval Date</w:t>
            </w:r>
          </w:p>
        </w:tc>
        <w:tc>
          <w:tcPr>
            <w:tcW w:w="822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b w:val="1"/>
                <w:bCs w:val="1"/>
                <w:color w:val="auto"/>
              </w:rPr>
              <w:t>Change / Description</w:t>
            </w:r>
          </w:p>
        </w:tc>
      </w:tr>
      <w:tr>
        <w:trPr>
          <w:trHeight w:val="142"/>
        </w:trPr>
        <w:tc>
          <w:tcPr>
            <w:tcW w:w="2140" w:type="dxa"/>
            <w:vAlign w:val="bottom"/>
            <w:tcBorders>
              <w:left w:val="single" w:sz="8" w:color="auto"/>
              <w:bottom w:val="single" w:sz="8" w:color="auto"/>
              <w:right w:val="single" w:sz="8" w:color="auto"/>
            </w:tcBorders>
          </w:tcPr>
          <w:p>
            <w:pPr>
              <w:spacing w:after="0"/>
              <w:rPr>
                <w:sz w:val="12"/>
                <w:szCs w:val="12"/>
                <w:color w:val="auto"/>
              </w:rPr>
            </w:pPr>
          </w:p>
        </w:tc>
        <w:tc>
          <w:tcPr>
            <w:tcW w:w="8220" w:type="dxa"/>
            <w:vAlign w:val="bottom"/>
            <w:tcBorders>
              <w:bottom w:val="single" w:sz="8" w:color="auto"/>
              <w:right w:val="single" w:sz="8" w:color="auto"/>
            </w:tcBorders>
          </w:tcPr>
          <w:p>
            <w:pPr>
              <w:spacing w:after="0"/>
              <w:rPr>
                <w:sz w:val="12"/>
                <w:szCs w:val="12"/>
                <w:color w:val="auto"/>
              </w:rPr>
            </w:pPr>
          </w:p>
        </w:tc>
      </w:tr>
      <w:tr>
        <w:trPr>
          <w:trHeight w:val="27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July 9, 2018</w:t>
            </w:r>
          </w:p>
        </w:tc>
        <w:tc>
          <w:tcPr>
            <w:tcW w:w="8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Initial approval of Policy</w:t>
            </w:r>
          </w:p>
        </w:tc>
      </w:tr>
      <w:tr>
        <w:trPr>
          <w:trHeight w:val="161"/>
        </w:trPr>
        <w:tc>
          <w:tcPr>
            <w:tcW w:w="2140" w:type="dxa"/>
            <w:vAlign w:val="bottom"/>
            <w:tcBorders>
              <w:left w:val="single" w:sz="8" w:color="auto"/>
              <w:bottom w:val="single" w:sz="8" w:color="auto"/>
              <w:right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27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February 5, 2020</w:t>
            </w:r>
          </w:p>
        </w:tc>
        <w:tc>
          <w:tcPr>
            <w:tcW w:w="8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Annual Policy Approval – No Changes</w:t>
            </w:r>
          </w:p>
        </w:tc>
      </w:tr>
      <w:tr>
        <w:trPr>
          <w:trHeight w:val="162"/>
        </w:trPr>
        <w:tc>
          <w:tcPr>
            <w:tcW w:w="2140" w:type="dxa"/>
            <w:vAlign w:val="bottom"/>
            <w:tcBorders>
              <w:left w:val="single" w:sz="8" w:color="auto"/>
              <w:bottom w:val="single" w:sz="8" w:color="auto"/>
              <w:right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278"/>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February 3, 2021</w:t>
            </w:r>
          </w:p>
        </w:tc>
        <w:tc>
          <w:tcPr>
            <w:tcW w:w="8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Annual Policy Approval - updated to comply with policy format.</w:t>
            </w:r>
          </w:p>
        </w:tc>
      </w:tr>
      <w:tr>
        <w:trPr>
          <w:trHeight w:val="162"/>
        </w:trPr>
        <w:tc>
          <w:tcPr>
            <w:tcW w:w="2140" w:type="dxa"/>
            <w:vAlign w:val="bottom"/>
            <w:tcBorders>
              <w:left w:val="single" w:sz="8" w:color="auto"/>
              <w:bottom w:val="single" w:sz="8" w:color="auto"/>
              <w:right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277"/>
        </w:trPr>
        <w:tc>
          <w:tcPr>
            <w:tcW w:w="21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January 25, 2022</w:t>
            </w:r>
          </w:p>
        </w:tc>
        <w:tc>
          <w:tcPr>
            <w:tcW w:w="8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Annual Policy Approval - revisions to reflect holdco.</w:t>
            </w:r>
          </w:p>
        </w:tc>
      </w:tr>
      <w:tr>
        <w:trPr>
          <w:trHeight w:val="162"/>
        </w:trPr>
        <w:tc>
          <w:tcPr>
            <w:tcW w:w="2140" w:type="dxa"/>
            <w:vAlign w:val="bottom"/>
            <w:tcBorders>
              <w:left w:val="single" w:sz="8" w:color="auto"/>
              <w:bottom w:val="single" w:sz="8" w:color="auto"/>
              <w:right w:val="single" w:sz="8" w:color="auto"/>
            </w:tcBorders>
          </w:tcPr>
          <w:p>
            <w:pPr>
              <w:spacing w:after="0"/>
              <w:rPr>
                <w:sz w:val="14"/>
                <w:szCs w:val="14"/>
                <w:color w:val="auto"/>
              </w:rPr>
            </w:pPr>
          </w:p>
        </w:tc>
        <w:tc>
          <w:tcPr>
            <w:tcW w:w="8220" w:type="dxa"/>
            <w:vAlign w:val="bottom"/>
            <w:tcBorders>
              <w:bottom w:val="single" w:sz="8" w:color="auto"/>
              <w:right w:val="single" w:sz="8" w:color="auto"/>
            </w:tcBorders>
          </w:tcPr>
          <w:p>
            <w:pPr>
              <w:spacing w:after="0"/>
              <w:rPr>
                <w:sz w:val="14"/>
                <w:szCs w:val="14"/>
                <w:color w:val="auto"/>
              </w:rPr>
            </w:pPr>
          </w:p>
        </w:tc>
      </w:tr>
      <w:tr>
        <w:trPr>
          <w:trHeight w:val="237"/>
        </w:trPr>
        <w:tc>
          <w:tcPr>
            <w:tcW w:w="2140" w:type="dxa"/>
            <w:vAlign w:val="bottom"/>
            <w:tcBorders>
              <w:left w:val="single" w:sz="8" w:color="auto"/>
              <w:right w:val="single" w:sz="8" w:color="auto"/>
            </w:tcBorders>
          </w:tcPr>
          <w:p>
            <w:pPr>
              <w:ind w:left="40"/>
              <w:spacing w:after="0" w:line="237" w:lineRule="exact"/>
              <w:rPr>
                <w:sz w:val="20"/>
                <w:szCs w:val="20"/>
                <w:color w:val="auto"/>
              </w:rPr>
            </w:pPr>
            <w:r>
              <w:rPr>
                <w:rFonts w:ascii="Arial" w:cs="Arial" w:eastAsia="Arial" w:hAnsi="Arial"/>
                <w:sz w:val="22"/>
                <w:szCs w:val="22"/>
                <w:color w:val="auto"/>
              </w:rPr>
              <w:t>June 27, 2022</w:t>
            </w:r>
          </w:p>
        </w:tc>
        <w:tc>
          <w:tcPr>
            <w:tcW w:w="8220" w:type="dxa"/>
            <w:vAlign w:val="bottom"/>
            <w:tcBorders>
              <w:right w:val="single" w:sz="8" w:color="auto"/>
            </w:tcBorders>
          </w:tcPr>
          <w:p>
            <w:pPr>
              <w:spacing w:after="0" w:line="237" w:lineRule="exact"/>
              <w:rPr>
                <w:sz w:val="20"/>
                <w:szCs w:val="20"/>
                <w:color w:val="auto"/>
              </w:rPr>
            </w:pPr>
            <w:r>
              <w:rPr>
                <w:rFonts w:ascii="Arial" w:cs="Arial" w:eastAsia="Arial" w:hAnsi="Arial"/>
                <w:sz w:val="22"/>
                <w:szCs w:val="22"/>
                <w:color w:val="auto"/>
                <w:w w:val="99"/>
              </w:rPr>
              <w:t>Annual Policy Approval – revisions to reflect incorporation of new pre-clearance form</w:t>
            </w:r>
          </w:p>
        </w:tc>
      </w:tr>
      <w:tr>
        <w:trPr>
          <w:trHeight w:val="283"/>
        </w:trPr>
        <w:tc>
          <w:tcPr>
            <w:tcW w:w="2140" w:type="dxa"/>
            <w:vAlign w:val="bottom"/>
            <w:tcBorders>
              <w:left w:val="single" w:sz="8" w:color="auto"/>
              <w:right w:val="single" w:sz="8" w:color="auto"/>
            </w:tcBorders>
          </w:tcPr>
          <w:p>
            <w:pPr>
              <w:spacing w:after="0"/>
              <w:rPr>
                <w:sz w:val="24"/>
                <w:szCs w:val="24"/>
                <w:color w:val="auto"/>
              </w:rPr>
            </w:pPr>
          </w:p>
        </w:tc>
        <w:tc>
          <w:tcPr>
            <w:tcW w:w="8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and provide updates/clarifications throughout the policy</w:t>
            </w:r>
          </w:p>
        </w:tc>
      </w:tr>
      <w:tr>
        <w:trPr>
          <w:trHeight w:val="148"/>
        </w:trPr>
        <w:tc>
          <w:tcPr>
            <w:tcW w:w="2140" w:type="dxa"/>
            <w:vAlign w:val="bottom"/>
            <w:tcBorders>
              <w:left w:val="single" w:sz="8" w:color="auto"/>
              <w:bottom w:val="single" w:sz="8" w:color="auto"/>
              <w:right w:val="single" w:sz="8" w:color="auto"/>
            </w:tcBorders>
          </w:tcPr>
          <w:p>
            <w:pPr>
              <w:spacing w:after="0"/>
              <w:rPr>
                <w:sz w:val="12"/>
                <w:szCs w:val="12"/>
                <w:color w:val="auto"/>
              </w:rPr>
            </w:pPr>
          </w:p>
        </w:tc>
        <w:tc>
          <w:tcPr>
            <w:tcW w:w="8220" w:type="dxa"/>
            <w:vAlign w:val="bottom"/>
            <w:tcBorders>
              <w:bottom w:val="single" w:sz="8" w:color="auto"/>
              <w:right w:val="single" w:sz="8" w:color="auto"/>
            </w:tcBorders>
          </w:tcPr>
          <w:p>
            <w:pPr>
              <w:spacing w:after="0"/>
              <w:rPr>
                <w:sz w:val="12"/>
                <w:szCs w:val="12"/>
                <w:color w:val="auto"/>
              </w:rPr>
            </w:pPr>
          </w:p>
        </w:tc>
      </w:tr>
      <w:tr>
        <w:trPr>
          <w:trHeight w:val="237"/>
        </w:trPr>
        <w:tc>
          <w:tcPr>
            <w:tcW w:w="2140" w:type="dxa"/>
            <w:vAlign w:val="bottom"/>
            <w:tcBorders>
              <w:left w:val="single" w:sz="8" w:color="auto"/>
              <w:right w:val="single" w:sz="8" w:color="auto"/>
            </w:tcBorders>
          </w:tcPr>
          <w:p>
            <w:pPr>
              <w:ind w:left="40"/>
              <w:spacing w:after="0" w:line="237" w:lineRule="exact"/>
              <w:rPr>
                <w:sz w:val="20"/>
                <w:szCs w:val="20"/>
                <w:color w:val="auto"/>
              </w:rPr>
            </w:pPr>
            <w:r>
              <w:rPr>
                <w:rFonts w:ascii="Arial" w:cs="Arial" w:eastAsia="Arial" w:hAnsi="Arial"/>
                <w:sz w:val="22"/>
                <w:szCs w:val="22"/>
                <w:color w:val="auto"/>
              </w:rPr>
              <w:t>Month Day, Year</w:t>
            </w:r>
          </w:p>
        </w:tc>
        <w:tc>
          <w:tcPr>
            <w:tcW w:w="8220" w:type="dxa"/>
            <w:vAlign w:val="bottom"/>
            <w:tcBorders>
              <w:right w:val="single" w:sz="8" w:color="auto"/>
            </w:tcBorders>
          </w:tcPr>
          <w:p>
            <w:pPr>
              <w:spacing w:after="0" w:line="237" w:lineRule="exact"/>
              <w:rPr>
                <w:sz w:val="20"/>
                <w:szCs w:val="20"/>
                <w:color w:val="auto"/>
              </w:rPr>
            </w:pPr>
            <w:r>
              <w:rPr>
                <w:rFonts w:ascii="Arial" w:cs="Arial" w:eastAsia="Arial" w:hAnsi="Arial"/>
                <w:sz w:val="22"/>
                <w:szCs w:val="22"/>
                <w:color w:val="auto"/>
              </w:rPr>
              <w:t>Annual Policy Approval – revisions to include 10B5-1 Plan Policy and some</w:t>
            </w:r>
          </w:p>
        </w:tc>
      </w:tr>
      <w:tr>
        <w:trPr>
          <w:trHeight w:val="283"/>
        </w:trPr>
        <w:tc>
          <w:tcPr>
            <w:tcW w:w="2140" w:type="dxa"/>
            <w:vAlign w:val="bottom"/>
            <w:tcBorders>
              <w:left w:val="single" w:sz="8" w:color="auto"/>
              <w:right w:val="single" w:sz="8" w:color="auto"/>
            </w:tcBorders>
          </w:tcPr>
          <w:p>
            <w:pPr>
              <w:spacing w:after="0"/>
              <w:rPr>
                <w:sz w:val="24"/>
                <w:szCs w:val="24"/>
                <w:color w:val="auto"/>
              </w:rPr>
            </w:pPr>
          </w:p>
        </w:tc>
        <w:tc>
          <w:tcPr>
            <w:tcW w:w="8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conforming changes to align 10B5-1 Plan Policy with the rest of this Policy.</w:t>
            </w:r>
          </w:p>
        </w:tc>
      </w:tr>
      <w:tr>
        <w:trPr>
          <w:trHeight w:val="148"/>
        </w:trPr>
        <w:tc>
          <w:tcPr>
            <w:tcW w:w="2140" w:type="dxa"/>
            <w:vAlign w:val="bottom"/>
            <w:tcBorders>
              <w:left w:val="single" w:sz="8" w:color="auto"/>
              <w:bottom w:val="single" w:sz="8" w:color="auto"/>
              <w:right w:val="single" w:sz="8" w:color="auto"/>
            </w:tcBorders>
          </w:tcPr>
          <w:p>
            <w:pPr>
              <w:spacing w:after="0"/>
              <w:rPr>
                <w:sz w:val="12"/>
                <w:szCs w:val="12"/>
                <w:color w:val="auto"/>
              </w:rPr>
            </w:pPr>
          </w:p>
        </w:tc>
        <w:tc>
          <w:tcPr>
            <w:tcW w:w="8220" w:type="dxa"/>
            <w:vAlign w:val="bottom"/>
            <w:tcBorders>
              <w:bottom w:val="single" w:sz="8" w:color="auto"/>
              <w:right w:val="single" w:sz="8" w:color="auto"/>
            </w:tcBorders>
          </w:tcPr>
          <w:p>
            <w:pPr>
              <w:spacing w:after="0"/>
              <w:rPr>
                <w:sz w:val="12"/>
                <w:szCs w:val="12"/>
                <w:color w:val="auto"/>
              </w:rPr>
            </w:pPr>
          </w:p>
        </w:tc>
      </w:tr>
    </w:tbl>
    <w:p>
      <w:pPr>
        <w:sectPr>
          <w:pgSz w:w="11900" w:h="16838" w:orient="portrait"/>
          <w:cols w:equalWidth="0" w:num="1">
            <w:col w:w="11240"/>
          </w:cols>
          <w:pgMar w:left="320" w:top="1440" w:right="339" w:bottom="1440" w:gutter="0" w:footer="0" w:header="0"/>
        </w:sectPr>
      </w:pPr>
    </w:p>
    <w:bookmarkStart w:id="253" w:name="page254"/>
    <w:bookmarkEnd w:id="253"/>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1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2"/>
                <w:szCs w:val="22"/>
                <w:color w:val="auto"/>
              </w:rPr>
              <w:t>July 20, 2024</w:t>
            </w:r>
          </w:p>
        </w:tc>
        <w:tc>
          <w:tcPr>
            <w:tcW w:w="8220" w:type="dxa"/>
            <w:vAlign w:val="bottom"/>
            <w:tcBorders>
              <w:top w:val="single" w:sz="8" w:color="auto"/>
              <w:right w:val="single" w:sz="8" w:color="auto"/>
            </w:tcBorders>
          </w:tcPr>
          <w:p>
            <w:pPr>
              <w:spacing w:after="0"/>
              <w:rPr>
                <w:sz w:val="20"/>
                <w:szCs w:val="20"/>
                <w:color w:val="auto"/>
              </w:rPr>
            </w:pPr>
            <w:r>
              <w:rPr>
                <w:rFonts w:ascii="Arial" w:cs="Arial" w:eastAsia="Arial" w:hAnsi="Arial"/>
                <w:sz w:val="22"/>
                <w:szCs w:val="22"/>
                <w:color w:val="auto"/>
              </w:rPr>
              <w:t>Annual Policy Approval – revisions to provide updates/clarifications on trading in</w:t>
            </w:r>
          </w:p>
        </w:tc>
      </w:tr>
      <w:tr>
        <w:trPr>
          <w:trHeight w:val="283"/>
        </w:trPr>
        <w:tc>
          <w:tcPr>
            <w:tcW w:w="2140" w:type="dxa"/>
            <w:vAlign w:val="bottom"/>
            <w:tcBorders>
              <w:left w:val="single" w:sz="8" w:color="auto"/>
              <w:right w:val="single" w:sz="8" w:color="auto"/>
            </w:tcBorders>
          </w:tcPr>
          <w:p>
            <w:pPr>
              <w:spacing w:after="0"/>
              <w:rPr>
                <w:sz w:val="24"/>
                <w:szCs w:val="24"/>
                <w:color w:val="auto"/>
              </w:rPr>
            </w:pPr>
          </w:p>
        </w:tc>
        <w:tc>
          <w:tcPr>
            <w:tcW w:w="8220" w:type="dxa"/>
            <w:vAlign w:val="bottom"/>
            <w:tcBorders>
              <w:right w:val="single" w:sz="8" w:color="auto"/>
            </w:tcBorders>
          </w:tcPr>
          <w:p>
            <w:pPr>
              <w:spacing w:after="0"/>
              <w:rPr>
                <w:sz w:val="20"/>
                <w:szCs w:val="20"/>
                <w:color w:val="auto"/>
              </w:rPr>
            </w:pPr>
            <w:r>
              <w:rPr>
                <w:rFonts w:ascii="Arial" w:cs="Arial" w:eastAsia="Arial" w:hAnsi="Arial"/>
                <w:sz w:val="22"/>
                <w:szCs w:val="22"/>
                <w:color w:val="auto"/>
              </w:rPr>
              <w:t>other companies’ securities and gifts</w:t>
            </w:r>
          </w:p>
        </w:tc>
      </w:tr>
      <w:tr>
        <w:trPr>
          <w:trHeight w:val="148"/>
        </w:trPr>
        <w:tc>
          <w:tcPr>
            <w:tcW w:w="2140" w:type="dxa"/>
            <w:vAlign w:val="bottom"/>
            <w:tcBorders>
              <w:left w:val="single" w:sz="8" w:color="auto"/>
              <w:bottom w:val="single" w:sz="8" w:color="auto"/>
              <w:right w:val="single" w:sz="8" w:color="auto"/>
            </w:tcBorders>
          </w:tcPr>
          <w:p>
            <w:pPr>
              <w:spacing w:after="0"/>
              <w:rPr>
                <w:sz w:val="12"/>
                <w:szCs w:val="12"/>
                <w:color w:val="auto"/>
              </w:rPr>
            </w:pPr>
          </w:p>
        </w:tc>
        <w:tc>
          <w:tcPr>
            <w:tcW w:w="8220" w:type="dxa"/>
            <w:vAlign w:val="bottom"/>
            <w:tcBorders>
              <w:bottom w:val="single" w:sz="8" w:color="auto"/>
              <w:right w:val="single" w:sz="8" w:color="auto"/>
            </w:tcBorders>
          </w:tcPr>
          <w:p>
            <w:pPr>
              <w:spacing w:after="0"/>
              <w:rPr>
                <w:sz w:val="12"/>
                <w:szCs w:val="12"/>
                <w:color w:val="auto"/>
              </w:rPr>
            </w:pPr>
          </w:p>
        </w:tc>
      </w:tr>
      <w:tr>
        <w:trPr>
          <w:trHeight w:val="260"/>
        </w:trPr>
        <w:tc>
          <w:tcPr>
            <w:tcW w:w="2140" w:type="dxa"/>
            <w:vAlign w:val="bottom"/>
          </w:tcPr>
          <w:p>
            <w:pPr>
              <w:ind w:left="20"/>
              <w:spacing w:after="0"/>
              <w:rPr>
                <w:sz w:val="20"/>
                <w:szCs w:val="20"/>
                <w:color w:val="auto"/>
              </w:rPr>
            </w:pPr>
            <w:r>
              <w:rPr>
                <w:rFonts w:ascii="Arial" w:cs="Arial" w:eastAsia="Arial" w:hAnsi="Arial"/>
                <w:sz w:val="20"/>
                <w:szCs w:val="20"/>
                <w:color w:val="auto"/>
              </w:rPr>
              <w:t>July 21, 2025</w:t>
            </w:r>
          </w:p>
        </w:tc>
        <w:tc>
          <w:tcPr>
            <w:tcW w:w="8220" w:type="dxa"/>
            <w:vAlign w:val="bottom"/>
          </w:tcPr>
          <w:p>
            <w:pPr>
              <w:spacing w:after="0"/>
              <w:rPr>
                <w:sz w:val="20"/>
                <w:szCs w:val="20"/>
                <w:color w:val="auto"/>
              </w:rPr>
            </w:pPr>
            <w:r>
              <w:rPr>
                <w:rFonts w:ascii="Arial" w:cs="Arial" w:eastAsia="Arial" w:hAnsi="Arial"/>
                <w:sz w:val="20"/>
                <w:szCs w:val="20"/>
                <w:color w:val="auto"/>
              </w:rPr>
              <w:t>Annual Policy Approval - No Changes.</w:t>
            </w:r>
          </w:p>
        </w:tc>
      </w:tr>
      <w:tr>
        <w:trPr>
          <w:trHeight w:val="152"/>
        </w:trPr>
        <w:tc>
          <w:tcPr>
            <w:tcW w:w="2140" w:type="dxa"/>
            <w:vAlign w:val="bottom"/>
            <w:tcBorders>
              <w:bottom w:val="single" w:sz="8" w:color="auto"/>
            </w:tcBorders>
          </w:tcPr>
          <w:p>
            <w:pPr>
              <w:spacing w:after="0"/>
              <w:rPr>
                <w:sz w:val="13"/>
                <w:szCs w:val="13"/>
                <w:color w:val="auto"/>
              </w:rPr>
            </w:pPr>
          </w:p>
        </w:tc>
        <w:tc>
          <w:tcPr>
            <w:tcW w:w="8220" w:type="dxa"/>
            <w:vAlign w:val="bottom"/>
            <w:tcBorders>
              <w:bottom w:val="single" w:sz="8" w:color="auto"/>
            </w:tcBorders>
          </w:tcPr>
          <w:p>
            <w:pPr>
              <w:spacing w:after="0"/>
              <w:rPr>
                <w:sz w:val="13"/>
                <w:szCs w:val="13"/>
                <w:color w:val="auto"/>
              </w:rPr>
            </w:pPr>
          </w:p>
        </w:tc>
      </w:tr>
    </w:tbl>
    <w:p>
      <w:pPr>
        <w:spacing w:after="0" w:line="267"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Appendices</w:t>
      </w:r>
    </w:p>
    <w:p>
      <w:pPr>
        <w:spacing w:after="0" w:line="24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Insider Trading Policy Addendum</w:t>
      </w:r>
    </w:p>
    <w:p>
      <w:pPr>
        <w:spacing w:after="0" w:line="25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To help prevent inadvertent violations of the federal securities laws and to avoid even the appearance of trading on the basis of Material Nonpublic Information, the Company’s Board of Directors has adopted the Addendum that applies to executive officers, and certain designated employees and agents of the Company and its subsidiaries who have routine access to Material Nonpublic Information about the Company.</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Attachments:</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FF"/>
        </w:rPr>
        <w:t>Insider Trading Policy Addendum.pdf</w:t>
      </w:r>
    </w:p>
    <w:p>
      <w:pPr>
        <w:sectPr>
          <w:pgSz w:w="11900" w:h="16838" w:orient="portrait"/>
          <w:cols w:equalWidth="0" w:num="1">
            <w:col w:w="11240"/>
          </w:cols>
          <w:pgMar w:left="320" w:top="1440" w:right="339" w:bottom="1440" w:gutter="0" w:footer="0" w:header="0"/>
        </w:sectPr>
      </w:pPr>
    </w:p>
    <w:bookmarkStart w:id="254" w:name="page255"/>
    <w:bookmarkEnd w:id="254"/>
    <w:p>
      <w:pPr>
        <w:jc w:val="right"/>
        <w:spacing w:after="0"/>
        <w:rPr>
          <w:sz w:val="20"/>
          <w:szCs w:val="20"/>
          <w:color w:val="auto"/>
        </w:rPr>
      </w:pPr>
      <w:r>
        <w:rPr>
          <w:rFonts w:ascii="Times New Roman" w:cs="Times New Roman" w:eastAsia="Times New Roman" w:hAnsi="Times New Roman"/>
          <w:sz w:val="22"/>
          <w:szCs w:val="22"/>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List of Subsidiaries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subsidiaries of Amalgamated Financial Corp.:</w:t>
      </w:r>
    </w:p>
    <w:p>
      <w:pPr>
        <w:spacing w:after="0" w:line="252" w:lineRule="exact"/>
        <w:rPr>
          <w:sz w:val="20"/>
          <w:szCs w:val="20"/>
          <w:color w:val="auto"/>
        </w:rPr>
      </w:pPr>
    </w:p>
    <w:p>
      <w:pPr>
        <w:ind w:left="660" w:hanging="328"/>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Amalgamated Bank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the subsidiaries of Amalgamated Bank:</w:t>
      </w:r>
    </w:p>
    <w:p>
      <w:pPr>
        <w:spacing w:after="0" w:line="252" w:lineRule="exact"/>
        <w:rPr>
          <w:sz w:val="20"/>
          <w:szCs w:val="20"/>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Hillman I GP, LLC, incorporated in New York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Hillman I, L.P.,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Hillman Company,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275A Property Holdings, Inc.,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275R Property Holdings, Inc.,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AT2017 LLC, incorporated in New Jersey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Amalgamated Real Estate Management Company, Inc., incorporated in New York</w:t>
      </w:r>
    </w:p>
    <w:p>
      <w:pPr>
        <w:spacing w:after="0" w:line="234"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is a list of the subsidiaries of Amalgamated Bank, as Trustee of Longview Ultra Construction Loan Investment Fund (for trust other real estate owned properties):</w:t>
      </w:r>
    </w:p>
    <w:p>
      <w:pPr>
        <w:spacing w:after="0" w:line="189" w:lineRule="exact"/>
        <w:rPr>
          <w:sz w:val="20"/>
          <w:szCs w:val="20"/>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LV Holdings LLC, incorporated in New York</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LV Holdings Sole Member LLC, incorporated in New York</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1352 Lofts Property Corporation, incorporated in Pennsylvania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1352 Lofts Property Holdings, LP, incorporated in Pennsylvania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Drive Property Holdings LLC, incorporated in Rhode Island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Drive Development LLC, incorporated in Rhode Island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Madison R/A Holdings, LLC, incorporated in Delaware</w:t>
      </w:r>
    </w:p>
    <w:p>
      <w:pPr>
        <w:sectPr>
          <w:pgSz w:w="11900" w:h="16838" w:orient="portrait"/>
          <w:cols w:equalWidth="0" w:num="1">
            <w:col w:w="11240"/>
          </w:cols>
          <w:pgMar w:left="320" w:top="122" w:right="339" w:bottom="1440" w:gutter="0" w:footer="0" w:header="0"/>
        </w:sectPr>
      </w:pPr>
    </w:p>
    <w:bookmarkStart w:id="255" w:name="page256"/>
    <w:bookmarkEnd w:id="25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Registration Statement No. 333-248652 on Form S-4EF, as amended on Form S-4/A and on</w:t>
      </w:r>
    </w:p>
    <w:p>
      <w:pPr>
        <w:spacing w:after="0" w:line="14" w:lineRule="exact"/>
        <w:rPr>
          <w:sz w:val="20"/>
          <w:szCs w:val="20"/>
          <w:color w:val="auto"/>
        </w:rPr>
      </w:pPr>
    </w:p>
    <w:p>
      <w:pPr>
        <w:ind w:right="20"/>
        <w:spacing w:after="0" w:line="226" w:lineRule="auto"/>
        <w:rPr>
          <w:sz w:val="20"/>
          <w:szCs w:val="20"/>
          <w:color w:val="auto"/>
        </w:rPr>
      </w:pPr>
      <w:r>
        <w:rPr>
          <w:rFonts w:ascii="Arial" w:cs="Arial" w:eastAsia="Arial" w:hAnsi="Arial"/>
          <w:sz w:val="18"/>
          <w:szCs w:val="18"/>
          <w:color w:val="auto"/>
        </w:rPr>
        <w:t>Post-Effective Amendment No. 1 on Form S-8, Registration Statement Nos. 333-273064 and 333-254074 on Form S-8 and Registration Statement No. 333-260076 on Form S-3 of Amalgamated Financial Corp. of our report dated March 5, 2026 relating to the consolidated</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financial statements of Amalgamated Financial Corp. and the effectiveness of internal control over financial reporting, appearing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Crowe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Livingston, New Jersey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March 5, 2026</w:t>
      </w:r>
    </w:p>
    <w:p>
      <w:pPr>
        <w:sectPr>
          <w:pgSz w:w="11900" w:h="16838" w:orient="portrait"/>
          <w:cols w:equalWidth="0" w:num="1">
            <w:col w:w="11240"/>
          </w:cols>
          <w:pgMar w:left="320" w:top="1440" w:right="339" w:bottom="1440" w:gutter="0" w:footer="0" w:header="0"/>
        </w:sectPr>
      </w:pPr>
    </w:p>
    <w:bookmarkStart w:id="256" w:name="page257"/>
    <w:bookmarkEnd w:id="256"/>
    <w:p>
      <w:pPr>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Priscilla Sims Brown, certify that:</w:t>
      </w:r>
    </w:p>
    <w:p>
      <w:pPr>
        <w:spacing w:after="0" w:line="225" w:lineRule="exact"/>
        <w:rPr>
          <w:sz w:val="20"/>
          <w:szCs w:val="20"/>
          <w:color w:val="auto"/>
        </w:rPr>
      </w:pPr>
    </w:p>
    <w:p>
      <w:pPr>
        <w:ind w:left="660" w:hanging="652"/>
        <w:spacing w:after="0"/>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160" w:hanging="4"/>
        <w:spacing w:after="0" w:line="282" w:lineRule="auto"/>
        <w:tabs>
          <w:tab w:leader="none" w:pos="129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36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7">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Priscilla Sims Brown, President and Chief Executive Officer</w:t>
      </w:r>
    </w:p>
    <w:p>
      <w:pPr>
        <w:sectPr>
          <w:pgSz w:w="11900" w:h="16838" w:orient="portrait"/>
          <w:cols w:equalWidth="0" w:num="1">
            <w:col w:w="11240"/>
          </w:cols>
          <w:pgMar w:left="320" w:top="887"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13a-14(a)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Darby, certify that:</w:t>
      </w:r>
    </w:p>
    <w:p>
      <w:pPr>
        <w:spacing w:after="0" w:line="225" w:lineRule="exact"/>
        <w:rPr>
          <w:sz w:val="20"/>
          <w:szCs w:val="20"/>
          <w:color w:val="auto"/>
        </w:rPr>
      </w:pPr>
    </w:p>
    <w:p>
      <w:pPr>
        <w:ind w:left="660" w:hanging="652"/>
        <w:spacing w:after="0"/>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Amalgamated Financial Corp.;</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29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4"/>
        <w:spacing w:after="0" w:line="266" w:lineRule="auto"/>
        <w:tabs>
          <w:tab w:leader="none" w:pos="129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29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29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400" w:hanging="4"/>
        <w:spacing w:after="0" w:line="282" w:lineRule="auto"/>
        <w:tabs>
          <w:tab w:leader="none" w:pos="1299"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1296" w:val="left"/>
        </w:tabs>
        <w:numPr>
          <w:ilvl w:val="1"/>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5, 2026</w:t>
      </w:r>
    </w:p>
    <w:p>
      <w:pPr>
        <w:spacing w:after="0" w:line="36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17145</wp:posOffset>
            </wp:positionV>
            <wp:extent cx="3111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8">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Jason Darby, Chief Financial Officer</w:t>
      </w:r>
    </w:p>
    <w:p>
      <w:pPr>
        <w:sectPr>
          <w:pgSz w:w="11900" w:h="16838" w:orient="portrait"/>
          <w:cols w:equalWidth="0" w:num="1">
            <w:col w:w="11240"/>
          </w:cols>
          <w:pgMar w:left="320" w:top="1103" w:right="339" w:bottom="1440" w:gutter="0" w:footer="0" w:header="0"/>
        </w:sectPr>
      </w:pPr>
    </w:p>
    <w:bookmarkStart w:id="258" w:name="page259"/>
    <w:bookmarkEnd w:id="258"/>
    <w:p>
      <w:pPr>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Amalgamated Financial Corp. (the “Company”) on Form 10-K for the year ended December 31, 2025 as filed with the U.S. Securities and Exchange Commission on the date hereof (the “Report”), the undersigned officers each certify, pursuant to 18 U.S.C. Section 1350, as adopted pursuant to Section 906 of the Sarbanes-Oxley Act of 2002 that, to his knowledge:</w:t>
      </w:r>
    </w:p>
    <w:p>
      <w:pPr>
        <w:spacing w:after="0" w:line="176" w:lineRule="exact"/>
        <w:rPr>
          <w:sz w:val="20"/>
          <w:szCs w:val="20"/>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Priscilla Sims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9">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Priscilla Brown</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35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Jason Darby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17145</wp:posOffset>
            </wp:positionV>
            <wp:extent cx="27857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Jason Darby</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March 5, 2026</w:t>
      </w:r>
    </w:p>
    <w:sectPr>
      <w:pgSz w:w="11900" w:h="16838" w:orient="portrait"/>
      <w:cols w:equalWidth="0" w:num="1">
        <w:col w:w="11160"/>
      </w:cols>
      <w:pgMar w:left="320" w:top="887"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447B73"/>
    <w:multiLevelType w:val="hybridMultilevel"/>
    <w:lvl w:ilvl="0">
      <w:lvlJc w:val="left"/>
      <w:lvlText w:val="%1."/>
      <w:numFmt w:val="decimal"/>
      <w:start w:val="1"/>
    </w:lvl>
  </w:abstractNum>
  <w:abstractNum w:abstractNumId="1">
    <w:nsid w:val="42963E5A"/>
    <w:multiLevelType w:val="hybridMultilevel"/>
    <w:lvl w:ilvl="0">
      <w:lvlJc w:val="left"/>
      <w:lvlText w:val="%1."/>
      <w:numFmt w:val="decimal"/>
      <w:start w:val="22"/>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lvl w:ilvl="1">
      <w:lvlJc w:val="left"/>
      <w:lvlText w:val="•"/>
      <w:numFmt w:val="bullet"/>
      <w:start w:val="1"/>
    </w:lvl>
  </w:abstractNum>
  <w:abstractNum w:abstractNumId="10">
    <w:nsid w:val="14330624"/>
    <w:multiLevelType w:val="hybridMultilevel"/>
    <w:lvl w:ilvl="0">
      <w:lvlJc w:val="left"/>
      <w:lvlText w:val="•"/>
      <w:numFmt w:val="bullet"/>
      <w:start w:val="1"/>
    </w:lvl>
    <w:lvl w:ilvl="1">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1)"/>
      <w:numFmt w:val="lowerRoman"/>
      <w:start w:val="3"/>
    </w:lvl>
  </w:abstractNum>
  <w:abstractNum w:abstractNumId="19">
    <w:nsid w:val="885E1B"/>
    <w:multiLevelType w:val="hybridMultilevel"/>
    <w:lvl w:ilvl="0">
      <w:lvlJc w:val="left"/>
      <w:lvlText w:val="(%1)"/>
      <w:numFmt w:val="lowerRoman"/>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1)"/>
      <w:numFmt w:val="decimal"/>
      <w:start w:val="1"/>
    </w:lvl>
  </w:abstractNum>
  <w:abstractNum w:abstractNumId="22">
    <w:nsid w:val="1716703B"/>
    <w:multiLevelType w:val="hybridMultilevel"/>
    <w:lvl w:ilvl="0">
      <w:lvlJc w:val="left"/>
      <w:lvlText w:val="(%1)"/>
      <w:numFmt w:val="decimal"/>
      <w:start w:val="6"/>
    </w:lvl>
  </w:abstractNum>
  <w:abstractNum w:abstractNumId="23">
    <w:nsid w:val="14E17E33"/>
    <w:multiLevelType w:val="hybridMultilevel"/>
    <w:lvl w:ilvl="0">
      <w:lvlJc w:val="left"/>
      <w:lvlText w:val="(%1)"/>
      <w:numFmt w:val="decimal"/>
      <w:start w:val="1"/>
    </w:lvl>
  </w:abstractNum>
  <w:abstractNum w:abstractNumId="24">
    <w:nsid w:val="3222E7CD"/>
    <w:multiLevelType w:val="hybridMultilevel"/>
    <w:lvl w:ilvl="0">
      <w:lvlJc w:val="left"/>
      <w:lvlText w:val="(%1)"/>
      <w:numFmt w:val="decimal"/>
      <w:start w:val="3"/>
    </w:lvl>
  </w:abstractNum>
  <w:abstractNum w:abstractNumId="25">
    <w:nsid w:val="74DE0EE3"/>
    <w:multiLevelType w:val="hybridMultilevel"/>
    <w:lvl w:ilvl="0">
      <w:lvlJc w:val="left"/>
      <w:lvlText w:val="(%1)"/>
      <w:numFmt w:val="decimal"/>
      <w:start w:val="1"/>
    </w:lvl>
  </w:abstractNum>
  <w:abstractNum w:abstractNumId="26">
    <w:nsid w:val="68EBC550"/>
    <w:multiLevelType w:val="hybridMultilevel"/>
    <w:lvl w:ilvl="0">
      <w:lvlJc w:val="left"/>
      <w:lvlText w:val="(%1)"/>
      <w:numFmt w:val="decimal"/>
      <w:start w:val="6"/>
    </w:lvl>
  </w:abstractNum>
  <w:abstractNum w:abstractNumId="27">
    <w:nsid w:val="2DF6D648"/>
    <w:multiLevelType w:val="hybridMultilevel"/>
    <w:lvl w:ilvl="0">
      <w:lvlJc w:val="left"/>
      <w:lvlText w:val="(%1)"/>
      <w:numFmt w:val="lowerRoman"/>
      <w:start w:val="3"/>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
      <w:numFmt w:val="bullet"/>
      <w:start w:val="1"/>
    </w:lvl>
  </w:abstractNum>
  <w:abstractNum w:abstractNumId="31">
    <w:nsid w:val="57FC4FBB"/>
    <w:multiLevelType w:val="hybridMultilevel"/>
    <w:lvl w:ilvl="0">
      <w:lvlJc w:val="left"/>
      <w:lvlText w:val="(%1)"/>
      <w:numFmt w:val="decimal"/>
      <w:start w:val="1"/>
    </w:lvl>
  </w:abstractNum>
  <w:abstractNum w:abstractNumId="32">
    <w:nsid w:val="CC1016F"/>
    <w:multiLevelType w:val="hybridMultilevel"/>
    <w:lvl w:ilvl="0">
      <w:lvlJc w:val="left"/>
      <w:lvlText w:val="(%1)"/>
      <w:numFmt w:val="decimal"/>
      <w:start w:val="1"/>
    </w:lvl>
  </w:abstractNum>
  <w:abstractNum w:abstractNumId="33">
    <w:nsid w:val="43F18422"/>
    <w:multiLevelType w:val="hybridMultilevel"/>
    <w:lvl w:ilvl="0">
      <w:lvlJc w:val="left"/>
      <w:lvlText w:val="(%1)"/>
      <w:numFmt w:val="decimal"/>
      <w:start w:val="1"/>
    </w:lvl>
  </w:abstractNum>
  <w:abstractNum w:abstractNumId="34">
    <w:nsid w:val="60EF0119"/>
    <w:multiLevelType w:val="hybridMultilevel"/>
    <w:lvl w:ilvl="0">
      <w:lvlJc w:val="left"/>
      <w:lvlText w:val="%1."/>
      <w:numFmt w:val="decimal"/>
      <w:start w:val="13"/>
    </w:lvl>
  </w:abstractNum>
  <w:abstractNum w:abstractNumId="35">
    <w:nsid w:val="26F324BA"/>
    <w:multiLevelType w:val="hybridMultilevel"/>
    <w:lvl w:ilvl="0">
      <w:lvlJc w:val="left"/>
      <w:lvlText w:val="(%1)"/>
      <w:numFmt w:val="decimal"/>
      <w:start w:val="1"/>
    </w:lvl>
  </w:abstractNum>
  <w:abstractNum w:abstractNumId="36">
    <w:nsid w:val="7F01579B"/>
    <w:multiLevelType w:val="hybridMultilevel"/>
    <w:lvl w:ilvl="0">
      <w:lvlJc w:val="left"/>
      <w:lvlText w:val="%1."/>
      <w:numFmt w:val="decimal"/>
      <w:start w:val="15"/>
    </w:lvl>
  </w:abstractNum>
  <w:abstractNum w:abstractNumId="37">
    <w:nsid w:val="49DA307D"/>
    <w:multiLevelType w:val="hybridMultilevel"/>
    <w:lvl w:ilvl="0">
      <w:lvlJc w:val="left"/>
      <w:lvlText w:val="%1."/>
      <w:numFmt w:val="decimal"/>
      <w:start w:val="17"/>
    </w:lvl>
  </w:abstractNum>
  <w:abstractNum w:abstractNumId="38">
    <w:nsid w:val="7055A5F5"/>
    <w:multiLevelType w:val="hybridMultilevel"/>
    <w:lvl w:ilvl="0">
      <w:lvlJc w:val="left"/>
      <w:lvlText w:val="%1."/>
      <w:numFmt w:val="decimal"/>
      <w:start w:val="18"/>
    </w:lvl>
  </w:abstractNum>
  <w:abstractNum w:abstractNumId="39">
    <w:nsid w:val="5FB8370B"/>
    <w:multiLevelType w:val="hybridMultilevel"/>
    <w:lvl w:ilvl="0">
      <w:lvlJc w:val="left"/>
      <w:lvlText w:val="%1."/>
      <w:numFmt w:val="decimal"/>
      <w:start w:val="19"/>
    </w:lvl>
  </w:abstractNum>
  <w:abstractNum w:abstractNumId="40">
    <w:nsid w:val="50801EE1"/>
    <w:multiLevelType w:val="hybridMultilevel"/>
    <w:lvl w:ilvl="0">
      <w:lvlJc w:val="left"/>
      <w:lvlText w:val="%1."/>
      <w:numFmt w:val="decimal"/>
      <w:start w:val="20"/>
    </w:lvl>
  </w:abstractNum>
  <w:abstractNum w:abstractNumId="41">
    <w:nsid w:val="488AC1A"/>
    <w:multiLevelType w:val="hybridMultilevel"/>
    <w:lvl w:ilvl="0">
      <w:lvlJc w:val="left"/>
      <w:lvlText w:val="(%1)"/>
      <w:numFmt w:val="decimal"/>
      <w:start w:val="6"/>
    </w:lvl>
  </w:abstractNum>
  <w:abstractNum w:abstractNumId="42">
    <w:nsid w:val="5FB8011C"/>
    <w:multiLevelType w:val="hybridMultilevel"/>
    <w:lvl w:ilvl="0">
      <w:lvlJc w:val="left"/>
      <w:lvlText w:val="•"/>
      <w:numFmt w:val="bullet"/>
      <w:start w:val="1"/>
    </w:lvl>
    <w:lvl w:ilvl="1">
      <w:lvlJc w:val="left"/>
      <w:lvlText w:val="◦"/>
      <w:numFmt w:val="bullet"/>
      <w:start w:val="1"/>
    </w:lvl>
  </w:abstractNum>
  <w:abstractNum w:abstractNumId="43">
    <w:nsid w:val="6AA78F7F"/>
    <w:multiLevelType w:val="hybridMultilevel"/>
    <w:lvl w:ilvl="0">
      <w:lvlJc w:val="left"/>
      <w:lvlText w:val="•"/>
      <w:numFmt w:val="bullet"/>
      <w:start w:val="1"/>
    </w:lvl>
    <w:lvl w:ilvl="1">
      <w:lvlJc w:val="left"/>
      <w:lvlText w:val="◦"/>
      <w:numFmt w:val="bullet"/>
      <w:start w:val="1"/>
    </w:lvl>
  </w:abstractNum>
  <w:abstractNum w:abstractNumId="44">
    <w:nsid w:val="7672BD23"/>
    <w:multiLevelType w:val="hybridMultilevel"/>
    <w:lvl w:ilvl="0">
      <w:lvlJc w:val="left"/>
      <w:lvlText w:val="•"/>
      <w:numFmt w:val="bullet"/>
      <w:start w:val="1"/>
    </w:lvl>
  </w:abstractNum>
  <w:abstractNum w:abstractNumId="45">
    <w:nsid w:val="6FC75AF8"/>
    <w:multiLevelType w:val="hybridMultilevel"/>
    <w:lvl w:ilvl="0">
      <w:lvlJc w:val="left"/>
      <w:lvlText w:val="•"/>
      <w:numFmt w:val="bullet"/>
      <w:start w:val="1"/>
    </w:lvl>
  </w:abstractNum>
  <w:abstractNum w:abstractNumId="46">
    <w:nsid w:val="6A5F7029"/>
    <w:multiLevelType w:val="hybridMultilevel"/>
    <w:lvl w:ilvl="0">
      <w:lvlJc w:val="left"/>
      <w:lvlText w:val="•"/>
      <w:numFmt w:val="bullet"/>
      <w:start w:val="1"/>
    </w:lvl>
  </w:abstractNum>
  <w:abstractNum w:abstractNumId="47">
    <w:nsid w:val="7D5E18F8"/>
    <w:multiLevelType w:val="hybridMultilevel"/>
    <w:lvl w:ilvl="0">
      <w:lvlJc w:val="left"/>
      <w:lvlText w:val="•"/>
      <w:numFmt w:val="bullet"/>
      <w:start w:val="1"/>
    </w:lvl>
  </w:abstractNum>
  <w:abstractNum w:abstractNumId="48">
    <w:nsid w:val="5F3534A4"/>
    <w:multiLevelType w:val="hybridMultilevel"/>
    <w:lvl w:ilvl="0">
      <w:lvlJc w:val="left"/>
      <w:lvlText w:val="*"/>
      <w:numFmt w:val="bullet"/>
      <w:start w:val="1"/>
    </w:lvl>
  </w:abstractNum>
  <w:abstractNum w:abstractNumId="49">
    <w:nsid w:val="73A1821B"/>
    <w:multiLevelType w:val="hybridMultilevel"/>
    <w:lvl w:ilvl="0">
      <w:lvlJc w:val="left"/>
      <w:lvlText w:val="▪"/>
      <w:numFmt w:val="bullet"/>
      <w:start w:val="1"/>
    </w:lvl>
  </w:abstractNum>
  <w:abstractNum w:abstractNumId="50">
    <w:nsid w:val="7DE67713"/>
    <w:multiLevelType w:val="hybridMultilevel"/>
    <w:lvl w:ilvl="0">
      <w:lvlJc w:val="left"/>
      <w:lvlText w:val="(%1)"/>
      <w:numFmt w:val="lowerLetter"/>
      <w:start w:val="1"/>
    </w:lvl>
  </w:abstractNum>
  <w:abstractNum w:abstractNumId="51">
    <w:nsid w:val="555C55B5"/>
    <w:multiLevelType w:val="hybridMultilevel"/>
    <w:lvl w:ilvl="0">
      <w:lvlJc w:val="left"/>
      <w:lvlText w:val="%1."/>
      <w:numFmt w:val="lowerLetter"/>
      <w:start w:val="1"/>
    </w:lvl>
  </w:abstractNum>
  <w:abstractNum w:abstractNumId="52">
    <w:nsid w:val="3FA62ACA"/>
    <w:multiLevelType w:val="hybridMultilevel"/>
    <w:lvl w:ilvl="0">
      <w:lvlJc w:val="left"/>
      <w:lvlText w:val="•"/>
      <w:numFmt w:val="bullet"/>
      <w:start w:val="1"/>
    </w:lvl>
  </w:abstractNum>
  <w:abstractNum w:abstractNumId="53">
    <w:nsid w:val="14FCE74E"/>
    <w:multiLevelType w:val="hybridMultilevel"/>
    <w:lvl w:ilvl="0">
      <w:lvlJc w:val="left"/>
      <w:lvlText w:val="%1."/>
      <w:numFmt w:val="decimal"/>
      <w:start w:val="1"/>
    </w:lvl>
  </w:abstractNum>
  <w:abstractNum w:abstractNumId="54">
    <w:nsid w:val="6A3DD3E8"/>
    <w:multiLevelType w:val="hybridMultilevel"/>
    <w:lvl w:ilvl="0">
      <w:lvlJc w:val="left"/>
      <w:lvlText w:val="%1."/>
      <w:numFmt w:val="decimal"/>
      <w:start w:val="1"/>
    </w:lvl>
  </w:abstractNum>
  <w:abstractNum w:abstractNumId="55">
    <w:nsid w:val="71C91298"/>
    <w:multiLevelType w:val="hybridMultilevel"/>
    <w:lvl w:ilvl="0">
      <w:lvlJc w:val="left"/>
      <w:lvlText w:val="%1."/>
      <w:numFmt w:val="decimal"/>
      <w:start w:val="1"/>
    </w:lvl>
  </w:abstractNum>
  <w:abstractNum w:abstractNumId="56">
    <w:nsid w:val="9DAF632"/>
    <w:multiLevelType w:val="hybridMultilevel"/>
    <w:lvl w:ilvl="0">
      <w:lvlJc w:val="left"/>
      <w:lvlText w:val="%1."/>
      <w:numFmt w:val="decimal"/>
      <w:start w:val="1"/>
    </w:lvl>
  </w:abstractNum>
  <w:abstractNum w:abstractNumId="57">
    <w:nsid w:val="53299938"/>
    <w:multiLevelType w:val="hybridMultilevel"/>
    <w:lvl w:ilvl="0">
      <w:lvlJc w:val="left"/>
      <w:lvlText w:val="%1."/>
      <w:numFmt w:val="decimal"/>
      <w:start w:val="1"/>
    </w:lvl>
  </w:abstractNum>
  <w:abstractNum w:abstractNumId="58">
    <w:nsid w:val="1FBFE8E0"/>
    <w:multiLevelType w:val="hybridMultilevel"/>
    <w:lvl w:ilvl="0">
      <w:lvlJc w:val="left"/>
      <w:lvlText w:val="%1."/>
      <w:numFmt w:val="decimal"/>
      <w:start w:val="1"/>
    </w:lvl>
  </w:abstractNum>
  <w:abstractNum w:abstractNumId="59">
    <w:nsid w:val="5092CA79"/>
    <w:multiLevelType w:val="hybridMultilevel"/>
    <w:lvl w:ilvl="0">
      <w:lvlJc w:val="left"/>
      <w:lvlText w:val="%1."/>
      <w:numFmt w:val="decimal"/>
      <w:start w:val="1"/>
    </w:lvl>
  </w:abstractNum>
  <w:abstractNum w:abstractNumId="60">
    <w:nsid w:val="1D545C4D"/>
    <w:multiLevelType w:val="hybridMultilevel"/>
    <w:lvl w:ilvl="0">
      <w:lvlJc w:val="left"/>
      <w:lvlText w:val="%1."/>
      <w:numFmt w:val="decimal"/>
      <w:start w:val="1"/>
    </w:lvl>
  </w:abstractNum>
  <w:abstractNum w:abstractNumId="61">
    <w:nsid w:val="59ADEA3D"/>
    <w:multiLevelType w:val="hybridMultilevel"/>
    <w:lvl w:ilvl="0">
      <w:lvlJc w:val="left"/>
      <w:lvlText w:val="%1."/>
      <w:numFmt w:val="decimal"/>
      <w:start w:val="1"/>
    </w:lvl>
  </w:abstractNum>
  <w:abstractNum w:abstractNumId="62">
    <w:nsid w:val="288F1A34"/>
    <w:multiLevelType w:val="hybridMultilevel"/>
    <w:lvl w:ilvl="0">
      <w:lvlJc w:val="left"/>
      <w:lvlText w:val="%1."/>
      <w:numFmt w:val="decimal"/>
      <w:start w:val="1"/>
    </w:lvl>
  </w:abstractNum>
  <w:abstractNum w:abstractNumId="63">
    <w:nsid w:val="2A155DBC"/>
    <w:multiLevelType w:val="hybridMultilevel"/>
    <w:lvl w:ilvl="0">
      <w:lvlJc w:val="left"/>
      <w:lvlText w:val="%1."/>
      <w:numFmt w:val="decimal"/>
      <w:start w:val="1"/>
    </w:lvl>
  </w:abstractNum>
  <w:abstractNum w:abstractNumId="64">
    <w:nsid w:val="1D9F6E5F"/>
    <w:multiLevelType w:val="hybridMultilevel"/>
    <w:lvl w:ilvl="0">
      <w:lvlJc w:val="left"/>
      <w:lvlText w:val="%1."/>
      <w:numFmt w:val="decimal"/>
      <w:start w:val="1"/>
    </w:lvl>
  </w:abstractNum>
  <w:abstractNum w:abstractNumId="65">
    <w:nsid w:val="97E1B4E"/>
    <w:multiLevelType w:val="hybridMultilevel"/>
    <w:lvl w:ilvl="0">
      <w:lvlJc w:val="left"/>
      <w:lvlText w:val="▪"/>
      <w:numFmt w:val="bullet"/>
      <w:start w:val="1"/>
    </w:lvl>
  </w:abstractNum>
  <w:abstractNum w:abstractNumId="66">
    <w:nsid w:val="51088277"/>
    <w:multiLevelType w:val="hybridMultilevel"/>
    <w:lvl w:ilvl="0">
      <w:lvlJc w:val="left"/>
      <w:lvlText w:val="(%1)"/>
      <w:numFmt w:val="lowerLetter"/>
      <w:start w:val="1"/>
    </w:lvl>
  </w:abstractNum>
  <w:abstractNum w:abstractNumId="67">
    <w:nsid w:val="1CA0C5FA"/>
    <w:multiLevelType w:val="hybridMultilevel"/>
    <w:lvl w:ilvl="0">
      <w:lvlJc w:val="left"/>
      <w:lvlText w:val="%1."/>
      <w:numFmt w:val="lowerLetter"/>
      <w:start w:val="1"/>
    </w:lvl>
  </w:abstractNum>
  <w:abstractNum w:abstractNumId="68">
    <w:nsid w:val="53584BCB"/>
    <w:multiLevelType w:val="hybridMultilevel"/>
    <w:lvl w:ilvl="0">
      <w:lvlJc w:val="left"/>
      <w:lvlText w:val="•"/>
      <w:numFmt w:val="bullet"/>
      <w:start w:val="1"/>
    </w:lvl>
  </w:abstractNum>
  <w:abstractNum w:abstractNumId="69">
    <w:nsid w:val="415E286C"/>
    <w:multiLevelType w:val="hybridMultilevel"/>
    <w:lvl w:ilvl="0">
      <w:lvlJc w:val="left"/>
      <w:lvlText w:val="•"/>
      <w:numFmt w:val="bullet"/>
      <w:start w:val="1"/>
    </w:lvl>
  </w:abstractNum>
  <w:abstractNum w:abstractNumId="70">
    <w:nsid w:val="7C58FD05"/>
    <w:multiLevelType w:val="hybridMultilevel"/>
    <w:lvl w:ilvl="0">
      <w:lvlJc w:val="left"/>
      <w:lvlText w:val="%1."/>
      <w:numFmt w:val="decimal"/>
      <w:start w:val="1"/>
    </w:lvl>
  </w:abstractNum>
  <w:abstractNum w:abstractNumId="71">
    <w:nsid w:val="23D86AAC"/>
    <w:multiLevelType w:val="hybridMultilevel"/>
    <w:lvl w:ilvl="0">
      <w:lvlJc w:val="left"/>
      <w:lvlText w:val="%1."/>
      <w:numFmt w:val="decimal"/>
      <w:start w:val="1"/>
    </w:lvl>
  </w:abstractNum>
  <w:abstractNum w:abstractNumId="72">
    <w:nsid w:val="45E6D486"/>
    <w:multiLevelType w:val="hybridMultilevel"/>
    <w:lvl w:ilvl="0">
      <w:lvlJc w:val="left"/>
      <w:lvlText w:val="%1."/>
      <w:numFmt w:val="decimal"/>
      <w:start w:val="1"/>
    </w:lvl>
  </w:abstractNum>
  <w:abstractNum w:abstractNumId="73">
    <w:nsid w:val="5C10FE21"/>
    <w:multiLevelType w:val="hybridMultilevel"/>
    <w:lvl w:ilvl="0">
      <w:lvlJc w:val="left"/>
      <w:lvlText w:val="%1."/>
      <w:numFmt w:val="decimal"/>
      <w:start w:val="1"/>
    </w:lvl>
  </w:abstractNum>
  <w:abstractNum w:abstractNumId="74">
    <w:nsid w:val="E7FFA2B"/>
    <w:multiLevelType w:val="hybridMultilevel"/>
    <w:lvl w:ilvl="0">
      <w:lvlJc w:val="left"/>
      <w:lvlText w:val="%1."/>
      <w:numFmt w:val="decimal"/>
      <w:start w:val="1"/>
    </w:lvl>
  </w:abstractNum>
  <w:abstractNum w:abstractNumId="75">
    <w:nsid w:val="3C5991AA"/>
    <w:multiLevelType w:val="hybridMultilevel"/>
    <w:lvl w:ilvl="0">
      <w:lvlJc w:val="left"/>
      <w:lvlText w:val="%1."/>
      <w:numFmt w:val="decimal"/>
      <w:start w:val="1"/>
    </w:lvl>
  </w:abstractNum>
  <w:abstractNum w:abstractNumId="76">
    <w:nsid w:val="4BD8591A"/>
    <w:multiLevelType w:val="hybridMultilevel"/>
    <w:lvl w:ilvl="0">
      <w:lvlJc w:val="left"/>
      <w:lvlText w:val="%1."/>
      <w:numFmt w:val="decimal"/>
      <w:start w:val="1"/>
    </w:lvl>
  </w:abstractNum>
  <w:abstractNum w:abstractNumId="77">
    <w:nsid w:val="78DF6A55"/>
    <w:multiLevelType w:val="hybridMultilevel"/>
    <w:lvl w:ilvl="0">
      <w:lvlJc w:val="left"/>
      <w:lvlText w:val="%1."/>
      <w:numFmt w:val="decimal"/>
      <w:start w:val="1"/>
    </w:lvl>
  </w:abstractNum>
  <w:abstractNum w:abstractNumId="78">
    <w:nsid w:val="39B7AAA2"/>
    <w:multiLevelType w:val="hybridMultilevel"/>
    <w:lvl w:ilvl="0">
      <w:lvlJc w:val="left"/>
      <w:lvlText w:val="%1."/>
      <w:numFmt w:val="decimal"/>
      <w:start w:val="1"/>
    </w:lvl>
  </w:abstractNum>
  <w:abstractNum w:abstractNumId="79">
    <w:nsid w:val="2B0D8DBE"/>
    <w:multiLevelType w:val="hybridMultilevel"/>
    <w:lvl w:ilvl="0">
      <w:lvlJc w:val="left"/>
      <w:lvlText w:val="%1."/>
      <w:numFmt w:val="decimal"/>
      <w:start w:val="1"/>
    </w:lvl>
  </w:abstractNum>
  <w:abstractNum w:abstractNumId="80">
    <w:nsid w:val="6C80EC70"/>
    <w:multiLevelType w:val="hybridMultilevel"/>
    <w:lvl w:ilvl="0">
      <w:lvlJc w:val="left"/>
      <w:lvlText w:val="%1."/>
      <w:numFmt w:val="decimal"/>
      <w:start w:val="1"/>
    </w:lvl>
  </w:abstractNum>
  <w:abstractNum w:abstractNumId="81">
    <w:nsid w:val="379E21B5"/>
    <w:multiLevelType w:val="hybridMultilevel"/>
    <w:lvl w:ilvl="0">
      <w:lvlJc w:val="left"/>
      <w:lvlText w:val="%1."/>
      <w:numFmt w:val="decimal"/>
      <w:start w:val="1"/>
    </w:lvl>
  </w:abstractNum>
  <w:abstractNum w:abstractNumId="82">
    <w:nsid w:val="69E373"/>
    <w:multiLevelType w:val="hybridMultilevel"/>
    <w:lvl w:ilvl="0">
      <w:lvlJc w:val="left"/>
      <w:lvlText w:val="%1."/>
      <w:numFmt w:val="decimal"/>
      <w:start w:val="1"/>
    </w:lvl>
  </w:abstractNum>
  <w:abstractNum w:abstractNumId="83">
    <w:nsid w:val="2C27173B"/>
    <w:multiLevelType w:val="hybridMultilevel"/>
    <w:lvl w:ilvl="0">
      <w:lvlJc w:val="left"/>
      <w:lvlText w:val="%1."/>
      <w:numFmt w:val="decimal"/>
      <w:start w:val="4"/>
    </w:lvl>
  </w:abstractNum>
  <w:abstractNum w:abstractNumId="84">
    <w:nsid w:val="4C9B0904"/>
    <w:multiLevelType w:val="hybridMultilevel"/>
    <w:lvl w:ilvl="0">
      <w:lvlJc w:val="left"/>
      <w:lvlText w:val="(%1)"/>
      <w:numFmt w:val="lowerLetter"/>
      <w:start w:val="1"/>
    </w:lvl>
  </w:abstractNum>
  <w:abstractNum w:abstractNumId="85">
    <w:nsid w:val="6AA7B75C"/>
    <w:multiLevelType w:val="hybridMultilevel"/>
    <w:lvl w:ilvl="0">
      <w:lvlJc w:val="left"/>
      <w:lvlText w:val="%1."/>
      <w:numFmt w:val="lowerLetter"/>
      <w:start w:val="1"/>
    </w:lvl>
  </w:abstractNum>
  <w:abstractNum w:abstractNumId="86">
    <w:nsid w:val="1DF029D3"/>
    <w:multiLevelType w:val="hybridMultilevel"/>
    <w:lvl w:ilvl="0">
      <w:lvlJc w:val="left"/>
      <w:lvlText w:val="%1."/>
      <w:numFmt w:val="decimal"/>
      <w:start w:val="5"/>
    </w:lvl>
  </w:abstractNum>
  <w:abstractNum w:abstractNumId="87">
    <w:nsid w:val="5675FF36"/>
    <w:multiLevelType w:val="hybridMultilevel"/>
    <w:lvl w:ilvl="0">
      <w:lvlJc w:val="left"/>
      <w:lvlText w:val="(%1)"/>
      <w:numFmt w:val="upperLetter"/>
      <w:start w:val="7"/>
    </w:lvl>
  </w:abstractNum>
  <w:abstractNum w:abstractNumId="88">
    <w:nsid w:val="3DD15094"/>
    <w:multiLevelType w:val="hybridMultilevel"/>
    <w:lvl w:ilvl="0">
      <w:lvlJc w:val="left"/>
      <w:lvlText w:val="(%1)"/>
      <w:numFmt w:val="upperLetter"/>
      <w:start w:val="1"/>
    </w:lvl>
  </w:abstractNum>
  <w:abstractNum w:abstractNumId="89">
    <w:nsid w:val="3DB012B3"/>
    <w:multiLevelType w:val="hybridMultilevel"/>
    <w:lvl w:ilvl="0">
      <w:lvlJc w:val="left"/>
      <w:lvlText w:val="%1."/>
      <w:numFmt w:val="decimal"/>
      <w:start w:val="6"/>
    </w:lvl>
  </w:abstractNum>
  <w:abstractNum w:abstractNumId="90">
    <w:nsid w:val="2708C9AF"/>
    <w:multiLevelType w:val="hybridMultilevel"/>
    <w:lvl w:ilvl="0">
      <w:lvlJc w:val="left"/>
      <w:lvlText w:val="(%1)"/>
      <w:numFmt w:val="lowerRoman"/>
      <w:start w:val="1"/>
    </w:lvl>
  </w:abstractNum>
  <w:abstractNum w:abstractNumId="91">
    <w:nsid w:val="5B25ACE2"/>
    <w:multiLevelType w:val="hybridMultilevel"/>
    <w:lvl w:ilvl="0">
      <w:lvlJc w:val="left"/>
      <w:lvlText w:val="%1."/>
      <w:numFmt w:val="decimal"/>
      <w:start w:val="7"/>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Letter"/>
      <w:start w:val="1"/>
    </w:lvl>
  </w:abstractNum>
  <w:abstractNum w:abstractNumId="94">
    <w:nsid w:val="53B0A9E"/>
    <w:multiLevelType w:val="hybridMultilevel"/>
    <w:lvl w:ilvl="0">
      <w:lvlJc w:val="left"/>
      <w:lvlText w:val="%1."/>
      <w:numFmt w:val="lowerLetter"/>
      <w:start w:val="2"/>
    </w:lvl>
  </w:abstractNum>
  <w:abstractNum w:abstractNumId="95">
    <w:nsid w:val="34FD6B4F"/>
    <w:multiLevelType w:val="hybridMultilevel"/>
    <w:lvl w:ilvl="0">
      <w:lvlJc w:val="left"/>
      <w:lvlText w:val="%1."/>
      <w:numFmt w:val="decimal"/>
      <w:start w:val="1"/>
    </w:lvl>
  </w:abstractNum>
  <w:abstractNum w:abstractNumId="96">
    <w:nsid w:val="5915FF32"/>
    <w:multiLevelType w:val="hybridMultilevel"/>
    <w:lvl w:ilvl="0">
      <w:lvlJc w:val="left"/>
      <w:lvlText w:val="%1."/>
      <w:numFmt w:val="decimal"/>
      <w:start w:val="4"/>
    </w:lvl>
  </w:abstractNum>
  <w:abstractNum w:abstractNumId="97">
    <w:nsid w:val="56438D15"/>
    <w:multiLevelType w:val="hybridMultilevel"/>
    <w:lvl w:ilvl="0">
      <w:lvlJc w:val="left"/>
      <w:lvlText w:val="%1."/>
      <w:numFmt w:val="decimal"/>
      <w:start w:val="5"/>
    </w:lvl>
  </w:abstractNum>
  <w:abstractNum w:abstractNumId="98">
    <w:nsid w:val="519E3149"/>
    <w:multiLevelType w:val="hybridMultilevel"/>
    <w:lvl w:ilvl="0">
      <w:lvlJc w:val="left"/>
      <w:lvlText w:val="%1."/>
      <w:numFmt w:val="decimal"/>
      <w:start w:val="6"/>
    </w:lvl>
  </w:abstractNum>
  <w:abstractNum w:abstractNumId="99">
    <w:nsid w:val="2C6E4AFD"/>
    <w:multiLevelType w:val="hybridMultilevel"/>
    <w:lvl w:ilvl="0">
      <w:lvlJc w:val="left"/>
      <w:lvlText w:val="(%1)"/>
      <w:numFmt w:val="lowerRoman"/>
      <w:start w:val="2"/>
    </w:lvl>
  </w:abstractNum>
  <w:abstractNum w:abstractNumId="100">
    <w:nsid w:val="17A1B582"/>
    <w:multiLevelType w:val="hybridMultilevel"/>
    <w:lvl w:ilvl="0">
      <w:lvlJc w:val="left"/>
      <w:lvlText w:val="%1."/>
      <w:numFmt w:val="decimal"/>
      <w:start w:val="7"/>
    </w:lvl>
  </w:abstractNum>
  <w:abstractNum w:abstractNumId="101">
    <w:nsid w:val="4DF72E4E"/>
    <w:multiLevelType w:val="hybridMultilevel"/>
    <w:lvl w:ilvl="0">
      <w:lvlJc w:val="left"/>
      <w:lvlText w:val="%1."/>
      <w:numFmt w:val="decimal"/>
      <w:start w:val="1"/>
    </w:lvl>
  </w:abstractNum>
  <w:abstractNum w:abstractNumId="102">
    <w:nsid w:val="5046B5A9"/>
    <w:multiLevelType w:val="hybridMultilevel"/>
    <w:lvl w:ilvl="0">
      <w:lvlJc w:val="left"/>
      <w:lvlText w:val="%1."/>
      <w:numFmt w:val="decimal"/>
      <w:start w:val="4"/>
    </w:lvl>
  </w:abstractNum>
  <w:abstractNum w:abstractNumId="103">
    <w:nsid w:val="5D888A08"/>
    <w:multiLevelType w:val="hybridMultilevel"/>
    <w:lvl w:ilvl="0">
      <w:lvlJc w:val="left"/>
      <w:lvlText w:val="(%1)"/>
      <w:numFmt w:val="lowerLetter"/>
      <w:start w:val="1"/>
    </w:lvl>
  </w:abstractNum>
  <w:abstractNum w:abstractNumId="104">
    <w:nsid w:val="2A082C7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105">
    <w:nsid w:val="5EC6AFD4"/>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lvl w:ilvl="3">
      <w:lvlJc w:val="left"/>
      <w:lvlText w:val="%4."/>
      <w:numFmt w:val="lowerLetter"/>
      <w:start w:val="9"/>
    </w:lvl>
  </w:abstractNum>
  <w:abstractNum w:abstractNumId="106">
    <w:nsid w:val="19E21BB2"/>
    <w:multiLevelType w:val="hybridMultilevel"/>
    <w:lvl w:ilvl="0">
      <w:lvlJc w:val="left"/>
      <w:lvlText w:val="%1."/>
      <w:numFmt w:val="lowerLetter"/>
      <w:start w:val="35"/>
    </w:lvl>
    <w:lvl w:ilvl="1">
      <w:lvlJc w:val="left"/>
      <w:lvlText w:val="%2."/>
      <w:numFmt w:val="lowerLetter"/>
      <w:start w:val="1"/>
    </w:lvl>
  </w:abstractNum>
  <w:abstractNum w:abstractNumId="107">
    <w:nsid w:val="75E0858A"/>
    <w:multiLevelType w:val="hybridMultilevel"/>
    <w:lvl w:ilvl="0">
      <w:lvlJc w:val="left"/>
      <w:lvlText w:val="%1"/>
      <w:numFmt w:val="lowerRoman"/>
      <w:start w:val="1"/>
    </w:lvl>
    <w:lvl w:ilvl="1">
      <w:lvlJc w:val="left"/>
      <w:lvlText w:val="%2."/>
      <w:numFmt w:val="lowerRoman"/>
      <w:start w:val="1"/>
    </w:lvl>
  </w:abstractNum>
  <w:abstractNum w:abstractNumId="108">
    <w:nsid w:val="57A61A29"/>
    <w:multiLevelType w:val="hybridMultilevel"/>
    <w:lvl w:ilvl="0">
      <w:lvlJc w:val="left"/>
      <w:lvlText w:val="%1."/>
      <w:numFmt w:val="lowerRoman"/>
      <w:start w:val="2"/>
    </w:lvl>
    <w:lvl w:ilvl="1">
      <w:lvlJc w:val="left"/>
      <w:lvlText w:val="%2"/>
      <w:numFmt w:val="lowerRoman"/>
      <w:start w:val="1"/>
    </w:lvl>
  </w:abstractNum>
  <w:abstractNum w:abstractNumId="109">
    <w:nsid w:val="5399C654"/>
    <w:multiLevelType w:val="hybridMultilevel"/>
    <w:lvl w:ilvl="0">
      <w:lvlJc w:val="left"/>
      <w:lvlText w:val="(%1)"/>
      <w:numFmt w:val="lowerLetter"/>
      <w:start w:val="1"/>
    </w:lvl>
    <w:lvl w:ilvl="1">
      <w:lvlJc w:val="left"/>
      <w:lvlText w:val="(%2)"/>
      <w:numFmt w:val="decimal"/>
      <w:start w:val="90"/>
    </w:lvl>
  </w:abstractNum>
  <w:abstractNum w:abstractNumId="110">
    <w:nsid w:val="20EE1348"/>
    <w:multiLevelType w:val="hybridMultilevel"/>
    <w:lvl w:ilvl="0">
      <w:lvlJc w:val="left"/>
      <w:lvlText w:val="%1."/>
      <w:numFmt w:val="lowerRoman"/>
      <w:start w:val="3"/>
    </w:lvl>
  </w:abstractNum>
  <w:abstractNum w:abstractNumId="111">
    <w:nsid w:val="4427069A"/>
    <w:multiLevelType w:val="hybridMultilevel"/>
    <w:lvl w:ilvl="0">
      <w:lvlJc w:val="left"/>
      <w:lvlText w:val="%1"/>
      <w:numFmt w:val="lowerLetter"/>
      <w:start w:val="1"/>
    </w:lvl>
    <w:lvl w:ilvl="1">
      <w:lvlJc w:val="left"/>
      <w:lvlText w:val="%2."/>
      <w:numFmt w:val="lowerRoman"/>
      <w:start w:val="4"/>
    </w:lvl>
    <w:lvl w:ilvl="2">
      <w:lvlJc w:val="left"/>
      <w:lvlText w:val="%3."/>
      <w:numFmt w:val="lowerRoman"/>
      <w:start w:val="6"/>
    </w:lvl>
    <w:lvl w:ilvl="3">
      <w:lvlJc w:val="left"/>
      <w:lvlText w:val="%4"/>
      <w:numFmt w:val="lowerLetter"/>
      <w:start w:val="1"/>
    </w:lvl>
  </w:abstractNum>
  <w:abstractNum w:abstractNumId="112">
    <w:nsid w:val="B37E80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Letter"/>
      <w:start w:val="1"/>
    </w:lvl>
  </w:abstractNum>
  <w:abstractNum w:abstractNumId="113">
    <w:nsid w:val="2157F6BC"/>
    <w:multiLevelType w:val="hybridMultilevel"/>
    <w:lvl w:ilvl="0">
      <w:lvlJc w:val="left"/>
      <w:lvlText w:val="(%1)"/>
      <w:numFmt w:val="lowerLetter"/>
      <w:start w:val="2"/>
    </w:lvl>
  </w:abstractNum>
  <w:abstractNum w:abstractNumId="114">
    <w:nsid w:val="704E1DD5"/>
    <w:multiLevelType w:val="hybridMultilevel"/>
    <w:lvl w:ilvl="0">
      <w:lvlJc w:val="left"/>
      <w:lvlText w:val="%1"/>
      <w:numFmt w:val="lowerRoman"/>
      <w:start w:val="1"/>
    </w:lvl>
    <w:lvl w:ilvl="1">
      <w:lvlJc w:val="left"/>
      <w:lvlText w:val="%2."/>
      <w:numFmt w:val="lowerRoman"/>
      <w:start w:val="2"/>
    </w:lvl>
  </w:abstractNum>
  <w:abstractNum w:abstractNumId="115">
    <w:nsid w:val="57D2F10E"/>
    <w:multiLevelType w:val="hybridMultilevel"/>
    <w:lvl w:ilvl="0">
      <w:lvlJc w:val="left"/>
      <w:lvlText w:val="%1."/>
      <w:numFmt w:val="lowerRoman"/>
      <w:start w:val="4"/>
    </w:lvl>
    <w:lvl w:ilvl="1">
      <w:lvlJc w:val="left"/>
      <w:lvlText w:val="%2"/>
      <w:numFmt w:val="lowerRoman"/>
      <w:start w:val="1"/>
    </w:lvl>
  </w:abstractNum>
  <w:abstractNum w:abstractNumId="116">
    <w:nsid w:val="BFFAE18"/>
    <w:multiLevelType w:val="hybridMultilevel"/>
    <w:lvl w:ilvl="0">
      <w:lvlJc w:val="left"/>
      <w:lvlText w:val="%1."/>
      <w:numFmt w:val="lowerRoman"/>
      <w:start w:val="5"/>
    </w:lvl>
  </w:abstractNum>
  <w:abstractNum w:abstractNumId="117">
    <w:nsid w:val="E3E47A8"/>
    <w:multiLevelType w:val="hybridMultilevel"/>
    <w:lvl w:ilvl="0">
      <w:lvlJc w:val="left"/>
      <w:lvlText w:val="%1."/>
      <w:numFmt w:val="lowerRoman"/>
      <w:start w:val="6"/>
    </w:lvl>
  </w:abstractNum>
  <w:abstractNum w:abstractNumId="118">
    <w:nsid w:val="2E48F044"/>
    <w:multiLevelType w:val="hybridMultilevel"/>
    <w:lvl w:ilvl="0">
      <w:lvlJc w:val="left"/>
      <w:lvlText w:val="%1"/>
      <w:numFmt w:val="lowerLetter"/>
      <w:start w:val="1"/>
    </w:lvl>
    <w:lvl w:ilvl="1">
      <w:lvlJc w:val="left"/>
      <w:lvlText w:val="%2."/>
      <w:numFmt w:val="lowerRoman"/>
      <w:start w:val="7"/>
    </w:lvl>
  </w:abstractNum>
  <w:abstractNum w:abstractNumId="119">
    <w:nsid w:val="49D0FEAC"/>
    <w:multiLevelType w:val="hybridMultilevel"/>
    <w:lvl w:ilvl="0">
      <w:lvlJc w:val="left"/>
      <w:lvlText w:val="%1."/>
      <w:numFmt w:val="lowerLetter"/>
      <w:start w:val="3"/>
    </w:lvl>
    <w:lvl w:ilvl="1">
      <w:lvlJc w:val="left"/>
      <w:lvlText w:val="%2."/>
      <w:numFmt w:val="lowerRoman"/>
      <w:start w:val="1"/>
    </w:lvl>
  </w:abstractNum>
  <w:abstractNum w:abstractNumId="120">
    <w:nsid w:val="4BEE5A5B"/>
    <w:multiLevelType w:val="hybridMultilevel"/>
    <w:lvl w:ilvl="0">
      <w:lvlJc w:val="left"/>
      <w:lvlText w:val="(%1)"/>
      <w:numFmt w:val="lowerLetter"/>
      <w:start w:val="1"/>
    </w:lvl>
  </w:abstractNum>
  <w:abstractNum w:abstractNumId="121">
    <w:nsid w:val="5551B9F3"/>
    <w:multiLevelType w:val="hybridMultilevel"/>
    <w:lvl w:ilvl="0">
      <w:lvlJc w:val="left"/>
      <w:lvlText w:val="(%1)"/>
      <w:numFmt w:val="lowerLetter"/>
      <w:start w:val="1"/>
    </w:lvl>
  </w:abstractNum>
  <w:abstractNum w:abstractNumId="122">
    <w:nsid w:val="24F6AB8E"/>
    <w:multiLevelType w:val="hybridMultilevel"/>
    <w:lvl w:ilvl="0">
      <w:lvlJc w:val="left"/>
      <w:lvlText w:val="%1"/>
      <w:numFmt w:val="lowerRoman"/>
      <w:start w:val="1"/>
    </w:lvl>
    <w:lvl w:ilvl="1">
      <w:lvlJc w:val="left"/>
      <w:lvlText w:val="%2."/>
      <w:numFmt w:val="lowerRoman"/>
      <w:start w:val="2"/>
    </w:lvl>
    <w:lvl w:ilvl="2">
      <w:lvlJc w:val="left"/>
      <w:lvlText w:val="%3"/>
      <w:numFmt w:val="lowerLetter"/>
      <w:start w:val="1"/>
    </w:lvl>
  </w:abstractNum>
  <w:abstractNum w:abstractNumId="123">
    <w:nsid w:val="634C574C"/>
    <w:multiLevelType w:val="hybridMultilevel"/>
    <w:lvl w:ilvl="0">
      <w:lvlJc w:val="left"/>
      <w:lvlText w:val="%1."/>
      <w:numFmt w:val="lowerRoman"/>
      <w:start w:val="4"/>
    </w:lvl>
    <w:lvl w:ilvl="1">
      <w:lvlJc w:val="left"/>
      <w:lvlText w:val="%2"/>
      <w:numFmt w:val="lowerRoman"/>
      <w:start w:val="1"/>
    </w:lvl>
    <w:lvl w:ilvl="2">
      <w:lvlJc w:val="left"/>
      <w:lvlText w:val="(%3)"/>
      <w:numFmt w:val="lowerLetter"/>
      <w:start w:val="1"/>
    </w:lvl>
  </w:abstractNum>
  <w:abstractNum w:abstractNumId="124">
    <w:nsid w:val="24E99DD7"/>
    <w:multiLevelType w:val="hybridMultilevel"/>
    <w:lvl w:ilvl="0">
      <w:lvlJc w:val="left"/>
      <w:lvlText w:val="%1."/>
      <w:numFmt w:val="lowerRoman"/>
      <w:start w:val="6"/>
    </w:lvl>
  </w:abstractNum>
  <w:abstractNum w:abstractNumId="125">
    <w:nsid w:val="2A31B62D"/>
    <w:multiLevelType w:val="hybridMultilevel"/>
    <w:lvl w:ilvl="0">
      <w:lvlJc w:val="left"/>
      <w:lvlText w:val="%1."/>
      <w:numFmt w:val="lowerRoman"/>
      <w:start w:val="12"/>
    </w:lvl>
  </w:abstractNum>
  <w:abstractNum w:abstractNumId="126">
    <w:nsid w:val="1849C29B"/>
    <w:multiLevelType w:val="hybridMultilevel"/>
    <w:lvl w:ilvl="0">
      <w:lvlJc w:val="left"/>
      <w:lvlText w:val="%1."/>
      <w:numFmt w:val="lowerRoman"/>
      <w:start w:val="14"/>
    </w:lvl>
    <w:lvl w:ilvl="1">
      <w:lvlJc w:val="left"/>
      <w:lvlText w:val="(%2)"/>
      <w:numFmt w:val="lowerLetter"/>
      <w:start w:val="1"/>
    </w:lvl>
  </w:abstractNum>
  <w:abstractNum w:abstractNumId="127">
    <w:nsid w:val="7DFF9D09"/>
    <w:multiLevelType w:val="hybridMultilevel"/>
    <w:lvl w:ilvl="0">
      <w:lvlJc w:val="left"/>
      <w:lvlText w:val="%1"/>
      <w:numFmt w:val="lowerRoman"/>
      <w:start w:val="1"/>
    </w:lvl>
    <w:lvl w:ilvl="1">
      <w:lvlJc w:val="left"/>
      <w:lvlText w:val="(%2)"/>
      <w:numFmt w:val="lowerLetter"/>
      <w:start w:val="3"/>
    </w:lvl>
  </w:abstractNum>
  <w:abstractNum w:abstractNumId="128">
    <w:nsid w:val="754342"/>
    <w:multiLevelType w:val="hybridMultilevel"/>
    <w:lvl w:ilvl="0">
      <w:lvlJc w:val="left"/>
      <w:lvlText w:val="%1."/>
      <w:numFmt w:val="lowerRoman"/>
      <w:start w:val="15"/>
    </w:lvl>
    <w:lvl w:ilvl="1">
      <w:lvlJc w:val="left"/>
      <w:lvlText w:val="%2"/>
      <w:numFmt w:val="lowerLetter"/>
      <w:start w:val="1"/>
    </w:lvl>
  </w:abstractNum>
  <w:abstractNum w:abstractNumId="129">
    <w:nsid w:val="69E7F3E5"/>
    <w:multiLevelType w:val="hybridMultilevel"/>
    <w:lvl w:ilvl="0">
      <w:lvlJc w:val="left"/>
      <w:lvlText w:val="%1."/>
      <w:numFmt w:val="lowerRoman"/>
      <w:start w:val="16"/>
    </w:lvl>
  </w:abstractNum>
  <w:abstractNum w:abstractNumId="130">
    <w:nsid w:val="2A6DE806"/>
    <w:multiLevelType w:val="hybridMultilevel"/>
    <w:lvl w:ilvl="0">
      <w:lvlJc w:val="left"/>
      <w:lvlText w:val="•"/>
      <w:numFmt w:val="bullet"/>
      <w:start w:val="1"/>
    </w:lvl>
  </w:abstractNum>
  <w:abstractNum w:abstractNumId="131">
    <w:nsid w:val="1816F8C4"/>
    <w:multiLevelType w:val="hybridMultilevel"/>
    <w:lvl w:ilvl="0">
      <w:lvlJc w:val="left"/>
      <w:lvlText w:val="•"/>
      <w:numFmt w:val="bullet"/>
      <w:start w:val="1"/>
    </w:lvl>
  </w:abstractNum>
  <w:abstractNum w:abstractNumId="132">
    <w:nsid w:val="37DF2233"/>
    <w:multiLevelType w:val="hybridMultilevel"/>
    <w:lvl w:ilvl="0">
      <w:lvlJc w:val="left"/>
      <w:lvlText w:val="•"/>
      <w:numFmt w:val="bullet"/>
      <w:start w:val="1"/>
    </w:lvl>
  </w:abstractNum>
  <w:abstractNum w:abstractNumId="133">
    <w:nsid w:val="7AB49DAF"/>
    <w:multiLevelType w:val="hybridMultilevel"/>
    <w:lvl w:ilvl="0">
      <w:lvlJc w:val="left"/>
      <w:lvlText w:val="•"/>
      <w:numFmt w:val="bullet"/>
      <w:start w:val="1"/>
    </w:lvl>
  </w:abstractNum>
  <w:abstractNum w:abstractNumId="134">
    <w:nsid w:val="759F82CD"/>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35">
    <w:nsid w:val="61E74EA3"/>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36">
    <w:nsid w:val="597B4D84"/>
    <w:multiLevelType w:val="hybridMultilevel"/>
    <w:lvl w:ilvl="0">
      <w:lvlJc w:val="left"/>
      <w:lvlText w:val="%1."/>
      <w:numFmt w:val="decimal"/>
      <w:start w:val="2"/>
    </w:lvl>
  </w:abstractNum>
  <w:abstractNum w:abstractNumId="137">
    <w:nsid w:val="F819E7F"/>
    <w:multiLevelType w:val="hybridMultilevel"/>
    <w:lvl w:ilvl="0">
      <w:lvlJc w:val="left"/>
      <w:lvlText w:val="%1."/>
      <w:numFmt w:val="decimal"/>
      <w:start w:val="3"/>
    </w:lvl>
  </w:abstractNum>
  <w:abstractNum w:abstractNumId="138">
    <w:nsid w:val="57C7D42D"/>
    <w:multiLevelType w:val="hybridMultilevel"/>
    <w:lvl w:ilvl="0">
      <w:lvlJc w:val="left"/>
      <w:lvlText w:val="%1."/>
      <w:numFmt w:val="decimal"/>
      <w:start w:val="4"/>
    </w:lvl>
  </w:abstractNum>
  <w:abstractNum w:abstractNumId="139">
    <w:nsid w:val="312167AD"/>
    <w:multiLevelType w:val="hybridMultilevel"/>
    <w:lvl w:ilvl="0">
      <w:lvlJc w:val="left"/>
      <w:lvlText w:val="%1."/>
      <w:numFmt w:val="decimal"/>
      <w:start w:val="1"/>
    </w:lvl>
  </w:abstractNum>
  <w:abstractNum w:abstractNumId="140">
    <w:nsid w:val="631B64D4"/>
    <w:multiLevelType w:val="hybridMultilevel"/>
    <w:lvl w:ilvl="0">
      <w:lvlJc w:val="left"/>
      <w:lvlText w:val="%1."/>
      <w:numFmt w:val="decimal"/>
      <w:start w:val="1"/>
    </w:lvl>
  </w:abstractNum>
  <w:abstractNum w:abstractNumId="141">
    <w:nsid w:val="78B5E776"/>
    <w:multiLevelType w:val="hybridMultilevel"/>
    <w:lvl w:ilvl="0">
      <w:lvlJc w:val="left"/>
      <w:lvlText w:val="%1."/>
      <w:numFmt w:val="decimal"/>
      <w:start w:val="2"/>
    </w:lvl>
  </w:abstractNum>
  <w:abstractNum w:abstractNumId="142">
    <w:nsid w:val="75486E47"/>
    <w:multiLevelType w:val="hybridMultilevel"/>
    <w:lvl w:ilvl="0">
      <w:lvlJc w:val="left"/>
      <w:lvlText w:val="•"/>
      <w:numFmt w:val="bullet"/>
      <w:start w:val="1"/>
    </w:lvl>
  </w:abstractNum>
  <w:abstractNum w:abstractNumId="143">
    <w:nsid w:val="6E534CDE"/>
    <w:multiLevelType w:val="hybridMultilevel"/>
    <w:lvl w:ilvl="0">
      <w:lvlJc w:val="left"/>
      <w:lvlText w:val="•"/>
      <w:numFmt w:val="bullet"/>
      <w:start w:val="1"/>
    </w:lvl>
  </w:abstractNum>
  <w:abstractNum w:abstractNumId="144">
    <w:nsid w:val="1A0DDE32"/>
    <w:multiLevelType w:val="hybridMultilevel"/>
    <w:lvl w:ilvl="0">
      <w:lvlJc w:val="left"/>
      <w:lvlText w:val="%1."/>
      <w:numFmt w:val="decimal"/>
      <w:start w:val="1"/>
    </w:lvl>
  </w:abstractNum>
  <w:abstractNum w:abstractNumId="145">
    <w:nsid w:val="65968C1C"/>
    <w:multiLevelType w:val="hybridMultilevel"/>
    <w:lvl w:ilvl="0">
      <w:lvlJc w:val="left"/>
      <w:lvlText w:val="%1."/>
      <w:numFmt w:val="lowerLetter"/>
      <w:start w:val="1"/>
    </w:lvl>
  </w:abstractNum>
  <w:abstractNum w:abstractNumId="146">
    <w:nsid w:val="46263DEC"/>
    <w:multiLevelType w:val="hybridMultilevel"/>
    <w:lvl w:ilvl="0">
      <w:lvlJc w:val="left"/>
      <w:lvlText w:val="%1."/>
      <w:numFmt w:val="lowerLetter"/>
      <w:start w:val="3"/>
    </w:lvl>
  </w:abstractNum>
  <w:abstractNum w:abstractNumId="147">
    <w:nsid w:val="260D8C4A"/>
    <w:multiLevelType w:val="hybridMultilevel"/>
    <w:lvl w:ilvl="0">
      <w:lvlJc w:val="left"/>
      <w:lvlText w:val="%1."/>
      <w:numFmt w:val="decimal"/>
      <w:start w:val="1"/>
    </w:lvl>
  </w:abstractNum>
  <w:abstractNum w:abstractNumId="148">
    <w:nsid w:val="73D4D3C4"/>
    <w:multiLevelType w:val="hybridMultilevel"/>
    <w:lvl w:ilvl="0">
      <w:lvlJc w:val="left"/>
      <w:lvlText w:val="%1."/>
      <w:numFmt w:val="decimal"/>
      <w:start w:val="1"/>
    </w:lvl>
  </w:abstractNum>
  <w:abstractNum w:abstractNumId="149">
    <w:nsid w:val="746F2E30"/>
    <w:multiLevelType w:val="hybridMultilevel"/>
    <w:lvl w:ilvl="0">
      <w:lvlJc w:val="left"/>
      <w:lvlText w:val="%1."/>
      <w:numFmt w:val="decimal"/>
      <w:start w:val="1"/>
    </w:lvl>
  </w:abstractNum>
  <w:abstractNum w:abstractNumId="150">
    <w:nsid w:val="6FDE8AF6"/>
    <w:multiLevelType w:val="hybridMultilevel"/>
    <w:lvl w:ilvl="0">
      <w:lvlJc w:val="left"/>
      <w:lvlText w:val="%1."/>
      <w:numFmt w:val="decimal"/>
      <w:start w:val="1"/>
    </w:lvl>
    <w:lvl w:ilvl="1">
      <w:lvlJc w:val="left"/>
      <w:lvlText w:val="%2)"/>
      <w:numFmt w:val="lowerLetter"/>
      <w:start w:val="1"/>
    </w:lvl>
  </w:abstractNum>
  <w:abstractNum w:abstractNumId="151">
    <w:nsid w:val="3FC32E20"/>
    <w:multiLevelType w:val="hybridMultilevel"/>
    <w:lvl w:ilvl="0">
      <w:lvlJc w:val="left"/>
      <w:lvlText w:val="%1."/>
      <w:numFmt w:val="decimal"/>
      <w:start w:val="1"/>
    </w:lvl>
    <w:lvl w:ilvl="1">
      <w:lvlJc w:val="left"/>
      <w:lvlText w:val="%2)"/>
      <w:numFmt w:val="lowerLetter"/>
      <w:start w:val="1"/>
    </w:lvl>
  </w:abstractNum>
  <w:abstractNum w:abstractNumId="152">
    <w:nsid w:val="49C0E8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7" Type="http://schemas.openxmlformats.org/officeDocument/2006/relationships/image" Target="media/image174.png"/><Relationship Id="rId211" Type="http://schemas.openxmlformats.org/officeDocument/2006/relationships/image" Target="media/image175.png"/><Relationship Id="rId218" Type="http://schemas.openxmlformats.org/officeDocument/2006/relationships/image" Target="media/image176.png"/><Relationship Id="rId219" Type="http://schemas.openxmlformats.org/officeDocument/2006/relationships/image" Target="media/image177.png"/><Relationship Id="rId220" Type="http://schemas.openxmlformats.org/officeDocument/2006/relationships/image" Target="media/image178.png"/><Relationship Id="rId221" Type="http://schemas.openxmlformats.org/officeDocument/2006/relationships/image" Target="media/image179.png"/><Relationship Id="rId222" Type="http://schemas.openxmlformats.org/officeDocument/2006/relationships/image" Target="media/image180.png"/><Relationship Id="rId223" Type="http://schemas.openxmlformats.org/officeDocument/2006/relationships/image" Target="media/image181.png"/><Relationship Id="rId224" Type="http://schemas.openxmlformats.org/officeDocument/2006/relationships/image" Target="media/image182.png"/><Relationship Id="rId225" Type="http://schemas.openxmlformats.org/officeDocument/2006/relationships/image" Target="media/image183.jpeg"/><Relationship Id="rId226" Type="http://schemas.openxmlformats.org/officeDocument/2006/relationships/image" Target="media/image184.jpeg"/><Relationship Id="rId227" Type="http://schemas.openxmlformats.org/officeDocument/2006/relationships/image" Target="media/image185.png"/><Relationship Id="rId228" Type="http://schemas.openxmlformats.org/officeDocument/2006/relationships/image" Target="media/image186.png"/><Relationship Id="rId229" Type="http://schemas.openxmlformats.org/officeDocument/2006/relationships/image" Target="media/image187.png"/><Relationship Id="rId230" Type="http://schemas.openxmlformats.org/officeDocument/2006/relationships/image" Target="media/image188.png"/><Relationship Id="rId181" Type="http://schemas.openxmlformats.org/officeDocument/2006/relationships/hyperlink" Target="https://www.sec.gov/Archives/edgar/data/1823608/000119312521062425/d132716dex31.htm" TargetMode="External"/><Relationship Id="rId182" Type="http://schemas.openxmlformats.org/officeDocument/2006/relationships/hyperlink" Target="https://www.sec.gov/Archives/edgar/data/1823608/000119312521062425/d132716dex32.htm" TargetMode="External"/><Relationship Id="rId183" Type="http://schemas.openxmlformats.org/officeDocument/2006/relationships/hyperlink" Target="https://www.sec.gov/Archives/edgar/data/1823608/000119312520240985/d76363dex41.htm" TargetMode="External"/><Relationship Id="rId184" Type="http://schemas.openxmlformats.org/officeDocument/2006/relationships/hyperlink" Target="https://www.sec.gov/Archives/edgar/data/1823608/000119312520240985/d76363dex42.htm" TargetMode="External"/><Relationship Id="rId185" Type="http://schemas.openxmlformats.org/officeDocument/2006/relationships/hyperlink" Target="https://www.sec.gov/Archives/edgar/data/1823608/000119312520240985/d76363dex43.htm" TargetMode="External"/><Relationship Id="rId186" Type="http://schemas.openxmlformats.org/officeDocument/2006/relationships/hyperlink" Target="https://www.sec.gov/Archives/edgar/data/1823608/000182360821000010/a202012_amal10-kxex46.htm" TargetMode="External"/><Relationship Id="rId187" Type="http://schemas.openxmlformats.org/officeDocument/2006/relationships/hyperlink" Target="https://www.sec.gov/Archives/edgar/data/0001823608/000155278121000788/e21608_ex4-1.htm" TargetMode="External"/><Relationship Id="rId188" Type="http://schemas.openxmlformats.org/officeDocument/2006/relationships/hyperlink" Target="https://www.sec.gov/Archives/edgar/data/0001823608/000155278121000788/e21608_ex4-2.htm" TargetMode="External"/><Relationship Id="rId189" Type="http://schemas.openxmlformats.org/officeDocument/2006/relationships/hyperlink" Target="https://www.sec.gov/Archives/edgar/data/1823608/000155278121000788/e21608_ex4-2.htm" TargetMode="External"/><Relationship Id="rId190" Type="http://schemas.openxmlformats.org/officeDocument/2006/relationships/hyperlink" Target="https://www.sec.gov/Archives/edgar/data/1823608/000119312520240985/d76363dex104.htm" TargetMode="External"/><Relationship Id="rId191" Type="http://schemas.openxmlformats.org/officeDocument/2006/relationships/hyperlink" Target="https://www.sec.gov/Archives/edgar/data/1823608/000119312520240985/d76363dex105.htm" TargetMode="External"/><Relationship Id="rId192" Type="http://schemas.openxmlformats.org/officeDocument/2006/relationships/hyperlink" Target="https://www.sec.gov/Archives/edgar/data/1823608/000119312520240985/d76363dex107.htm" TargetMode="External"/><Relationship Id="rId193" Type="http://schemas.openxmlformats.org/officeDocument/2006/relationships/hyperlink" Target="https://www.sec.gov/Archives/edgar/data/1823608/000119312520240985/d76363dex109.htm" TargetMode="External"/><Relationship Id="rId194" Type="http://schemas.openxmlformats.org/officeDocument/2006/relationships/hyperlink" Target="https://www.sec.gov/Archives/edgar/data/1823608/000119312520240985/d76363dex1010.htm" TargetMode="External"/><Relationship Id="rId195" Type="http://schemas.openxmlformats.org/officeDocument/2006/relationships/hyperlink" Target="https://www.sec.gov/Archives/edgar/data/1823608/000182360821000042/annualincentiveplannew0503.htm" TargetMode="External"/><Relationship Id="rId196" Type="http://schemas.openxmlformats.org/officeDocument/2006/relationships/hyperlink" Target="https://www.sec.gov/Archives/edgar/data/1823608/000119312520240985/d76363dex1013.htm" TargetMode="External"/><Relationship Id="rId198" Type="http://schemas.openxmlformats.org/officeDocument/2006/relationships/hyperlink" Target="https://www.sec.gov/Archives/edgar/data/1823608/000119312520240985/d76363dex1014.htm" TargetMode="External"/><Relationship Id="rId199" Type="http://schemas.openxmlformats.org/officeDocument/2006/relationships/hyperlink" Target="https://www.sec.gov/Archives/edgar/data/1823608/000119312520240985/d76363dex1015.htm" TargetMode="External"/><Relationship Id="rId200" Type="http://schemas.openxmlformats.org/officeDocument/2006/relationships/hyperlink" Target="https://www.sec.gov/Archives/edgar/data/1823608/000119312520240985/d76363dex1016.htm" TargetMode="External"/><Relationship Id="rId201" Type="http://schemas.openxmlformats.org/officeDocument/2006/relationships/hyperlink" Target="https://www.sec.gov/Archives/edgar/data/0001823608/000119312521075630/d141974dex103.htm" TargetMode="External"/><Relationship Id="rId202" Type="http://schemas.openxmlformats.org/officeDocument/2006/relationships/hyperlink" Target="https://www.sec.gov/Archives/edgar/data/1823608/000119312521075630/d141974dex104.htm" TargetMode="External"/><Relationship Id="rId203" Type="http://schemas.openxmlformats.org/officeDocument/2006/relationships/hyperlink" Target="https://www.sec.gov/Archives/edgar/data/1823608/000119312521075630/d141974dex105.htm" TargetMode="External"/><Relationship Id="rId204" Type="http://schemas.openxmlformats.org/officeDocument/2006/relationships/hyperlink" Target="https://www.sec.gov/Archives/edgar/data/1823608/000182360821000010/a202012_amal10-kxex1026.htm" TargetMode="External"/><Relationship Id="rId205" Type="http://schemas.openxmlformats.org/officeDocument/2006/relationships/hyperlink" Target="https://www.sec.gov/Archives/edgar/data/1823608/000155278121000402/e21377_ex10-2.htm" TargetMode="External"/><Relationship Id="rId206" Type="http://schemas.openxmlformats.org/officeDocument/2006/relationships/hyperlink" Target="https://www.sec.gov/Archives/edgar/data/1823608/000182360823000074/a2022afcproxy.htm" TargetMode="External"/><Relationship Id="rId207" Type="http://schemas.openxmlformats.org/officeDocument/2006/relationships/hyperlink" Target="https://www.sec.gov/Archives/edgar/data/1823608/000182360822000146/a102amalgamatedbank-jaso.htm" TargetMode="External"/><Relationship Id="rId208" Type="http://schemas.openxmlformats.org/officeDocument/2006/relationships/hyperlink" Target="https://www.sec.gov/Archives/edgar/data/1823608/000182360822000146/a103amalgamatedbank-samb.htm" TargetMode="External"/><Relationship Id="rId209" Type="http://schemas.openxmlformats.org/officeDocument/2006/relationships/hyperlink" Target="https://www.sec.gov/Archives/edgar/data/1823608/000182360822000146/a104amalgamatedbank-mand.htm" TargetMode="External"/><Relationship Id="rId210" Type="http://schemas.openxmlformats.org/officeDocument/2006/relationships/hyperlink" Target="https://www.sec.gov/Archives/edgar/data/1823608/000182360822000125/amalgamated-severancepol.htm" TargetMode="External"/><Relationship Id="rId212" Type="http://schemas.openxmlformats.org/officeDocument/2006/relationships/hyperlink" Target="https://www.sec.gov/Archives/edgar/data/1823608/000182360825000012/amalgamatedbank-seansear.htm" TargetMode="External"/><Relationship Id="rId213" Type="http://schemas.openxmlformats.org/officeDocument/2006/relationships/hyperlink" Target="https://www.sec.gov/Archives/edgar/data/1823608/000182360825000021/amalg-bonusdeferralplan.htm" TargetMode="External"/><Relationship Id="rId214" Type="http://schemas.openxmlformats.org/officeDocument/2006/relationships/hyperlink" Target="https://www.sec.gov/Archives/edgar/data/1823608/000182360825000021/amalgamated-deferredrest.htm" TargetMode="External"/><Relationship Id="rId215" Type="http://schemas.openxmlformats.org/officeDocument/2006/relationships/hyperlink" Target="https://www.sec.gov/Archives/edgar/data/1823608/000182360825000021/amalgamated2023equityinc.htm" TargetMode="External"/><Relationship Id="rId216" Type="http://schemas.openxmlformats.org/officeDocument/2006/relationships/hyperlink" Target="https://www.sec.gov/Archives/edgar/data/1823608/000182360825000021/employmentagreement-brow.htm" TargetMode="External"/><Relationship Id="rId217" Type="http://schemas.openxmlformats.org/officeDocument/2006/relationships/hyperlink" Target="https://www.sec.gov/Archives/edgar/data/1823608/000182360825000025/officelease-99parkavenu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2026-03-05T15:20:19Z</dcterms:created>
  <dcterms:modified xsi:type="dcterms:W3CDTF">2026-03-05T15:20:19Z</dcterms:modified>
</cp:coreProperties>
</file>