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64" w:before="240" w:after="283"/>
        <w:jc w:val="center"/>
        <w:rPr>
          <w:rFonts w:ascii="Times New Roman;serif" w:hAnsi="Times New Roman;serif"/>
          <w:b/>
          <w:color w:val="000000"/>
          <w:sz w:val="20"/>
        </w:rPr>
      </w:pPr>
      <w:r>
        <w:rPr>
          <w:rFonts w:ascii="Times New Roman;serif" w:hAnsi="Times New Roman;serif"/>
          <w:b/>
          <w:color w:val="000000"/>
          <w:sz w:val="20"/>
        </w:rPr>
        <w:t>FORM 10-Q</w:t>
      </w:r>
    </w:p>
    <w:tbl>
      <w:tblPr>
        <w:tblW w:w="6281" w:type="dxa"/>
        <w:jc w:val="left"/>
        <w:tblInd w:w="0" w:type="dxa"/>
        <w:tblLayout w:type="fixed"/>
        <w:tblCellMar>
          <w:top w:w="28" w:type="dxa"/>
          <w:left w:w="28" w:type="dxa"/>
          <w:bottom w:w="28" w:type="dxa"/>
          <w:right w:w="28" w:type="dxa"/>
        </w:tblCellMar>
      </w:tblPr>
      <w:tblGrid>
        <w:gridCol w:w="124"/>
        <w:gridCol w:w="109"/>
        <w:gridCol w:w="109"/>
        <w:gridCol w:w="1737"/>
        <w:gridCol w:w="1737"/>
        <w:gridCol w:w="24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 OF</w:t>
              <w:br/>
              <w:t>THE SECURITIES EXCHANGE ACT OF 1934</w:t>
            </w:r>
          </w:p>
        </w:tc>
      </w:tr>
    </w:tbl>
    <w:p>
      <w:pPr>
        <w:pStyle w:val="TextBody"/>
        <w:bidi w:val="0"/>
        <w:spacing w:lineRule="auto" w:line="264" w:before="140" w:after="283"/>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before="0" w:after="0"/>
        <w:jc w:val="center"/>
        <w:rPr/>
      </w:pPr>
      <w:r>
        <w:rPr/>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6732" w:type="dxa"/>
        <w:jc w:val="left"/>
        <w:tblInd w:w="0" w:type="dxa"/>
        <w:tblLayout w:type="fixed"/>
        <w:tblCellMar>
          <w:top w:w="28" w:type="dxa"/>
          <w:left w:w="28" w:type="dxa"/>
          <w:bottom w:w="28" w:type="dxa"/>
          <w:right w:w="28" w:type="dxa"/>
        </w:tblCellMar>
      </w:tblPr>
      <w:tblGrid>
        <w:gridCol w:w="124"/>
        <w:gridCol w:w="109"/>
        <w:gridCol w:w="109"/>
        <w:gridCol w:w="1871"/>
        <w:gridCol w:w="1871"/>
        <w:gridCol w:w="26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15(d) OF THE</w:t>
              <w:br/>
              <w:t>SECURITIES EXCHANGE ACT OF 1934</w:t>
            </w:r>
          </w:p>
        </w:tc>
      </w:tr>
    </w:tbl>
    <w:p>
      <w:pPr>
        <w:pStyle w:val="TextBody"/>
        <w:bidi w:val="0"/>
        <w:spacing w:lineRule="auto" w:line="264" w:before="80" w:after="283"/>
        <w:jc w:val="center"/>
        <w:rPr/>
      </w:pPr>
      <w:r>
        <w:rPr>
          <w:rFonts w:ascii="Times New Roman;serif" w:hAnsi="Times New Roman;serif"/>
          <w:b w:val="false"/>
          <w:color w:val="000000"/>
          <w:sz w:val="20"/>
        </w:rPr>
        <w:t>For transition period from</w:t>
      </w:r>
      <w:r>
        <w:rPr>
          <w:color w:val="000000"/>
          <w:u w:val="single"/>
        </w:rPr>
        <w:t>          </w:t>
      </w:r>
      <w:r>
        <w:rPr>
          <w:rFonts w:ascii="Times New Roman;serif" w:hAnsi="Times New Roman;serif"/>
          <w:b w:val="false"/>
          <w:color w:val="000000"/>
          <w:sz w:val="20"/>
        </w:rPr>
        <w:t>to</w:t>
      </w:r>
      <w:r>
        <w:rPr>
          <w:color w:val="000000"/>
          <w:u w:val="single"/>
        </w:rPr>
        <w:t>          </w:t>
      </w:r>
    </w:p>
    <w:p>
      <w:pPr>
        <w:pStyle w:val="TextBody"/>
        <w:bidi w:val="0"/>
        <w:spacing w:lineRule="auto" w:line="264"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001-40136</w:t>
      </w:r>
    </w:p>
    <w:p>
      <w:pPr>
        <w:pStyle w:val="TextBody"/>
        <w:bidi w:val="0"/>
        <w:spacing w:lineRule="auto" w:line="264" w:before="120" w:after="283"/>
        <w:jc w:val="center"/>
        <w:rPr>
          <w:rFonts w:ascii="Times New Roman;serif" w:hAnsi="Times New Roman;serif"/>
          <w:b/>
          <w:color w:val="000000"/>
          <w:sz w:val="36"/>
        </w:rPr>
      </w:pPr>
      <w:r>
        <w:rPr>
          <w:rFonts w:ascii="Times New Roman;serif" w:hAnsi="Times New Roman;serif"/>
          <w:b/>
          <w:color w:val="000000"/>
          <w:sz w:val="36"/>
        </w:rPr>
        <w:t>Amalgamated Financial Corp.</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85-2757101</w:t>
            </w:r>
          </w:p>
        </w:tc>
      </w:tr>
      <w:tr>
        <w:trPr/>
        <w:tc>
          <w:tcPr>
            <w:tcW w:w="4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64" w:before="20" w:after="283"/>
        <w:jc w:val="center"/>
        <w:rPr>
          <w:rFonts w:ascii="Times New Roman;serif" w:hAnsi="Times New Roman;serif"/>
          <w:b/>
          <w:color w:val="000000"/>
          <w:sz w:val="20"/>
          <w:u w:val="single"/>
        </w:rPr>
      </w:pPr>
      <w:r>
        <w:rPr>
          <w:rFonts w:ascii="Times New Roman;serif" w:hAnsi="Times New Roman;serif"/>
          <w:b/>
          <w:color w:val="000000"/>
          <w:sz w:val="20"/>
          <w:u w:val="single"/>
        </w:rPr>
        <w:t>275 Seventh Avenue, New York, NY     10001</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64"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(212) 255-6200</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64"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Not Applicable</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64" w:before="16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AMAL</w:t>
            </w:r>
          </w:p>
        </w:tc>
        <w:tc>
          <w:tcPr>
            <w:tcW w:w="38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64" w:before="6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64" w:before="16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64"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821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bl>
    <w:p>
      <w:pPr>
        <w:pStyle w:val="TextBody"/>
        <w:bidi w:val="0"/>
        <w:spacing w:lineRule="auto" w:line="264" w:before="6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64" w:before="160" w:after="283"/>
        <w:jc w:val="left"/>
        <w:rPr/>
      </w:pPr>
      <w:r>
        <w:rPr>
          <w:rFonts w:ascii="Times New Roman;serif" w:hAnsi="Times New Roman;serif"/>
          <w:b w:val="false"/>
          <w:color w:val="000000"/>
          <w:sz w:val="20"/>
        </w:rPr>
        <w:t>Indicate by check mark whether the registrant is a shell company (as defined in Exchange Act Rule 12b-2).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64" w:before="160" w:after="283"/>
        <w:jc w:val="left"/>
        <w:rPr>
          <w:rFonts w:ascii="Times New Roman;serif" w:hAnsi="Times New Roman;serif"/>
          <w:b w:val="false"/>
          <w:color w:val="000000"/>
          <w:sz w:val="20"/>
        </w:rPr>
      </w:pPr>
      <w:r>
        <w:rPr>
          <w:rFonts w:ascii="Times New Roman;serif" w:hAnsi="Times New Roman;serif"/>
          <w:b w:val="false"/>
          <w:color w:val="000000"/>
          <w:sz w:val="20"/>
        </w:rPr>
        <w:t>As of August 3, 2026, the registrant had 29,900,147 shares of common stock outstanding at $0.01 par value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50"/>
        <w:gridCol w:w="657"/>
        <w:gridCol w:w="657"/>
        <w:gridCol w:w="2616"/>
        <w:gridCol w:w="2453"/>
        <w:gridCol w:w="2499"/>
        <w:gridCol w:w="167"/>
        <w:gridCol w:w="167"/>
        <w:gridCol w:w="239"/>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6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10">
              <w:r>
                <w:rPr>
                  <w:rStyle w:val="InternetLink"/>
                  <w:rFonts w:ascii="Times New Roman;serif" w:hAnsi="Times New Roman;serif"/>
                  <w:b/>
                  <w:strike w:val="false"/>
                  <w:dstrike w:val="false"/>
                  <w:color w:val="000000"/>
                  <w:sz w:val="20"/>
                  <w:u w:val="none"/>
                  <w:effect w:val="none"/>
                </w:rPr>
                <w:t>Cautionary Note Regarding Forward-Looking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10">
              <w:r>
                <w:rPr>
                  <w:rStyle w:val="InternetLink"/>
                  <w:rFonts w:ascii="Times New Roman;serif" w:hAnsi="Times New Roman;serif"/>
                  <w:b w:val="false"/>
                  <w:strike w:val="false"/>
                  <w:dstrike w:val="false"/>
                  <w:color w:val="000000"/>
                  <w:sz w:val="20"/>
                  <w:u w:val="none"/>
                  <w:effect w:val="none"/>
                </w:rPr>
                <w:t>ii</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w:t>
            </w:r>
          </w:p>
        </w:tc>
        <w:tc>
          <w:tcPr>
            <w:tcW w:w="756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Statements (unaudited)</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Financial Condition as of June 30, 2026 and December 31, 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13">
              <w:r>
                <w:rPr>
                  <w:rStyle w:val="InternetLink"/>
                  <w:rFonts w:ascii="Times New Roman;serif" w:hAnsi="Times New Roman;serif"/>
                  <w:b w:val="false"/>
                  <w:strike w:val="false"/>
                  <w:dstrike w:val="false"/>
                  <w:color w:val="000000"/>
                  <w:sz w:val="20"/>
                  <w:u w:val="none"/>
                  <w:effect w:val="none"/>
                </w:rPr>
                <w:t>1</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Income for the Three and Six Months Ended June 30, 2026 and 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16">
              <w:r>
                <w:rPr>
                  <w:rStyle w:val="InternetLink"/>
                  <w:rFonts w:ascii="Times New Roman;serif" w:hAnsi="Times New Roman;serif"/>
                  <w:b w:val="false"/>
                  <w:strike w:val="false"/>
                  <w:dstrike w:val="false"/>
                  <w:color w:val="000000"/>
                  <w:sz w:val="20"/>
                  <w:u w:val="none"/>
                  <w:effect w:val="none"/>
                </w:rPr>
                <w:t>2</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for the Three and Six Months Ended June 30, 2026 and 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19">
              <w:r>
                <w:rPr>
                  <w:rStyle w:val="InternetLink"/>
                  <w:rFonts w:ascii="Times New Roman;serif" w:hAnsi="Times New Roman;serif"/>
                  <w:b w:val="false"/>
                  <w:strike w:val="false"/>
                  <w:dstrike w:val="false"/>
                  <w:color w:val="000000"/>
                  <w:sz w:val="20"/>
                  <w:u w:val="none"/>
                  <w:effect w:val="none"/>
                </w:rPr>
                <w:t>3</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Changes in Stockholders’ Equity for the Three and Six Months Ended June 30, 2026 and 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22">
              <w:r>
                <w:rPr>
                  <w:rStyle w:val="InternetLink"/>
                  <w:rFonts w:ascii="Times New Roman;serif" w:hAnsi="Times New Roman;serif"/>
                  <w:b w:val="false"/>
                  <w:strike w:val="false"/>
                  <w:dstrike w:val="false"/>
                  <w:color w:val="000000"/>
                  <w:sz w:val="20"/>
                  <w:u w:val="none"/>
                  <w:effect w:val="none"/>
                </w:rPr>
                <w:t>4</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Six Months Ended June 30, 2026 and 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25">
              <w:r>
                <w:rPr>
                  <w:rStyle w:val="InternetLink"/>
                  <w:rFonts w:ascii="Times New Roman;serif" w:hAnsi="Times New Roman;serif"/>
                  <w:b w:val="false"/>
                  <w:strike w:val="false"/>
                  <w:dstrike w:val="false"/>
                  <w:color w:val="000000"/>
                  <w:sz w:val="20"/>
                  <w:u w:val="none"/>
                  <w:effect w:val="none"/>
                </w:rPr>
                <w:t>6</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28">
              <w:r>
                <w:rPr>
                  <w:rStyle w:val="InternetLink"/>
                  <w:rFonts w:ascii="Times New Roman;serif" w:hAnsi="Times New Roman;serif"/>
                  <w:b w:val="false"/>
                  <w:strike w:val="false"/>
                  <w:dstrike w:val="false"/>
                  <w:color w:val="000000"/>
                  <w:sz w:val="20"/>
                  <w:u w:val="none"/>
                  <w:effect w:val="none"/>
                </w:rPr>
                <w:t>8</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79">
              <w:r>
                <w:rPr>
                  <w:rStyle w:val="InternetLink"/>
                  <w:rFonts w:ascii="Times New Roman;serif" w:hAnsi="Times New Roman;serif"/>
                  <w:b/>
                  <w:strike w:val="false"/>
                  <w:dstrike w:val="false"/>
                  <w:color w:val="000000"/>
                  <w:sz w:val="20"/>
                  <w:u w:val="none"/>
                  <w:effect w:val="none"/>
                </w:rPr>
                <w:t>ITEM 2.</w:t>
              </w:r>
            </w:hyperlink>
          </w:p>
        </w:tc>
        <w:tc>
          <w:tcPr>
            <w:tcW w:w="75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79">
              <w:r>
                <w:rPr>
                  <w:rStyle w:val="InternetLink"/>
                  <w:rFonts w:ascii="Times New Roman;serif" w:hAnsi="Times New Roman;serif"/>
                  <w:b/>
                  <w:strike w:val="false"/>
                  <w:dstrike w:val="false"/>
                  <w:color w:val="000000"/>
                  <w:sz w:val="20"/>
                  <w:u w:val="none"/>
                  <w:effect w:val="non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79">
              <w:r>
                <w:rPr>
                  <w:rStyle w:val="InternetLink"/>
                  <w:rFonts w:ascii="Times New Roman;serif" w:hAnsi="Times New Roman;serif"/>
                  <w:b w:val="false"/>
                  <w:strike w:val="false"/>
                  <w:dstrike w:val="false"/>
                  <w:color w:val="000000"/>
                  <w:sz w:val="20"/>
                  <w:u w:val="none"/>
                  <w:effect w:val="none"/>
                </w:rPr>
                <w:t>48</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115">
              <w:r>
                <w:rPr>
                  <w:rStyle w:val="InternetLink"/>
                  <w:rFonts w:ascii="Times New Roman;serif" w:hAnsi="Times New Roman;serif"/>
                  <w:b/>
                  <w:strike w:val="false"/>
                  <w:dstrike w:val="false"/>
                  <w:color w:val="000000"/>
                  <w:sz w:val="20"/>
                  <w:u w:val="none"/>
                  <w:effect w:val="none"/>
                </w:rPr>
                <w:t>ITEM 3</w:t>
              </w:r>
            </w:hyperlink>
            <w:r>
              <w:rPr>
                <w:rFonts w:ascii="Times New Roman;serif" w:hAnsi="Times New Roman;serif"/>
                <w:b/>
                <w:color w:val="000000"/>
                <w:sz w:val="20"/>
              </w:rPr>
              <w:t>.</w:t>
            </w:r>
          </w:p>
        </w:tc>
        <w:tc>
          <w:tcPr>
            <w:tcW w:w="75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115">
              <w:r>
                <w:rPr>
                  <w:rStyle w:val="InternetLink"/>
                  <w:rFonts w:ascii="Times New Roman;serif" w:hAnsi="Times New Roman;serif"/>
                  <w:b/>
                  <w:strike w:val="false"/>
                  <w:dstrike w:val="false"/>
                  <w:color w:val="000000"/>
                  <w:sz w:val="20"/>
                  <w:u w:val="none"/>
                  <w:effect w:val="non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115">
              <w:r>
                <w:rPr>
                  <w:rStyle w:val="InternetLink"/>
                  <w:rFonts w:ascii="Times New Roman;serif" w:hAnsi="Times New Roman;serif"/>
                  <w:b w:val="false"/>
                  <w:strike w:val="false"/>
                  <w:dstrike w:val="false"/>
                  <w:color w:val="000000"/>
                  <w:sz w:val="20"/>
                  <w:u w:val="none"/>
                  <w:effect w:val="none"/>
                </w:rPr>
                <w:t>73</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118">
              <w:r>
                <w:rPr>
                  <w:rStyle w:val="InternetLink"/>
                  <w:rFonts w:ascii="Times New Roman;serif" w:hAnsi="Times New Roman;serif"/>
                  <w:b/>
                  <w:strike w:val="false"/>
                  <w:dstrike w:val="false"/>
                  <w:color w:val="000000"/>
                  <w:sz w:val="20"/>
                  <w:u w:val="none"/>
                  <w:effect w:val="none"/>
                </w:rPr>
                <w:t>ITEM 4</w:t>
              </w:r>
            </w:hyperlink>
            <w:r>
              <w:rPr>
                <w:rFonts w:ascii="Times New Roman;serif" w:hAnsi="Times New Roman;serif"/>
                <w:b/>
                <w:color w:val="000000"/>
                <w:sz w:val="20"/>
              </w:rPr>
              <w:t>.</w:t>
            </w:r>
          </w:p>
        </w:tc>
        <w:tc>
          <w:tcPr>
            <w:tcW w:w="75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118">
              <w:r>
                <w:rPr>
                  <w:rStyle w:val="InternetLink"/>
                  <w:rFonts w:ascii="Times New Roman;serif" w:hAnsi="Times New Roman;serif"/>
                  <w:b/>
                  <w:strike w:val="false"/>
                  <w:dstrike w:val="false"/>
                  <w:color w:val="000000"/>
                  <w:sz w:val="20"/>
                  <w:u w:val="none"/>
                  <w:effect w:val="non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118">
              <w:r>
                <w:rPr>
                  <w:rStyle w:val="InternetLink"/>
                  <w:rFonts w:ascii="Times New Roman;serif" w:hAnsi="Times New Roman;serif"/>
                  <w:b w:val="false"/>
                  <w:strike w:val="false"/>
                  <w:dstrike w:val="false"/>
                  <w:color w:val="000000"/>
                  <w:sz w:val="20"/>
                  <w:u w:val="none"/>
                  <w:effect w:val="none"/>
                </w:rPr>
                <w:t>73</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121">
              <w:r>
                <w:rPr>
                  <w:rStyle w:val="InternetLink"/>
                  <w:rFonts w:ascii="Times New Roman;serif" w:hAnsi="Times New Roman;serif"/>
                  <w:b/>
                  <w:strike w:val="false"/>
                  <w:dstrike w:val="false"/>
                  <w:color w:val="000000"/>
                  <w:sz w:val="20"/>
                  <w:u w:val="none"/>
                  <w:effect w:val="none"/>
                </w:rPr>
                <w:t>PART II</w:t>
              </w:r>
            </w:hyperlink>
            <w:r>
              <w:rPr>
                <w:rFonts w:ascii="Times New Roman;serif" w:hAnsi="Times New Roman;serif"/>
                <w:b/>
                <w:color w:val="000000"/>
                <w:sz w:val="20"/>
              </w:rPr>
              <w:t xml:space="preserve"> - OTHER INFORMATION</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124">
              <w:r>
                <w:rPr>
                  <w:rStyle w:val="InternetLink"/>
                  <w:rFonts w:ascii="Times New Roman;serif" w:hAnsi="Times New Roman;serif"/>
                  <w:b/>
                  <w:strike w:val="false"/>
                  <w:dstrike w:val="false"/>
                  <w:color w:val="000000"/>
                  <w:sz w:val="20"/>
                  <w:u w:val="none"/>
                  <w:effect w:val="none"/>
                </w:rPr>
                <w:t>ITEM 1.</w:t>
              </w:r>
            </w:hyperlink>
          </w:p>
        </w:tc>
        <w:tc>
          <w:tcPr>
            <w:tcW w:w="75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124">
              <w:r>
                <w:rPr>
                  <w:rStyle w:val="InternetLink"/>
                  <w:rFonts w:ascii="Times New Roman;serif" w:hAnsi="Times New Roman;serif"/>
                  <w:b/>
                  <w:strike w:val="false"/>
                  <w:dstrike w:val="false"/>
                  <w:color w:val="000000"/>
                  <w:sz w:val="20"/>
                  <w:u w:val="none"/>
                  <w:effect w:val="non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124">
              <w:r>
                <w:rPr>
                  <w:rStyle w:val="InternetLink"/>
                  <w:rFonts w:ascii="Times New Roman;serif" w:hAnsi="Times New Roman;serif"/>
                  <w:b w:val="false"/>
                  <w:strike w:val="false"/>
                  <w:dstrike w:val="false"/>
                  <w:color w:val="000000"/>
                  <w:sz w:val="20"/>
                  <w:u w:val="none"/>
                  <w:effect w:val="none"/>
                </w:rPr>
                <w:t>74</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127">
              <w:r>
                <w:rPr>
                  <w:rStyle w:val="InternetLink"/>
                  <w:rFonts w:ascii="Times New Roman;serif" w:hAnsi="Times New Roman;serif"/>
                  <w:b/>
                  <w:strike w:val="false"/>
                  <w:dstrike w:val="false"/>
                  <w:color w:val="000000"/>
                  <w:sz w:val="20"/>
                  <w:u w:val="none"/>
                  <w:effect w:val="none"/>
                </w:rPr>
                <w:t>ITEM 1A</w:t>
              </w:r>
            </w:hyperlink>
            <w:r>
              <w:rPr>
                <w:rFonts w:ascii="Times New Roman;serif" w:hAnsi="Times New Roman;serif"/>
                <w:b/>
                <w:color w:val="000000"/>
                <w:sz w:val="20"/>
              </w:rPr>
              <w:t>.</w:t>
            </w:r>
          </w:p>
        </w:tc>
        <w:tc>
          <w:tcPr>
            <w:tcW w:w="75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127">
              <w:r>
                <w:rPr>
                  <w:rStyle w:val="InternetLink"/>
                  <w:rFonts w:ascii="Times New Roman;serif" w:hAnsi="Times New Roman;serif"/>
                  <w:b/>
                  <w:strike w:val="false"/>
                  <w:dstrike w:val="false"/>
                  <w:color w:val="000000"/>
                  <w:sz w:val="20"/>
                  <w:u w:val="none"/>
                  <w:effect w:val="non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127">
              <w:r>
                <w:rPr>
                  <w:rStyle w:val="InternetLink"/>
                  <w:rFonts w:ascii="Times New Roman;serif" w:hAnsi="Times New Roman;serif"/>
                  <w:b w:val="false"/>
                  <w:strike w:val="false"/>
                  <w:dstrike w:val="false"/>
                  <w:color w:val="000000"/>
                  <w:sz w:val="20"/>
                  <w:u w:val="none"/>
                  <w:effect w:val="none"/>
                </w:rPr>
                <w:t>74</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w:t>
            </w:r>
          </w:p>
        </w:tc>
        <w:tc>
          <w:tcPr>
            <w:tcW w:w="756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130">
              <w:r>
                <w:rPr>
                  <w:rStyle w:val="InternetLink"/>
                  <w:rFonts w:ascii="Times New Roman;serif" w:hAnsi="Times New Roman;serif"/>
                  <w:b w:val="false"/>
                  <w:strike w:val="false"/>
                  <w:dstrike w:val="false"/>
                  <w:color w:val="000000"/>
                  <w:sz w:val="20"/>
                  <w:u w:val="none"/>
                  <w:effect w:val="none"/>
                </w:rPr>
                <w:t>74</w:t>
              </w:r>
            </w:hyperlink>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56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56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56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756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w:t>
            </w:r>
          </w:p>
        </w:tc>
        <w:tc>
          <w:tcPr>
            <w:tcW w:w="756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Information</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f500d72bdc473c8fb1048c3d88967a_133">
              <w:r>
                <w:rPr>
                  <w:rStyle w:val="InternetLink"/>
                  <w:rFonts w:ascii="Times New Roman;serif" w:hAnsi="Times New Roman;serif"/>
                  <w:b w:val="false"/>
                  <w:strike w:val="false"/>
                  <w:dstrike w:val="false"/>
                  <w:color w:val="000000"/>
                  <w:sz w:val="20"/>
                  <w:u w:val="none"/>
                  <w:effect w:val="none"/>
                </w:rPr>
                <w:t>75</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139">
              <w:r>
                <w:rPr>
                  <w:rStyle w:val="InternetLink"/>
                  <w:rFonts w:ascii="Times New Roman;serif" w:hAnsi="Times New Roman;serif"/>
                  <w:b/>
                  <w:strike w:val="false"/>
                  <w:dstrike w:val="false"/>
                  <w:color w:val="000000"/>
                  <w:sz w:val="20"/>
                  <w:u w:val="none"/>
                  <w:effect w:val="none"/>
                </w:rPr>
                <w:t>ITEM 6</w:t>
              </w:r>
            </w:hyperlink>
            <w:r>
              <w:rPr>
                <w:rFonts w:ascii="Times New Roman;serif" w:hAnsi="Times New Roman;serif"/>
                <w:b/>
                <w:color w:val="000000"/>
                <w:sz w:val="20"/>
              </w:rPr>
              <w:t>.</w:t>
            </w:r>
          </w:p>
        </w:tc>
        <w:tc>
          <w:tcPr>
            <w:tcW w:w="75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139">
              <w:r>
                <w:rPr>
                  <w:rStyle w:val="InternetLink"/>
                  <w:rFonts w:ascii="Times New Roman;serif" w:hAnsi="Times New Roman;serif"/>
                  <w:b/>
                  <w:strike w:val="false"/>
                  <w:dstrike w:val="false"/>
                  <w:color w:val="000000"/>
                  <w:sz w:val="20"/>
                  <w:u w:val="none"/>
                  <w:effect w:val="non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139">
              <w:r>
                <w:rPr>
                  <w:rStyle w:val="InternetLink"/>
                  <w:rFonts w:ascii="Times New Roman;serif" w:hAnsi="Times New Roman;serif"/>
                  <w:b w:val="false"/>
                  <w:strike w:val="false"/>
                  <w:dstrike w:val="false"/>
                  <w:color w:val="000000"/>
                  <w:sz w:val="20"/>
                  <w:u w:val="none"/>
                  <w:effect w:val="none"/>
                </w:rPr>
                <w:t>76</w:t>
              </w:r>
            </w:hyperlink>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7f500d72bdc473c8fb1048c3d88967a_142">
              <w:r>
                <w:rPr>
                  <w:rStyle w:val="InternetLink"/>
                  <w:rFonts w:ascii="Times New Roman;serif" w:hAnsi="Times New Roman;serif"/>
                  <w:b/>
                  <w:strike w:val="false"/>
                  <w:dstrike w:val="false"/>
                  <w:color w:val="000000"/>
                  <w:sz w:val="20"/>
                  <w:u w:val="none"/>
                  <w:effect w:val="non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f500d72bdc473c8fb1048c3d88967a_142">
              <w:r>
                <w:rPr>
                  <w:rStyle w:val="InternetLink"/>
                  <w:rFonts w:ascii="Times New Roman;serif" w:hAnsi="Times New Roman;serif"/>
                  <w:b w:val="false"/>
                  <w:strike w:val="false"/>
                  <w:dstrike w:val="false"/>
                  <w:color w:val="000000"/>
                  <w:sz w:val="20"/>
                  <w:u w:val="none"/>
                  <w:effect w:val="none"/>
                </w:rPr>
                <w:t>77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0"/>
                        <w:jc w:val="center"/>
                        <w:rPr/>
                      </w:pPr>
                      <w:r>
                        <w:rPr/>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the context indicates otherwise, references to “we,” “us,” “our” and the “Company” refer to Amalgamated Financial Corp. and Amalgamated Bank. References to the “Bank” refer to Amalgamated Bank.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the Private Securities Litigation Reform Act of 1995, Section 21E of the Securities Exchange Act of 1934, as amended (the “Exchange Act”). Forward-looking statements are not statements of historical or current fact nor are they assurances of future performance and generally can be identified by the use of forward-looking terminology, such as “may,” “will,” “anticipate,” “aspire,” “should,” “would,” “believe,” “contemplate,” “expect,” “estimate,” “continue,” “in the future,” and “intend,” as well as other similar words and expressions of the future.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subject to known and unknown risks, uncertainties and other factors, any or all of which could cause actual results to differ materially from the results expressed or implied by such forward-looking statements. These risks and uncertainties include, but are not limited to:</w:t>
      </w:r>
    </w:p>
    <w:p>
      <w:pPr>
        <w:pStyle w:val="TextBody"/>
        <w:bidi w:val="0"/>
        <w:spacing w:lineRule="auto" w:line="26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1.uncertain conditions in the banking industry and in national, regional and local economies in core markets, which may have an adverse impact on business, operations and financial performance;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2.deterioration in the financial condition of borrowers, as well as deterioration in the reputational profile of borrowers, resulting in significant increases in credit losses and provisions for those losses;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3.deposit outflows and subsequent declines in liquidity caused by factors that could include lack of confidence in the banking system, a deterioration in market conditions or the financial condition of depositors;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4.changes in deposits, including an increase in uninsured deposits;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5.ability to maintain sufficient liquidity to meet deposit and debt obligations as they come due, which may require that the Company sell investment securities at a loss, negatively impacting net income, earnings and capital;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6.unfavorable conditions in the capital markets, which may cause declines in stock price and the value of investments;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7.negative economic and political conditions that adversely affect the general economy, housing prices, the real estate market, the job market, consumer confidence, the financial condition of borrowers and consumer spending habits, which may affect, among other things, the level of nonperforming assets, charge-offs and provision expense;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8.fluctuations or unanticipated changes in the interest rate environment including changes in net interest margin or changes in the yield curve that affect investments, loans or deposits;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9.the general decline in the real estate and lending markets, particularly in commercial real estate in the Company’s market areas, and the effects of the enactment of or changes to rent-control and other similar regulations on multi-family housing;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10.implementation by the current presidential administration of a regulatory reform agenda that is significantly different from that of the prior presidential administration, impacting the rule making, supervision, examination and enforcement of the banking regulation agencies;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11.changes in U.S. trade policies and other global political factors beyond the Company’s control, including the imposition of tariffs, which raise economic uncertainty, potentially leading to slower growth and a decrease in loan demand;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12.the outcome of legal or regulatory proceedings that may be instituted against us;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13.inability to achieve organic loan and deposit growth and the composition of that growth;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14.composition of the Company’s loan portfolio, including any concentration in industries or sectors that may experience unanticipated or anticipated adverse conditions greater than other industries or sectors in the national or local economies in which the Company operates;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15.inaccuracy of the assumptions and estimates the Company makes and policies that the Company implements in establishing the allowance for credit losses;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16.changes in loan underwriting, credit review or loss reserve policies associated with economic conditions, examination conclusions, or regulatory developments;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17.any matter that would cause the Company to conclude that there was impairment of any asset, including intangible assets;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18.limitations on the ability to declare and pay dividends;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19.the impact of competition with other financial institutions, including pricing pressures and the resulting impact on results, including compression to net interest margin;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20.increased competition for experienced members of the workforce including executives in the banking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0"/>
                        <w:jc w:val="center"/>
                        <w:rPr/>
                      </w:pPr>
                      <w:r>
                        <w:rPr/>
                      </w:r>
                    </w:p>
                  </w:txbxContent>
                </v:textbox>
                <w10:wrap type="none"/>
              </v:rect>
            </w:pict>
          </mc:Fallback>
        </mc:AlternateContent>
      </w:r>
    </w:p>
    <w:p>
      <w:pPr>
        <w:pStyle w:val="TextBody"/>
        <w:bidi w:val="0"/>
        <w:spacing w:before="0" w:after="600"/>
        <w:jc w:val="righ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21.a failure in or breach of operational or security systems or infrastructure, or those of third party vendors or other service providers, including as a result of unauthorized access, computer viruses, phishing schemes, spam attacks, human error, natural disasters, power loss and other security breaches;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22.increased regulatory scrutiny, privacy concerns, and exposure from the use of “big data” techniques, machine learning, and artificial intelligence;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23.a downgrade in the Company’s credit rating; </w:t>
      </w:r>
    </w:p>
    <w:p>
      <w:pPr>
        <w:pStyle w:val="TextBody"/>
        <w:bidi w:val="0"/>
        <w:spacing w:lineRule="auto" w:line="288" w:before="0" w:after="0"/>
        <w:ind w:left="0" w:right="0" w:hanging="360"/>
        <w:jc w:val="both"/>
        <w:rPr/>
      </w:pPr>
      <w:r>
        <w:rPr>
          <w:rFonts w:ascii="Times New Roman;serif" w:hAnsi="Times New Roman;serif"/>
          <w:b w:val="false"/>
          <w:color w:val="000000"/>
          <w:sz w:val="20"/>
        </w:rPr>
        <w:t>24.</w:t>
      </w:r>
      <w:r>
        <w:rPr>
          <w:color w:val="000000"/>
        </w:rPr>
        <w:t>“</w:t>
      </w:r>
      <w:r>
        <w:rPr>
          <w:rFonts w:ascii="Times New Roman;serif" w:hAnsi="Times New Roman;serif"/>
          <w:b w:val="false"/>
          <w:color w:val="000000"/>
          <w:sz w:val="20"/>
        </w:rPr>
        <w:t xml:space="preserve">greenwashing claims” against the Company and environmental, social, and governance ("ESG") products and increased scrutiny and political opposition to ESG and diversity, equity, and inclusion ("DEI") practices;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25.any unanticipated or greater than anticipated adverse conditions (including the possibility of earthquakes, wildfires, and other natural disasters) affecting the markets in which the Company operates;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26.physical and transitional risks related to climate change as they impact the business and the businesses that the Company finances;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27.future repurchase of the Company’s shares through the Company’s common stock repurchase program;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28.descriptions of assumptions underlying or relating to any of the foregoing.</w:t>
      </w:r>
    </w:p>
    <w:p>
      <w:pPr>
        <w:pStyle w:val="TextBody"/>
        <w:bidi w:val="0"/>
        <w:spacing w:lineRule="auto" w:line="268" w:before="240" w:after="120"/>
        <w:jc w:val="both"/>
        <w:rPr>
          <w:rFonts w:ascii="Times New Roman;serif" w:hAnsi="Times New Roman;serif"/>
          <w:b w:val="false"/>
          <w:color w:val="000000"/>
          <w:sz w:val="20"/>
        </w:rPr>
      </w:pPr>
      <w:r>
        <w:rPr>
          <w:rFonts w:ascii="Times New Roman;serif" w:hAnsi="Times New Roman;serif"/>
          <w:b w:val="false"/>
          <w:color w:val="000000"/>
          <w:sz w:val="20"/>
        </w:rPr>
        <w:t>We caution readers that the foregoing list of factors is not exclusive, is not necessarily in order of importance and readers should not place undue reliance on any forward-looking statements, which should be read in conjunction with the other cautionary statements that are included elsewhere in this report. Additional factors that may cause actual results to differ materially from those contemplated by any forward-looking statements may be found in our Annual Reports on Form 10-K, Quarterly Reports on Form 10-Q and Current Reports on Form 8-K filed with the SEC and available at the SEC’s website at https://www.sec.gov. Further, any forward-looking statement speaks only as of the date on which it is made and we do not intend to and, except as required by law, disclaim any obligation to update or revise any forward-looking statement to reflect events or circumstances after the date on which the statement is made or to reflect the occurrence of unanticipated events, unless required to do so under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99"/>
        <w:gridCol w:w="2104"/>
        <w:gridCol w:w="2010"/>
        <w:gridCol w:w="243"/>
        <w:gridCol w:w="1084"/>
        <w:gridCol w:w="135"/>
        <w:gridCol w:w="135"/>
        <w:gridCol w:w="135"/>
        <w:gridCol w:w="135"/>
        <w:gridCol w:w="243"/>
        <w:gridCol w:w="1084"/>
        <w:gridCol w:w="198"/>
      </w:tblGrid>
      <w:tr>
        <w:trPr/>
        <w:tc>
          <w:tcPr>
            <w:tcW w:w="2699"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Part I</w:t>
            </w:r>
          </w:p>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Item 1. – Financial Statements</w:t>
            </w:r>
          </w:p>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Consolidated Statements of Financial Condition</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(Dollars in thousands except for per share amounts)</w:t>
            </w:r>
          </w:p>
        </w:tc>
      </w:tr>
      <w:tr>
        <w:trPr/>
        <w:tc>
          <w:tcPr>
            <w:tcW w:w="6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 in banks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286,716 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and cash equivalents</w:t>
            </w:r>
          </w:p>
        </w:tc>
        <w:tc>
          <w:tcPr>
            <w:tcW w:w="13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167,784 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291,217 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Available for sale, at fair value:</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Traditional securities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2,034,532 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1,580,049 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Property Assessed Clean Energy ("PACE") assessments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203,502 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2,240,834 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1,783,551 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Held-to-maturity, at amortized cost:</w:t>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Traditional securities, net of allowance for credit losses of $38 and $41, respectively</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441,428 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476,950 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PACE assessments, net of allowance for credit losses of $749 and $703, respectively</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1,130,119 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1,077,065 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1,571,547 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1,554,015 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receivable, net of deferred loan origination fees and costs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5,149,085 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4,957,273 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(57,586)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receivable, net</w:t>
            </w:r>
          </w:p>
        </w:tc>
        <w:tc>
          <w:tcPr>
            <w:tcW w:w="13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5,080,146 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4,899,687 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Resell agreements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59,271 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48,662 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Federal Home Loan Bank of New York ("FHLBNY") stock, at cost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receivable</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65,128 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Bank-owned life insurance</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108,941 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lease asset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 net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43,947 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assets</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9,411,541 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8,869,836 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8,458,414 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7,949,241 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69,547 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39,286 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44,329 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liabilities</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8,576,548 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8,075,372 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Commitments, contingencies and off balance sheet risk (see Note 11)</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par value $0.01 per share (70,000,000 shares authorized; 31,207,172 and 31,045,377 shares issued, respectively, and 29,900,147 and 29,818,424 shares outstanding, respectively)</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296,491 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294,134 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616,925 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567,269 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 net of income taxes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(40,796)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(32,088)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(1,307,025 and 1,226,953 shares, respectively)</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(37,942)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(35,163)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stockholders' equity</w:t>
            </w:r>
          </w:p>
        </w:tc>
        <w:tc>
          <w:tcPr>
            <w:tcW w:w="13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834,993 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794,464 </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liabilities and stockholders’ equity</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9,411,541 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8,869,836 </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1605"/>
        <w:gridCol w:w="1138"/>
        <w:gridCol w:w="1142"/>
        <w:gridCol w:w="291"/>
        <w:gridCol w:w="996"/>
        <w:gridCol w:w="150"/>
        <w:gridCol w:w="150"/>
        <w:gridCol w:w="150"/>
        <w:gridCol w:w="150"/>
        <w:gridCol w:w="291"/>
        <w:gridCol w:w="996"/>
        <w:gridCol w:w="150"/>
        <w:gridCol w:w="109"/>
        <w:gridCol w:w="109"/>
        <w:gridCol w:w="109"/>
        <w:gridCol w:w="211"/>
        <w:gridCol w:w="826"/>
        <w:gridCol w:w="109"/>
        <w:gridCol w:w="109"/>
        <w:gridCol w:w="109"/>
        <w:gridCol w:w="109"/>
        <w:gridCol w:w="211"/>
        <w:gridCol w:w="826"/>
        <w:gridCol w:w="159"/>
      </w:tblGrid>
      <w:tr>
        <w:trPr/>
        <w:tc>
          <w:tcPr>
            <w:tcW w:w="160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09"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Consolidated Statements of Income (unaudited)</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(Dollars in thousands, except for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Loans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Securities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Interest-bearing deposits in banks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interest and dividend income</w:t>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117,163 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104,099 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204,789 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Deposits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Borrowed funds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interest expense</w:t>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2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86,057 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72,909 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143,486 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interest income after provision for credit losses</w:t>
            </w:r>
          </w:p>
        </w:tc>
        <w:tc>
          <w:tcPr>
            <w:tcW w:w="12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81,628 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68,019 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Trust Department fees </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Service charges on deposit accounts </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Bank-owned life insurance income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Losses on sale of securities and other assets, net</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 xml:space="preserve">Gain on sale of loans and changes in fair value on loans held-for-sale, net </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 method investments income (loss)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non-interest income</w:t>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12,304 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Compensation and employee benefits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Occupancy and depreciation</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Professional fees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Technology</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Office maintenance and depreciation</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intangible assets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Advertising and promotion</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Federal deposit insurance premiums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expense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non-interest expense</w:t>
            </w:r>
          </w:p>
        </w:tc>
        <w:tc>
          <w:tcPr>
            <w:tcW w:w="12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47,312 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40,584 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46,620 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expense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25,989 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 basic</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 diluted</w:t>
            </w:r>
          </w:p>
        </w:tc>
        <w:tc>
          <w:tcPr>
            <w:tcW w:w="29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5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600"/>
        <w:jc w:val="left"/>
        <w:rPr/>
      </w:pPr>
      <w:r>
        <w:rPr/>
      </w:r>
    </w:p>
    <w:tbl>
      <w:tblPr>
        <w:tblW w:w="10205" w:type="dxa"/>
        <w:jc w:val="left"/>
        <w:tblInd w:w="0" w:type="dxa"/>
        <w:tblLayout w:type="fixed"/>
        <w:tblCellMar>
          <w:top w:w="28" w:type="dxa"/>
          <w:left w:w="28" w:type="dxa"/>
          <w:bottom w:w="28" w:type="dxa"/>
          <w:right w:w="28" w:type="dxa"/>
        </w:tblCellMar>
      </w:tblPr>
      <w:tblGrid>
        <w:gridCol w:w="1701"/>
        <w:gridCol w:w="1428"/>
        <w:gridCol w:w="962"/>
        <w:gridCol w:w="291"/>
        <w:gridCol w:w="997"/>
        <w:gridCol w:w="150"/>
        <w:gridCol w:w="150"/>
        <w:gridCol w:w="150"/>
        <w:gridCol w:w="150"/>
        <w:gridCol w:w="291"/>
        <w:gridCol w:w="997"/>
        <w:gridCol w:w="150"/>
        <w:gridCol w:w="109"/>
        <w:gridCol w:w="109"/>
        <w:gridCol w:w="109"/>
        <w:gridCol w:w="211"/>
        <w:gridCol w:w="721"/>
        <w:gridCol w:w="109"/>
        <w:gridCol w:w="109"/>
        <w:gridCol w:w="109"/>
        <w:gridCol w:w="109"/>
        <w:gridCol w:w="211"/>
        <w:gridCol w:w="721"/>
        <w:gridCol w:w="161"/>
      </w:tblGrid>
      <w:tr>
        <w:trPr/>
        <w:tc>
          <w:tcPr>
            <w:tcW w:w="170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17"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Consolidated Statements of Comprehensive Income (unaudited)</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taxes:</w:t>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total obligation for postretirement benefits, prior service credit, and other benefits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gains on securities:</w:t>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holding (losses) gains on securities available for sale</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Reclassification adjustment for losses realized in income </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net unrealized loss on securities transferred to held-to-maturity</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gains on securities</w:t>
            </w:r>
          </w:p>
        </w:tc>
        <w:tc>
          <w:tcPr>
            <w:tcW w:w="12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(losses) gains on derivatives:</w:t>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holding (losses) gains on cash flow hedges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losses (gains) realized in income from cash flow hedges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unrealized holding losses on available for sale securities realized in income related to fair value hedges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on derivatives</w:t>
            </w:r>
          </w:p>
        </w:tc>
        <w:tc>
          <w:tcPr>
            <w:tcW w:w="12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(loss) income, before tax </w:t>
            </w:r>
          </w:p>
        </w:tc>
        <w:tc>
          <w:tcPr>
            <w:tcW w:w="12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 net of taxes</w:t>
            </w:r>
          </w:p>
        </w:tc>
        <w:tc>
          <w:tcPr>
            <w:tcW w:w="12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net of taxes</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30,556 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30,315 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66,672 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600"/>
        <w:jc w:val="left"/>
        <w:rPr/>
      </w:pPr>
      <w:r>
        <w:rPr/>
      </w:r>
    </w:p>
    <w:tbl>
      <w:tblPr>
        <w:tblW w:w="7764" w:type="dxa"/>
        <w:jc w:val="left"/>
        <w:tblInd w:w="0" w:type="dxa"/>
        <w:tblLayout w:type="fixed"/>
        <w:tblCellMar>
          <w:top w:w="28" w:type="dxa"/>
          <w:left w:w="28" w:type="dxa"/>
          <w:bottom w:w="28" w:type="dxa"/>
          <w:right w:w="28" w:type="dxa"/>
        </w:tblCellMar>
      </w:tblPr>
      <w:tblGrid>
        <w:gridCol w:w="203"/>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78"/>
        <w:gridCol w:w="109"/>
        <w:gridCol w:w="154"/>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1"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Consolidated Statements of Changes in Stockholders’ Equity (unaudited)</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263" w:type="dxa"/>
            <w:gridSpan w:val="2"/>
            <w:tcBorders/>
          </w:tcPr>
          <w:p>
            <w:pPr>
              <w:pStyle w:val="TableContents"/>
              <w:bidi w:val="0"/>
              <w:spacing w:before="0" w:after="283"/>
              <w:jc w:val="left"/>
              <w:rPr>
                <w:sz w:val="4"/>
                <w:szCs w:val="4"/>
              </w:rPr>
            </w:pPr>
            <w:r>
              <w:rPr>
                <w:sz w:val="4"/>
                <w:szCs w:val="4"/>
              </w:rPr>
            </w:r>
          </w:p>
        </w:tc>
      </w:tr>
    </w:tbl>
    <w:tbl>
      <w:tblPr>
        <w:tblW w:w="11796" w:type="dxa"/>
        <w:jc w:val="left"/>
        <w:tblInd w:w="0" w:type="dxa"/>
        <w:tblLayout w:type="fixed"/>
        <w:tblCellMar>
          <w:top w:w="28" w:type="dxa"/>
          <w:left w:w="28" w:type="dxa"/>
          <w:bottom w:w="28" w:type="dxa"/>
          <w:right w:w="28" w:type="dxa"/>
        </w:tblCellMar>
      </w:tblPr>
      <w:tblGrid>
        <w:gridCol w:w="834"/>
        <w:gridCol w:w="258"/>
        <w:gridCol w:w="259"/>
        <w:gridCol w:w="380"/>
        <w:gridCol w:w="380"/>
        <w:gridCol w:w="381"/>
        <w:gridCol w:w="109"/>
        <w:gridCol w:w="109"/>
        <w:gridCol w:w="109"/>
        <w:gridCol w:w="237"/>
        <w:gridCol w:w="525"/>
        <w:gridCol w:w="124"/>
        <w:gridCol w:w="109"/>
        <w:gridCol w:w="109"/>
        <w:gridCol w:w="109"/>
        <w:gridCol w:w="211"/>
        <w:gridCol w:w="826"/>
        <w:gridCol w:w="109"/>
        <w:gridCol w:w="109"/>
        <w:gridCol w:w="109"/>
        <w:gridCol w:w="109"/>
        <w:gridCol w:w="211"/>
        <w:gridCol w:w="826"/>
        <w:gridCol w:w="109"/>
        <w:gridCol w:w="109"/>
        <w:gridCol w:w="109"/>
        <w:gridCol w:w="109"/>
        <w:gridCol w:w="284"/>
        <w:gridCol w:w="993"/>
        <w:gridCol w:w="149"/>
        <w:gridCol w:w="109"/>
        <w:gridCol w:w="109"/>
        <w:gridCol w:w="109"/>
        <w:gridCol w:w="211"/>
        <w:gridCol w:w="736"/>
        <w:gridCol w:w="109"/>
        <w:gridCol w:w="109"/>
        <w:gridCol w:w="109"/>
        <w:gridCol w:w="109"/>
        <w:gridCol w:w="109"/>
        <w:gridCol w:w="109"/>
        <w:gridCol w:w="109"/>
        <w:gridCol w:w="109"/>
        <w:gridCol w:w="220"/>
        <w:gridCol w:w="864"/>
        <w:gridCol w:w="162"/>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573"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 of Common Stock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Loss, net of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Stockholders'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April 1, 2026</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29,856,788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(36,586)</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807,574 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Equity Programs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stock, $0.17 per share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vesting, net of repurchases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1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29,900,147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(40,796)</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834,993 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796" w:type="dxa"/>
        <w:jc w:val="left"/>
        <w:tblInd w:w="0" w:type="dxa"/>
        <w:tblLayout w:type="fixed"/>
        <w:tblCellMar>
          <w:top w:w="28" w:type="dxa"/>
          <w:left w:w="28" w:type="dxa"/>
          <w:bottom w:w="28" w:type="dxa"/>
          <w:right w:w="28" w:type="dxa"/>
        </w:tblCellMar>
      </w:tblPr>
      <w:tblGrid>
        <w:gridCol w:w="814"/>
        <w:gridCol w:w="268"/>
        <w:gridCol w:w="269"/>
        <w:gridCol w:w="380"/>
        <w:gridCol w:w="380"/>
        <w:gridCol w:w="381"/>
        <w:gridCol w:w="109"/>
        <w:gridCol w:w="109"/>
        <w:gridCol w:w="109"/>
        <w:gridCol w:w="237"/>
        <w:gridCol w:w="525"/>
        <w:gridCol w:w="124"/>
        <w:gridCol w:w="109"/>
        <w:gridCol w:w="109"/>
        <w:gridCol w:w="109"/>
        <w:gridCol w:w="211"/>
        <w:gridCol w:w="826"/>
        <w:gridCol w:w="109"/>
        <w:gridCol w:w="109"/>
        <w:gridCol w:w="109"/>
        <w:gridCol w:w="109"/>
        <w:gridCol w:w="211"/>
        <w:gridCol w:w="826"/>
        <w:gridCol w:w="109"/>
        <w:gridCol w:w="109"/>
        <w:gridCol w:w="109"/>
        <w:gridCol w:w="109"/>
        <w:gridCol w:w="284"/>
        <w:gridCol w:w="993"/>
        <w:gridCol w:w="149"/>
        <w:gridCol w:w="109"/>
        <w:gridCol w:w="109"/>
        <w:gridCol w:w="109"/>
        <w:gridCol w:w="211"/>
        <w:gridCol w:w="736"/>
        <w:gridCol w:w="109"/>
        <w:gridCol w:w="109"/>
        <w:gridCol w:w="109"/>
        <w:gridCol w:w="109"/>
        <w:gridCol w:w="109"/>
        <w:gridCol w:w="109"/>
        <w:gridCol w:w="109"/>
        <w:gridCol w:w="109"/>
        <w:gridCol w:w="220"/>
        <w:gridCol w:w="864"/>
        <w:gridCol w:w="162"/>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1573"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 of Common Stock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Loss, net of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Stockholders'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2026</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29,818,424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(32,088)</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794,464 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Equity Program</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$0.34 per share</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(80,072)</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vesting, net of repurchases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14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29,900,147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(40,796)</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834,993 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600"/>
        <w:jc w:val="left"/>
        <w:rPr/>
      </w:pPr>
      <w:r>
        <w:rPr/>
      </w:r>
    </w:p>
    <w:tbl>
      <w:tblPr>
        <w:tblW w:w="11796" w:type="dxa"/>
        <w:jc w:val="left"/>
        <w:tblInd w:w="0" w:type="dxa"/>
        <w:tblLayout w:type="fixed"/>
        <w:tblCellMar>
          <w:top w:w="28" w:type="dxa"/>
          <w:left w:w="28" w:type="dxa"/>
          <w:bottom w:w="28" w:type="dxa"/>
          <w:right w:w="28" w:type="dxa"/>
        </w:tblCellMar>
      </w:tblPr>
      <w:tblGrid>
        <w:gridCol w:w="834"/>
        <w:gridCol w:w="258"/>
        <w:gridCol w:w="259"/>
        <w:gridCol w:w="380"/>
        <w:gridCol w:w="380"/>
        <w:gridCol w:w="381"/>
        <w:gridCol w:w="109"/>
        <w:gridCol w:w="109"/>
        <w:gridCol w:w="109"/>
        <w:gridCol w:w="237"/>
        <w:gridCol w:w="525"/>
        <w:gridCol w:w="124"/>
        <w:gridCol w:w="109"/>
        <w:gridCol w:w="109"/>
        <w:gridCol w:w="109"/>
        <w:gridCol w:w="211"/>
        <w:gridCol w:w="826"/>
        <w:gridCol w:w="109"/>
        <w:gridCol w:w="109"/>
        <w:gridCol w:w="109"/>
        <w:gridCol w:w="109"/>
        <w:gridCol w:w="211"/>
        <w:gridCol w:w="826"/>
        <w:gridCol w:w="109"/>
        <w:gridCol w:w="109"/>
        <w:gridCol w:w="109"/>
        <w:gridCol w:w="109"/>
        <w:gridCol w:w="284"/>
        <w:gridCol w:w="993"/>
        <w:gridCol w:w="149"/>
        <w:gridCol w:w="109"/>
        <w:gridCol w:w="109"/>
        <w:gridCol w:w="109"/>
        <w:gridCol w:w="211"/>
        <w:gridCol w:w="736"/>
        <w:gridCol w:w="109"/>
        <w:gridCol w:w="109"/>
        <w:gridCol w:w="109"/>
        <w:gridCol w:w="109"/>
        <w:gridCol w:w="109"/>
        <w:gridCol w:w="109"/>
        <w:gridCol w:w="109"/>
        <w:gridCol w:w="109"/>
        <w:gridCol w:w="220"/>
        <w:gridCol w:w="864"/>
        <w:gridCol w:w="162"/>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573"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of Common Stock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Loss, net of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Stockholders'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April 1, 2025</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30,696,940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(47,308)</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735,996 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Equity Programs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$0.14 per share</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vesting, net of repurchases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14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30,412,241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(42,982)</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753,984 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796" w:type="dxa"/>
        <w:jc w:val="left"/>
        <w:tblInd w:w="0" w:type="dxa"/>
        <w:tblLayout w:type="fixed"/>
        <w:tblCellMar>
          <w:top w:w="28" w:type="dxa"/>
          <w:left w:w="28" w:type="dxa"/>
          <w:bottom w:w="28" w:type="dxa"/>
          <w:right w:w="28" w:type="dxa"/>
        </w:tblCellMar>
      </w:tblPr>
      <w:tblGrid>
        <w:gridCol w:w="814"/>
        <w:gridCol w:w="268"/>
        <w:gridCol w:w="269"/>
        <w:gridCol w:w="380"/>
        <w:gridCol w:w="380"/>
        <w:gridCol w:w="381"/>
        <w:gridCol w:w="109"/>
        <w:gridCol w:w="109"/>
        <w:gridCol w:w="109"/>
        <w:gridCol w:w="237"/>
        <w:gridCol w:w="525"/>
        <w:gridCol w:w="124"/>
        <w:gridCol w:w="109"/>
        <w:gridCol w:w="109"/>
        <w:gridCol w:w="109"/>
        <w:gridCol w:w="211"/>
        <w:gridCol w:w="826"/>
        <w:gridCol w:w="109"/>
        <w:gridCol w:w="109"/>
        <w:gridCol w:w="109"/>
        <w:gridCol w:w="109"/>
        <w:gridCol w:w="211"/>
        <w:gridCol w:w="826"/>
        <w:gridCol w:w="109"/>
        <w:gridCol w:w="109"/>
        <w:gridCol w:w="109"/>
        <w:gridCol w:w="109"/>
        <w:gridCol w:w="284"/>
        <w:gridCol w:w="993"/>
        <w:gridCol w:w="149"/>
        <w:gridCol w:w="109"/>
        <w:gridCol w:w="109"/>
        <w:gridCol w:w="109"/>
        <w:gridCol w:w="211"/>
        <w:gridCol w:w="736"/>
        <w:gridCol w:w="109"/>
        <w:gridCol w:w="109"/>
        <w:gridCol w:w="109"/>
        <w:gridCol w:w="109"/>
        <w:gridCol w:w="109"/>
        <w:gridCol w:w="109"/>
        <w:gridCol w:w="109"/>
        <w:gridCol w:w="109"/>
        <w:gridCol w:w="220"/>
        <w:gridCol w:w="864"/>
        <w:gridCol w:w="162"/>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1573"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of Common Stock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Loss, net of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Stockholders'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2025</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30,670,982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(58,637)</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707,654 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Equity Program</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$0.28 per share</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net of repurchases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vesting, net of repurchases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1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30,412,241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(42,982)</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753,984 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600"/>
        <w:jc w:val="left"/>
        <w:rPr/>
      </w:pPr>
      <w:r>
        <w:rPr/>
      </w:r>
    </w:p>
    <w:tbl>
      <w:tblPr>
        <w:tblW w:w="9331" w:type="dxa"/>
        <w:jc w:val="left"/>
        <w:tblInd w:w="0" w:type="dxa"/>
        <w:tblLayout w:type="fixed"/>
        <w:tblCellMar>
          <w:top w:w="28" w:type="dxa"/>
          <w:left w:w="28" w:type="dxa"/>
          <w:bottom w:w="28" w:type="dxa"/>
          <w:right w:w="28" w:type="dxa"/>
        </w:tblCellMar>
      </w:tblPr>
      <w:tblGrid>
        <w:gridCol w:w="2433"/>
        <w:gridCol w:w="2141"/>
        <w:gridCol w:w="2146"/>
        <w:gridCol w:w="211"/>
        <w:gridCol w:w="721"/>
        <w:gridCol w:w="109"/>
        <w:gridCol w:w="109"/>
        <w:gridCol w:w="109"/>
        <w:gridCol w:w="109"/>
        <w:gridCol w:w="211"/>
        <w:gridCol w:w="721"/>
        <w:gridCol w:w="311"/>
      </w:tblGrid>
      <w:tr>
        <w:trPr/>
        <w:tc>
          <w:tcPr>
            <w:tcW w:w="2433"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Consolidated Statements of Cash Flows (unaudited)</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0" w:type="dxa"/>
            <w:gridSpan w:val="6"/>
            <w:tcBorders/>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0" w:type="dxa"/>
            <w:gridSpan w:val="6"/>
            <w:tcBorders/>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0" w:type="dxa"/>
            <w:gridSpan w:val="6"/>
            <w:tcBorders/>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0" w:type="dxa"/>
            <w:gridSpan w:val="6"/>
            <w:tcBorders/>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0" w:type="dxa"/>
            <w:gridSpan w:val="6"/>
            <w:tcBorders/>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0" w:type="dxa"/>
            <w:gridSpan w:val="6"/>
            <w:tcBorders/>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0" w:type="dxa"/>
            <w:gridSpan w:val="6"/>
            <w:tcBorders/>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0" w:type="dxa"/>
            <w:gridSpan w:val="6"/>
            <w:tcBorders/>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0" w:type="dxa"/>
            <w:gridSpan w:val="6"/>
            <w:tcBorders/>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sale of securities available for sale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loans and change in fair value on loans held-for-sale,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death benefits of bank-owned life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loans originated as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 of loans held for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surrender value of bank-owned life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accrued interest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59,139 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loans originated as held for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securities available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(473,312)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securities held-to-maturity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securities available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principal payments and redemptions of securities available for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principal payments and redemptions of securities held-to-maturity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resell agreements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FHLBNY stock,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premises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redemption of bank-owned life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Proceeds from sale of owned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(238,985)</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552,667 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other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(238,994)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Equity Programs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600"/>
        <w:jc w:val="left"/>
        <w:rPr/>
      </w:pPr>
      <w:r>
        <w:rPr/>
      </w:r>
    </w:p>
    <w:tbl>
      <w:tblPr>
        <w:tblW w:w="8169" w:type="dxa"/>
        <w:jc w:val="left"/>
        <w:tblInd w:w="0" w:type="dxa"/>
        <w:tblLayout w:type="fixed"/>
        <w:tblCellMar>
          <w:top w:w="28" w:type="dxa"/>
          <w:left w:w="28" w:type="dxa"/>
          <w:bottom w:w="28" w:type="dxa"/>
          <w:right w:w="28" w:type="dxa"/>
        </w:tblCellMar>
      </w:tblPr>
      <w:tblGrid>
        <w:gridCol w:w="1994"/>
        <w:gridCol w:w="1750"/>
        <w:gridCol w:w="1761"/>
        <w:gridCol w:w="211"/>
        <w:gridCol w:w="826"/>
        <w:gridCol w:w="109"/>
        <w:gridCol w:w="109"/>
        <w:gridCol w:w="109"/>
        <w:gridCol w:w="109"/>
        <w:gridCol w:w="211"/>
        <w:gridCol w:w="826"/>
        <w:gridCol w:w="154"/>
      </w:tblGrid>
      <w:tr>
        <w:trPr/>
        <w:tc>
          <w:tcPr>
            <w:tcW w:w="199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repurchase of common stock for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during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during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transferred to held-for-investment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securities available for sale, net not settled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color w:val="000000"/>
          <w:sz w:val="22"/>
        </w:rPr>
      </w:pPr>
      <w:r>
        <w:rPr>
          <w:rFonts w:ascii="Times New Roman;serif" w:hAnsi="Times New Roman;serif"/>
          <w:b/>
          <w:color w:val="000000"/>
          <w:sz w:val="22"/>
        </w:rPr>
        <w:t>1.    BASIS OF PRESENTATION AND CONSOLIDATION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Basis of Accounting and Changes in Significant Accounting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this discussion, unless the context indicates otherwise, references to “we,” “us,” “our” and the “Company” refer to Amalgamated Financial Corp. and Amalgamated Bank. References to the “Bank” refer to Amalgamated Bank.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accounting and reporting policies of the Company conform to accounting principles generally accepted in the United States of America, or GAAP and predominant practices within the banking industry. The Company uses the accrual basis of accounting for financial statement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accordance with U.S. generally accepted accounting principles (“GAAP”) for interim financial information and with the instructions to Form 10-Q and Article 10 of Regulation S-X. The annualized results of operations for the six months ended June 30, 2026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All significant inter-company transactions and balances are eliminated in consolidation. In the opinion of management, all adjustments necessary for a fair presentation of the consolidated financial position and the results of operations as of the dates and for the interim periods presented have been included. These unaudited consolidated financial statements should be read in conjunction with the audited consolidated financial statements and related notes appearing in the Annual Report on Form 10-K for the year ended December 31, 2025 (the “2025 Annual Report”). A more detailed description of our accounting policies is included in the 2025 Annual Report, which remain significantly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2.    ACCUMULATED OTHER COMPREHENSIVE INCOME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accumulated comprehensive income (loss) balances, net of income taxes:</w:t>
      </w:r>
    </w:p>
    <w:tbl>
      <w:tblPr>
        <w:tblW w:w="10205" w:type="dxa"/>
        <w:jc w:val="left"/>
        <w:tblInd w:w="0" w:type="dxa"/>
        <w:tblLayout w:type="fixed"/>
        <w:tblCellMar>
          <w:top w:w="28" w:type="dxa"/>
          <w:left w:w="28" w:type="dxa"/>
          <w:bottom w:w="28" w:type="dxa"/>
          <w:right w:w="28" w:type="dxa"/>
        </w:tblCellMar>
      </w:tblPr>
      <w:tblGrid>
        <w:gridCol w:w="404"/>
        <w:gridCol w:w="344"/>
        <w:gridCol w:w="345"/>
        <w:gridCol w:w="109"/>
        <w:gridCol w:w="257"/>
        <w:gridCol w:w="790"/>
        <w:gridCol w:w="132"/>
        <w:gridCol w:w="109"/>
        <w:gridCol w:w="109"/>
        <w:gridCol w:w="109"/>
        <w:gridCol w:w="275"/>
        <w:gridCol w:w="986"/>
        <w:gridCol w:w="142"/>
        <w:gridCol w:w="109"/>
        <w:gridCol w:w="109"/>
        <w:gridCol w:w="109"/>
        <w:gridCol w:w="434"/>
        <w:gridCol w:w="1299"/>
        <w:gridCol w:w="225"/>
        <w:gridCol w:w="109"/>
        <w:gridCol w:w="109"/>
        <w:gridCol w:w="109"/>
        <w:gridCol w:w="109"/>
        <w:gridCol w:w="109"/>
        <w:gridCol w:w="271"/>
        <w:gridCol w:w="835"/>
        <w:gridCol w:w="139"/>
        <w:gridCol w:w="109"/>
        <w:gridCol w:w="109"/>
        <w:gridCol w:w="109"/>
        <w:gridCol w:w="321"/>
        <w:gridCol w:w="1126"/>
        <w:gridCol w:w="245"/>
      </w:tblGrid>
      <w:tr>
        <w:trPr/>
        <w:tc>
          <w:tcPr>
            <w:tcW w:w="4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 on benefits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 on available for 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Unaccreted unrealized loss on securities transferred to held-to-maturity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Unrealized gains (losses)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Accumulated Other Comprehensive Loss</w:t>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Change</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(31,671)</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(40,796)</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(58,637)</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Change</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(34,228)</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(42,982)</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comprehensive income (loss) components and related income tax effects were as follows:</w:t>
      </w:r>
    </w:p>
    <w:tbl>
      <w:tblPr>
        <w:tblW w:w="10205" w:type="dxa"/>
        <w:jc w:val="left"/>
        <w:tblInd w:w="0" w:type="dxa"/>
        <w:tblLayout w:type="fixed"/>
        <w:tblCellMar>
          <w:top w:w="28" w:type="dxa"/>
          <w:left w:w="28" w:type="dxa"/>
          <w:bottom w:w="28" w:type="dxa"/>
          <w:right w:w="28" w:type="dxa"/>
        </w:tblCellMar>
      </w:tblPr>
      <w:tblGrid>
        <w:gridCol w:w="1888"/>
        <w:gridCol w:w="1620"/>
        <w:gridCol w:w="1635"/>
        <w:gridCol w:w="109"/>
        <w:gridCol w:w="211"/>
        <w:gridCol w:w="654"/>
        <w:gridCol w:w="109"/>
        <w:gridCol w:w="109"/>
        <w:gridCol w:w="109"/>
        <w:gridCol w:w="109"/>
        <w:gridCol w:w="211"/>
        <w:gridCol w:w="616"/>
        <w:gridCol w:w="109"/>
        <w:gridCol w:w="109"/>
        <w:gridCol w:w="109"/>
        <w:gridCol w:w="109"/>
        <w:gridCol w:w="211"/>
        <w:gridCol w:w="654"/>
        <w:gridCol w:w="109"/>
        <w:gridCol w:w="109"/>
        <w:gridCol w:w="109"/>
        <w:gridCol w:w="109"/>
        <w:gridCol w:w="211"/>
        <w:gridCol w:w="721"/>
        <w:gridCol w:w="156"/>
      </w:tblGrid>
      <w:tr>
        <w:trPr/>
        <w:tc>
          <w:tcPr>
            <w:tcW w:w="188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Postretirement Benefit Plans</w:t>
            </w:r>
          </w:p>
        </w:tc>
        <w:tc>
          <w:tcPr>
            <w:tcW w:w="109" w:type="dxa"/>
            <w:tcBorders/>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obligation for postretirement benefits and for prior service credit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prior service expense included in other expense and in compensation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obligation for other benefits</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total obligation for postretirement benefits and for prior service credit and for other benefits</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total obligation for postretirement benefits and prior service credit and for other benefits</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w:t>
            </w:r>
          </w:p>
        </w:tc>
        <w:tc>
          <w:tcPr>
            <w:tcW w:w="109" w:type="dxa"/>
            <w:tcBorders/>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holding (losses) gains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net losses realized in income</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net unrealized loss on securities transferred to held-to-maturity</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(losses) gains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(losses) gains on securities</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w:t>
            </w:r>
          </w:p>
        </w:tc>
        <w:tc>
          <w:tcPr>
            <w:tcW w:w="109" w:type="dxa"/>
            <w:tcBorders/>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holding gains (losses) on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losses (gains) realized in income from cash flow and fair value hedges</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unrealized holding gains on available for sale securities realized in income related to fair value hedges</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gains (losses) on derivatives</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(losses) on derivatives</w:t>
            </w:r>
          </w:p>
        </w:tc>
        <w:tc>
          <w:tcPr>
            <w:tcW w:w="109" w:type="dxa"/>
            <w:tcBorders/>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15,655 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color w:val="000000"/>
          <w:sz w:val="22"/>
        </w:rPr>
      </w:pPr>
      <w:r>
        <w:rPr>
          <w:rFonts w:ascii="Times New Roman;serif" w:hAnsi="Times New Roman;serif"/>
          <w:b/>
          <w:color w:val="000000"/>
          <w:sz w:val="22"/>
        </w:rPr>
        <w:t>3.    INVESTMENT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investment securities available for sale and held-to-maturity as of June 30, 2026 are as follows:</w:t>
      </w:r>
    </w:p>
    <w:tbl>
      <w:tblPr>
        <w:tblW w:w="10476" w:type="dxa"/>
        <w:jc w:val="left"/>
        <w:tblInd w:w="0" w:type="dxa"/>
        <w:tblLayout w:type="fixed"/>
        <w:tblCellMar>
          <w:top w:w="28" w:type="dxa"/>
          <w:left w:w="28" w:type="dxa"/>
          <w:bottom w:w="28" w:type="dxa"/>
          <w:right w:w="28" w:type="dxa"/>
        </w:tblCellMar>
      </w:tblPr>
      <w:tblGrid>
        <w:gridCol w:w="780"/>
        <w:gridCol w:w="517"/>
        <w:gridCol w:w="264"/>
        <w:gridCol w:w="109"/>
        <w:gridCol w:w="109"/>
        <w:gridCol w:w="109"/>
        <w:gridCol w:w="109"/>
        <w:gridCol w:w="826"/>
        <w:gridCol w:w="109"/>
        <w:gridCol w:w="211"/>
        <w:gridCol w:w="976"/>
        <w:gridCol w:w="109"/>
        <w:gridCol w:w="233"/>
        <w:gridCol w:w="233"/>
        <w:gridCol w:w="109"/>
        <w:gridCol w:w="286"/>
        <w:gridCol w:w="838"/>
        <w:gridCol w:w="152"/>
        <w:gridCol w:w="368"/>
        <w:gridCol w:w="368"/>
        <w:gridCol w:w="109"/>
        <w:gridCol w:w="231"/>
        <w:gridCol w:w="924"/>
        <w:gridCol w:w="121"/>
        <w:gridCol w:w="413"/>
        <w:gridCol w:w="413"/>
        <w:gridCol w:w="109"/>
        <w:gridCol w:w="211"/>
        <w:gridCol w:w="976"/>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75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sponsored entities ("GSE") certificates &amp; Collateralized mortgage obligations ("CMOs")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Non-GSE certificates &amp; CMOs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 ("ABS")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(45,809)</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2,034,532 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Unrecognized Gains</w:t>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Unrecognized Losses</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Traditional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certificates &amp; CMOs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Non-GSE certificates &amp; CMOs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(31,381)</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PACE assessments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(105,078)</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 net of allowance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1,571,547 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available for sale securities with a fair value of $1.49 billion and held-to-maturity securities with a fair value of $381.5 million were pledged. The majority of the securities were pledged to the FHLBNY to secure outstanding advances,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letters of credit and to provide additional borrowing potential. In addition, securities were pledged to provide capacity to borrow from the Federal Reserve Bank and to collateralize municipal deposits.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investment securities available for sale and held-to-maturity as of December 31, 2025 are as follows:    </w:t>
      </w:r>
    </w:p>
    <w:tbl>
      <w:tblPr>
        <w:tblW w:w="10205" w:type="dxa"/>
        <w:jc w:val="left"/>
        <w:tblInd w:w="0" w:type="dxa"/>
        <w:tblLayout w:type="fixed"/>
        <w:tblCellMar>
          <w:top w:w="28" w:type="dxa"/>
          <w:left w:w="28" w:type="dxa"/>
          <w:bottom w:w="28" w:type="dxa"/>
          <w:right w:w="28" w:type="dxa"/>
        </w:tblCellMar>
      </w:tblPr>
      <w:tblGrid>
        <w:gridCol w:w="1280"/>
        <w:gridCol w:w="869"/>
        <w:gridCol w:w="820"/>
        <w:gridCol w:w="220"/>
        <w:gridCol w:w="1020"/>
        <w:gridCol w:w="113"/>
        <w:gridCol w:w="109"/>
        <w:gridCol w:w="109"/>
        <w:gridCol w:w="109"/>
        <w:gridCol w:w="449"/>
        <w:gridCol w:w="1144"/>
        <w:gridCol w:w="171"/>
        <w:gridCol w:w="109"/>
        <w:gridCol w:w="109"/>
        <w:gridCol w:w="109"/>
        <w:gridCol w:w="367"/>
        <w:gridCol w:w="1268"/>
        <w:gridCol w:w="157"/>
        <w:gridCol w:w="109"/>
        <w:gridCol w:w="109"/>
        <w:gridCol w:w="109"/>
        <w:gridCol w:w="211"/>
        <w:gridCol w:w="976"/>
        <w:gridCol w:w="159"/>
      </w:tblGrid>
      <w:tr>
        <w:trPr/>
        <w:tc>
          <w:tcPr>
            <w:tcW w:w="128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 for sale:</w:t>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securities:</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GSE residential CMOs </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Non-GSE certificates &amp; CMOs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1,616,058 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(43,949)</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1,580,049 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PACE assessments:</w:t>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PACE assessments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 for sale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1,816,061 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1,783,551 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Unrecognized Gains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Unrecognized 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Held-to-maturity:</w:t>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securities:</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certificates &amp; CMOs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Non-GSE certificates &amp; CMOs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476,991 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449,414 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PACE assessments:</w:t>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PACE assessments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PACE assessments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1,077,768 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(87,210)</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990,558 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held-to-maturity</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1,439,972 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held-to-maturity, net of allowance for credit losses</w:t>
            </w:r>
          </w:p>
        </w:tc>
        <w:tc>
          <w:tcPr>
            <w:tcW w:w="2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1,554,015 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to or from securities held-to-maturity during the three or six months ended June 30, 2026, or the three or six months ended June 30, 2025. </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amortized cost and fair value of debt securities available for sale and held-to-maturity, exclusive of mortgage-backed securities, by their contractual maturity as of June 30, 2026. Actual maturities may differ from contractual maturities because borrowers may have the right to call or prepay obligations with or without penalty:</w:t>
      </w:r>
    </w:p>
    <w:tbl>
      <w:tblPr>
        <w:tblW w:w="9562" w:type="dxa"/>
        <w:jc w:val="left"/>
        <w:tblInd w:w="0" w:type="dxa"/>
        <w:tblLayout w:type="fixed"/>
        <w:tblCellMar>
          <w:top w:w="28" w:type="dxa"/>
          <w:left w:w="28" w:type="dxa"/>
          <w:bottom w:w="28" w:type="dxa"/>
          <w:right w:w="28" w:type="dxa"/>
        </w:tblCellMar>
      </w:tblPr>
      <w:tblGrid>
        <w:gridCol w:w="124"/>
        <w:gridCol w:w="109"/>
        <w:gridCol w:w="1038"/>
        <w:gridCol w:w="1038"/>
        <w:gridCol w:w="1043"/>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Available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Held-to-maturity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6210" w:type="dxa"/>
            <w:gridSpan w:val="21"/>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1,086,674 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1,205,791 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br/>
        <w:t>Proceeds received and gains and losses realized on sales of available for sale securities are summarized below:</w:t>
      </w:r>
    </w:p>
    <w:tbl>
      <w:tblPr>
        <w:tblW w:w="8752" w:type="dxa"/>
        <w:jc w:val="left"/>
        <w:tblInd w:w="0" w:type="dxa"/>
        <w:tblLayout w:type="fixed"/>
        <w:tblCellMar>
          <w:top w:w="28" w:type="dxa"/>
          <w:left w:w="28" w:type="dxa"/>
          <w:bottom w:w="28" w:type="dxa"/>
          <w:right w:w="28" w:type="dxa"/>
        </w:tblCellMar>
      </w:tblPr>
      <w:tblGrid>
        <w:gridCol w:w="124"/>
        <w:gridCol w:w="834"/>
        <w:gridCol w:w="834"/>
        <w:gridCol w:w="837"/>
        <w:gridCol w:w="258"/>
        <w:gridCol w:w="883"/>
        <w:gridCol w:w="133"/>
        <w:gridCol w:w="109"/>
        <w:gridCol w:w="109"/>
        <w:gridCol w:w="109"/>
        <w:gridCol w:w="258"/>
        <w:gridCol w:w="883"/>
        <w:gridCol w:w="133"/>
        <w:gridCol w:w="109"/>
        <w:gridCol w:w="109"/>
        <w:gridCol w:w="109"/>
        <w:gridCol w:w="234"/>
        <w:gridCol w:w="919"/>
        <w:gridCol w:w="121"/>
        <w:gridCol w:w="109"/>
        <w:gridCol w:w="109"/>
        <w:gridCol w:w="109"/>
        <w:gridCol w:w="256"/>
        <w:gridCol w:w="877"/>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realized losses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sales of held-to-maturity securities during the three or six months ended June 30, 2026 or the three or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controls and monitors inherent credit risk in its securities portfolio through due diligence, diversification, concentration limits, periodic securities reviews, and by investing in low risk securities. This includes high quality Non-Agency Securities, low loan-to-value ("LTV") PACE assessments and a significant portion of the securities portfolio in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and FNMA are private. Mortgage-related securities may include mortgage pass-through certificates, participation certificates and CMOs. At June 30, 2026 and December 31, 2025, there were no holdings of securities of any one issuer, other than the U.S. Government and its agencies, in an amount greater than 10% of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fair value and unrealized losses for available for sale securities as of June 30, 2026 and December 31, 2025, respectively, segregated between securities that have been in an unrealized loss position for less than twelve months and those that have been in a continuous unrealized loss position for twelve months or longer at the respective dates: </w:t>
      </w:r>
    </w:p>
    <w:tbl>
      <w:tblPr>
        <w:tblW w:w="10205" w:type="dxa"/>
        <w:jc w:val="left"/>
        <w:tblInd w:w="0" w:type="dxa"/>
        <w:tblLayout w:type="fixed"/>
        <w:tblCellMar>
          <w:top w:w="28" w:type="dxa"/>
          <w:left w:w="28" w:type="dxa"/>
          <w:bottom w:w="28" w:type="dxa"/>
          <w:right w:w="28" w:type="dxa"/>
        </w:tblCellMar>
      </w:tblPr>
      <w:tblGrid>
        <w:gridCol w:w="741"/>
        <w:gridCol w:w="514"/>
        <w:gridCol w:w="512"/>
        <w:gridCol w:w="211"/>
        <w:gridCol w:w="976"/>
        <w:gridCol w:w="109"/>
        <w:gridCol w:w="109"/>
        <w:gridCol w:w="109"/>
        <w:gridCol w:w="109"/>
        <w:gridCol w:w="211"/>
        <w:gridCol w:w="61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721"/>
        <w:gridCol w:w="156"/>
      </w:tblGrid>
      <w:tr>
        <w:trPr/>
        <w:tc>
          <w:tcPr>
            <w:tcW w:w="74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8"/>
              </w:rPr>
            </w:pPr>
            <w:r>
              <w:rPr>
                <w:rFonts w:ascii="Times New Roman;serif" w:hAnsi="Times New Roman;serif"/>
                <w:b/>
                <w:color w:val="000000"/>
                <w:sz w:val="18"/>
              </w:rPr>
              <w:t>Less Than Twelve Months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8"/>
              </w:rPr>
            </w:pPr>
            <w:r>
              <w:rPr>
                <w:rFonts w:ascii="Times New Roman;serif" w:hAnsi="Times New Roman;serif"/>
                <w:b/>
                <w:color w:val="000000"/>
                <w:sz w:val="18"/>
              </w:rPr>
              <w:t>Twelve Months or Longer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 for 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certificates &amp; CMOs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Non-GSE certificates &amp; CMOs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PACE assessments: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Residential PACE assessments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 for sale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1,123,446 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1,494,004 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46,939 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406" w:type="dxa"/>
            <w:gridSpan w:val="18"/>
            <w:tcBorders/>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6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92"/>
        <w:gridCol w:w="638"/>
        <w:gridCol w:w="637"/>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6"/>
      </w:tblGrid>
      <w:tr>
        <w:trPr/>
        <w:tc>
          <w:tcPr>
            <w:tcW w:w="79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Twelve Months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or Longer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 for sale: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certificates &amp; CMOs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Non-GSE certificates &amp; CMOs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 for sale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43,949 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256" w:type="dxa"/>
            <w:gridSpan w:val="18"/>
            <w:tcBorders/>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Available for sale securities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none of the Company’s available-for-sale debt securities were in an unrealized loss position due to credit quality and therefore no allowance for credit losses on available-for-sale debt securities was required. The temporary impairment of fixed income securities is primarily attributable to changes in overall market interest rates and/or changes in credit/liquidity spreads since the investments were acquired. In general, as market interest rates rise and/or credit/liquidity spreads widen, the fair value of fixed rate securities will decrease, as market interest rates fall and/or credit spreads tighten, the fair value of fixed rate securities will increase.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the Company’s security investments that are temporarily impaired as of June 30, 2026, management does not intend to sell these investments and does not believe it will be necessary to do so before anticipated recovery. If either criteria regarding intent or requirement to sell is met, the security's amortized cost basis is written down to fair value through income. The Company expects to collect all amounts due according to the contractual terms of these investments. Therefore, the Company does not hold an allowance for credit losses for available for sale securities at June 30,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Held-to-maturity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conducts an evaluation of expected credit losses on held-to-maturity securities on a collective basis by security type. Management monitors the credit quality of debt securities held-to-maturity through reasonable and supportable forecasts, reviews of credit trends on underlying assets, credit ratings, and other factors. Holdings of securities issued by GSEs with unrealized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losses are either explicitly or implicitly guaranteed by the U.S. government, and are highly rated by major rating agencies and have a long history of no credit losses.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 the exception of PACE assessments, which are generally not rated, our traditional securities were rated investment grade by at least one nationally recognized statistical rating organization with only $7.0 million rated below investment grade. All issues were current as to their interest payments. We have had insignificant losses on PACE assessments that we have invested in and are not aware of any significant losses in the PACE bonds sector given the low loan-to-value position and the superior lien position on the property. Management considers that the temporary impairment of these investments as of June 30, 2026 is primarily due to an increase in interest rates and spreads since the time these investments were acquired.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interest receivable on securities totaling $39.6 million and $41.6 million at June 30, 2026 and December 31, 2025, respectively, was included in the consolidated balance sheet and excluded from the amortized cost and estimated fair value totals in the table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in the allowance for credit losses for securities held-to-maturity for the three months ended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9"/>
        <w:gridCol w:w="875"/>
        <w:gridCol w:w="878"/>
        <w:gridCol w:w="779"/>
        <w:gridCol w:w="1335"/>
        <w:gridCol w:w="407"/>
        <w:gridCol w:w="109"/>
        <w:gridCol w:w="109"/>
        <w:gridCol w:w="109"/>
        <w:gridCol w:w="431"/>
        <w:gridCol w:w="953"/>
        <w:gridCol w:w="223"/>
        <w:gridCol w:w="109"/>
        <w:gridCol w:w="109"/>
        <w:gridCol w:w="109"/>
        <w:gridCol w:w="399"/>
        <w:gridCol w:w="882"/>
        <w:gridCol w:w="206"/>
        <w:gridCol w:w="109"/>
        <w:gridCol w:w="109"/>
        <w:gridCol w:w="109"/>
        <w:gridCol w:w="211"/>
        <w:gridCol w:w="466"/>
        <w:gridCol w:w="160"/>
      </w:tblGrid>
      <w:tr>
        <w:trPr/>
        <w:tc>
          <w:tcPr>
            <w:tcW w:w="101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Non-GSE commercial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Residential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(recovery of) credit losses</w:t>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in the allowance for credit losses for securities held-to-maturity for the three months ended June 30, 2025:</w:t>
      </w:r>
    </w:p>
    <w:tbl>
      <w:tblPr>
        <w:tblW w:w="10205" w:type="dxa"/>
        <w:jc w:val="left"/>
        <w:tblInd w:w="0" w:type="dxa"/>
        <w:tblLayout w:type="fixed"/>
        <w:tblCellMar>
          <w:top w:w="28" w:type="dxa"/>
          <w:left w:w="28" w:type="dxa"/>
          <w:bottom w:w="28" w:type="dxa"/>
          <w:right w:w="28" w:type="dxa"/>
        </w:tblCellMar>
      </w:tblPr>
      <w:tblGrid>
        <w:gridCol w:w="1019"/>
        <w:gridCol w:w="875"/>
        <w:gridCol w:w="878"/>
        <w:gridCol w:w="779"/>
        <w:gridCol w:w="1335"/>
        <w:gridCol w:w="407"/>
        <w:gridCol w:w="109"/>
        <w:gridCol w:w="109"/>
        <w:gridCol w:w="109"/>
        <w:gridCol w:w="431"/>
        <w:gridCol w:w="953"/>
        <w:gridCol w:w="223"/>
        <w:gridCol w:w="109"/>
        <w:gridCol w:w="109"/>
        <w:gridCol w:w="109"/>
        <w:gridCol w:w="399"/>
        <w:gridCol w:w="882"/>
        <w:gridCol w:w="206"/>
        <w:gridCol w:w="109"/>
        <w:gridCol w:w="109"/>
        <w:gridCol w:w="109"/>
        <w:gridCol w:w="211"/>
        <w:gridCol w:w="466"/>
        <w:gridCol w:w="160"/>
      </w:tblGrid>
      <w:tr>
        <w:trPr/>
        <w:tc>
          <w:tcPr>
            <w:tcW w:w="101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Non-GSE commercial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Residential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(recovery of) credit losses</w:t>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in the allowance for credit losses for securities held-to-maturity for the six months ended June 30, 2026:</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9"/>
        <w:gridCol w:w="875"/>
        <w:gridCol w:w="878"/>
        <w:gridCol w:w="779"/>
        <w:gridCol w:w="1335"/>
        <w:gridCol w:w="407"/>
        <w:gridCol w:w="109"/>
        <w:gridCol w:w="109"/>
        <w:gridCol w:w="109"/>
        <w:gridCol w:w="431"/>
        <w:gridCol w:w="953"/>
        <w:gridCol w:w="223"/>
        <w:gridCol w:w="109"/>
        <w:gridCol w:w="109"/>
        <w:gridCol w:w="109"/>
        <w:gridCol w:w="399"/>
        <w:gridCol w:w="882"/>
        <w:gridCol w:w="206"/>
        <w:gridCol w:w="109"/>
        <w:gridCol w:w="109"/>
        <w:gridCol w:w="109"/>
        <w:gridCol w:w="211"/>
        <w:gridCol w:w="466"/>
        <w:gridCol w:w="160"/>
      </w:tblGrid>
      <w:tr>
        <w:trPr/>
        <w:tc>
          <w:tcPr>
            <w:tcW w:w="101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Non-GSE commercial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Residential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(recovery of) credit losses</w:t>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in the allowance for credit losses for securities held-to-maturity for the six months ended June 30, 2025:</w:t>
      </w:r>
    </w:p>
    <w:tbl>
      <w:tblPr>
        <w:tblW w:w="10205" w:type="dxa"/>
        <w:jc w:val="left"/>
        <w:tblInd w:w="0" w:type="dxa"/>
        <w:tblLayout w:type="fixed"/>
        <w:tblCellMar>
          <w:top w:w="28" w:type="dxa"/>
          <w:left w:w="28" w:type="dxa"/>
          <w:bottom w:w="28" w:type="dxa"/>
          <w:right w:w="28" w:type="dxa"/>
        </w:tblCellMar>
      </w:tblPr>
      <w:tblGrid>
        <w:gridCol w:w="1019"/>
        <w:gridCol w:w="875"/>
        <w:gridCol w:w="878"/>
        <w:gridCol w:w="779"/>
        <w:gridCol w:w="1335"/>
        <w:gridCol w:w="407"/>
        <w:gridCol w:w="109"/>
        <w:gridCol w:w="109"/>
        <w:gridCol w:w="109"/>
        <w:gridCol w:w="431"/>
        <w:gridCol w:w="953"/>
        <w:gridCol w:w="223"/>
        <w:gridCol w:w="109"/>
        <w:gridCol w:w="109"/>
        <w:gridCol w:w="109"/>
        <w:gridCol w:w="399"/>
        <w:gridCol w:w="882"/>
        <w:gridCol w:w="206"/>
        <w:gridCol w:w="109"/>
        <w:gridCol w:w="109"/>
        <w:gridCol w:w="109"/>
        <w:gridCol w:w="211"/>
        <w:gridCol w:w="466"/>
        <w:gridCol w:w="160"/>
      </w:tblGrid>
      <w:tr>
        <w:trPr/>
        <w:tc>
          <w:tcPr>
            <w:tcW w:w="101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Non-GSE commercial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Residential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(recovery of) credit losses</w:t>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color w:val="000000"/>
          <w:sz w:val="22"/>
        </w:rPr>
      </w:pPr>
      <w:r>
        <w:rPr>
          <w:rFonts w:ascii="Times New Roman;serif" w:hAnsi="Times New Roman;serif"/>
          <w:b/>
          <w:color w:val="000000"/>
          <w:sz w:val="22"/>
        </w:rPr>
        <w:t>4.    LOANS RECEIVABLE,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Loans receivable are summarized as follows:</w:t>
      </w:r>
    </w:p>
    <w:tbl>
      <w:tblPr>
        <w:tblW w:w="6118" w:type="dxa"/>
        <w:jc w:val="left"/>
        <w:tblInd w:w="0" w:type="dxa"/>
        <w:tblLayout w:type="fixed"/>
        <w:tblCellMar>
          <w:top w:w="28" w:type="dxa"/>
          <w:left w:w="28" w:type="dxa"/>
          <w:bottom w:w="28" w:type="dxa"/>
          <w:right w:w="28" w:type="dxa"/>
        </w:tblCellMar>
      </w:tblPr>
      <w:tblGrid>
        <w:gridCol w:w="124"/>
        <w:gridCol w:w="1008"/>
        <w:gridCol w:w="1008"/>
        <w:gridCol w:w="1014"/>
        <w:gridCol w:w="211"/>
        <w:gridCol w:w="976"/>
        <w:gridCol w:w="109"/>
        <w:gridCol w:w="109"/>
        <w:gridCol w:w="109"/>
        <w:gridCol w:w="109"/>
        <w:gridCol w:w="21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commercial portfolio</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3,366,642 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lending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solar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retail portfolio</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1,527,639 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1,590,631 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4,957,273 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5,080,146 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4,899,687 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Included in commercial and industrial loans are government guaranteed loans with a balance of $198.1 million at June 30, 2026 and $204.9 million at December 31, 2025. Due to these loans being fully guaranteed by the United States government, no allowance for credit losses is recorded in relation to these loans at June 30, 2026 and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the past due status of the Company’s loans as of June 30, 2026:</w:t>
      </w:r>
    </w:p>
    <w:tbl>
      <w:tblPr>
        <w:tblW w:w="11447" w:type="dxa"/>
        <w:jc w:val="left"/>
        <w:tblInd w:w="0" w:type="dxa"/>
        <w:tblLayout w:type="fixed"/>
        <w:tblCellMar>
          <w:top w:w="28" w:type="dxa"/>
          <w:left w:w="28" w:type="dxa"/>
          <w:bottom w:w="28" w:type="dxa"/>
          <w:right w:w="28" w:type="dxa"/>
        </w:tblCellMar>
      </w:tblPr>
      <w:tblGrid>
        <w:gridCol w:w="124"/>
        <w:gridCol w:w="459"/>
        <w:gridCol w:w="384"/>
        <w:gridCol w:w="32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97"/>
        <w:gridCol w:w="509"/>
        <w:gridCol w:w="155"/>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30-59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60-89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w:t>
              <w:b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90 Days or </w:t>
              <w:br/>
              <w:t>More</w:t>
              <w:br/>
              <w:t>Delinquent</w:t>
              <w:br/>
              <w:t>and Still</w:t>
              <w:br/>
              <w:t>Accruing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Past</w:t>
              <w:br/>
              <w:t>Due and 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Loans</w:t>
              <w:br/>
              <w:t>Receivable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commercial portfolio</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3,621,446 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lending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solar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retail portfolio</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1,527,639 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5,013,671 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5,149,085 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the past due status of the Company’s loans as of December 31, 2025:</w:t>
      </w:r>
    </w:p>
    <w:tbl>
      <w:tblPr>
        <w:tblW w:w="11078" w:type="dxa"/>
        <w:jc w:val="left"/>
        <w:tblInd w:w="0" w:type="dxa"/>
        <w:tblLayout w:type="fixed"/>
        <w:tblCellMar>
          <w:top w:w="28" w:type="dxa"/>
          <w:left w:w="28" w:type="dxa"/>
          <w:bottom w:w="28" w:type="dxa"/>
          <w:right w:w="28" w:type="dxa"/>
        </w:tblCellMar>
      </w:tblPr>
      <w:tblGrid>
        <w:gridCol w:w="499"/>
        <w:gridCol w:w="372"/>
        <w:gridCol w:w="315"/>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79"/>
        <w:gridCol w:w="537"/>
        <w:gridCol w:w="145"/>
        <w:gridCol w:w="109"/>
        <w:gridCol w:w="109"/>
        <w:gridCol w:w="109"/>
        <w:gridCol w:w="222"/>
        <w:gridCol w:w="759"/>
        <w:gridCol w:w="115"/>
        <w:gridCol w:w="109"/>
        <w:gridCol w:w="109"/>
        <w:gridCol w:w="109"/>
        <w:gridCol w:w="109"/>
        <w:gridCol w:w="109"/>
        <w:gridCol w:w="211"/>
        <w:gridCol w:w="976"/>
        <w:gridCol w:w="109"/>
        <w:gridCol w:w="109"/>
        <w:gridCol w:w="109"/>
        <w:gridCol w:w="109"/>
        <w:gridCol w:w="211"/>
        <w:gridCol w:w="97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30-59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60-89 Days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w:t>
              <w:b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90 Days or</w:t>
              <w:br/>
              <w:t>More</w:t>
              <w:br/>
              <w:t>Delinquent</w:t>
              <w:br/>
              <w:t>and Still</w:t>
              <w:br/>
              <w:t>Accruing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Past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Due and 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Loans</w:t>
              <w:br/>
              <w:t>Receivable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commercial portfolio</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3,366,642 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lending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solar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retail portfolio</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1,570,209 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1,590,631 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65,918 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4,957,273 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loan modifications granted to borrowers experiencing financial difficulty during the three and six months ended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93"/>
        <w:gridCol w:w="658"/>
        <w:gridCol w:w="661"/>
        <w:gridCol w:w="109"/>
        <w:gridCol w:w="109"/>
        <w:gridCol w:w="109"/>
        <w:gridCol w:w="259"/>
        <w:gridCol w:w="885"/>
        <w:gridCol w:w="133"/>
        <w:gridCol w:w="268"/>
        <w:gridCol w:w="783"/>
        <w:gridCol w:w="137"/>
        <w:gridCol w:w="294"/>
        <w:gridCol w:w="259"/>
        <w:gridCol w:w="620"/>
        <w:gridCol w:w="109"/>
        <w:gridCol w:w="109"/>
        <w:gridCol w:w="109"/>
        <w:gridCol w:w="259"/>
        <w:gridCol w:w="885"/>
        <w:gridCol w:w="133"/>
        <w:gridCol w:w="268"/>
        <w:gridCol w:w="783"/>
        <w:gridCol w:w="137"/>
        <w:gridCol w:w="277"/>
        <w:gridCol w:w="257"/>
        <w:gridCol w:w="702"/>
      </w:tblGrid>
      <w:tr>
        <w:trPr/>
        <w:tc>
          <w:tcPr>
            <w:tcW w:w="89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4028" w:type="dxa"/>
            <w:gridSpan w:val="12"/>
            <w:tcBorders/>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Extension</w:t>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Delay</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Extension</w:t>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Delay</w:t>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Portfolio</w:t>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loan modifications granted to borrowers experiencing financial difficulty during the three and six months ended June 30, 2025:</w:t>
      </w:r>
    </w:p>
    <w:tbl>
      <w:tblPr>
        <w:tblW w:w="10205" w:type="dxa"/>
        <w:jc w:val="left"/>
        <w:tblInd w:w="0" w:type="dxa"/>
        <w:tblLayout w:type="fixed"/>
        <w:tblCellMar>
          <w:top w:w="28" w:type="dxa"/>
          <w:left w:w="28" w:type="dxa"/>
          <w:bottom w:w="28" w:type="dxa"/>
          <w:right w:w="28" w:type="dxa"/>
        </w:tblCellMar>
      </w:tblPr>
      <w:tblGrid>
        <w:gridCol w:w="821"/>
        <w:gridCol w:w="507"/>
        <w:gridCol w:w="511"/>
        <w:gridCol w:w="109"/>
        <w:gridCol w:w="109"/>
        <w:gridCol w:w="109"/>
        <w:gridCol w:w="253"/>
        <w:gridCol w:w="733"/>
        <w:gridCol w:w="128"/>
        <w:gridCol w:w="109"/>
        <w:gridCol w:w="109"/>
        <w:gridCol w:w="109"/>
        <w:gridCol w:w="244"/>
        <w:gridCol w:w="714"/>
        <w:gridCol w:w="125"/>
        <w:gridCol w:w="109"/>
        <w:gridCol w:w="109"/>
        <w:gridCol w:w="109"/>
        <w:gridCol w:w="294"/>
        <w:gridCol w:w="242"/>
        <w:gridCol w:w="564"/>
        <w:gridCol w:w="109"/>
        <w:gridCol w:w="109"/>
        <w:gridCol w:w="109"/>
        <w:gridCol w:w="239"/>
        <w:gridCol w:w="818"/>
        <w:gridCol w:w="123"/>
        <w:gridCol w:w="109"/>
        <w:gridCol w:w="109"/>
        <w:gridCol w:w="109"/>
        <w:gridCol w:w="244"/>
        <w:gridCol w:w="714"/>
        <w:gridCol w:w="126"/>
        <w:gridCol w:w="277"/>
        <w:gridCol w:w="248"/>
        <w:gridCol w:w="645"/>
      </w:tblGrid>
      <w:tr>
        <w:trPr/>
        <w:tc>
          <w:tcPr>
            <w:tcW w:w="82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Portfolio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Delay</w:t>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Portfolio</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describes the financial effect of the modifications made to borrowers experiencing financial difficulty during the three and six months ended June 30, 2026:</w:t>
      </w:r>
    </w:p>
    <w:tbl>
      <w:tblPr>
        <w:tblW w:w="10205" w:type="dxa"/>
        <w:jc w:val="left"/>
        <w:tblInd w:w="0" w:type="dxa"/>
        <w:tblLayout w:type="fixed"/>
        <w:tblCellMar>
          <w:top w:w="28" w:type="dxa"/>
          <w:left w:w="28" w:type="dxa"/>
          <w:bottom w:w="28" w:type="dxa"/>
          <w:right w:w="28" w:type="dxa"/>
        </w:tblCellMar>
      </w:tblPr>
      <w:tblGrid>
        <w:gridCol w:w="631"/>
        <w:gridCol w:w="556"/>
        <w:gridCol w:w="560"/>
        <w:gridCol w:w="109"/>
        <w:gridCol w:w="109"/>
        <w:gridCol w:w="109"/>
        <w:gridCol w:w="196"/>
        <w:gridCol w:w="196"/>
        <w:gridCol w:w="196"/>
        <w:gridCol w:w="196"/>
        <w:gridCol w:w="196"/>
        <w:gridCol w:w="196"/>
        <w:gridCol w:w="196"/>
        <w:gridCol w:w="196"/>
        <w:gridCol w:w="196"/>
        <w:gridCol w:w="135"/>
        <w:gridCol w:w="135"/>
        <w:gridCol w:w="135"/>
        <w:gridCol w:w="568"/>
        <w:gridCol w:w="568"/>
        <w:gridCol w:w="570"/>
        <w:gridCol w:w="109"/>
        <w:gridCol w:w="109"/>
        <w:gridCol w:w="109"/>
        <w:gridCol w:w="196"/>
        <w:gridCol w:w="196"/>
        <w:gridCol w:w="196"/>
        <w:gridCol w:w="196"/>
        <w:gridCol w:w="196"/>
        <w:gridCol w:w="196"/>
        <w:gridCol w:w="196"/>
        <w:gridCol w:w="196"/>
        <w:gridCol w:w="196"/>
        <w:gridCol w:w="130"/>
        <w:gridCol w:w="130"/>
        <w:gridCol w:w="130"/>
        <w:gridCol w:w="512"/>
        <w:gridCol w:w="512"/>
        <w:gridCol w:w="751"/>
      </w:tblGrid>
      <w:tr>
        <w:trPr/>
        <w:tc>
          <w:tcPr>
            <w:tcW w:w="63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Years of Term Extension</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Years of Payment Delay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Years of Term Extension</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Years of Payment Delay</w:t>
            </w:r>
          </w:p>
        </w:tc>
      </w:tr>
      <w:tr>
        <w:trPr/>
        <w:tc>
          <w:tcPr>
            <w:tcW w:w="1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describes the financial effect of the modifications made to borrowers experiencing financial difficulty during the three and six months ended June 30, 2025:</w:t>
      </w:r>
    </w:p>
    <w:tbl>
      <w:tblPr>
        <w:tblW w:w="10205" w:type="dxa"/>
        <w:jc w:val="left"/>
        <w:tblInd w:w="0" w:type="dxa"/>
        <w:tblLayout w:type="fixed"/>
        <w:tblCellMar>
          <w:top w:w="28" w:type="dxa"/>
          <w:left w:w="28" w:type="dxa"/>
          <w:bottom w:w="28" w:type="dxa"/>
          <w:right w:w="28" w:type="dxa"/>
        </w:tblCellMar>
      </w:tblPr>
      <w:tblGrid>
        <w:gridCol w:w="674"/>
        <w:gridCol w:w="525"/>
        <w:gridCol w:w="526"/>
        <w:gridCol w:w="109"/>
        <w:gridCol w:w="109"/>
        <w:gridCol w:w="109"/>
        <w:gridCol w:w="592"/>
        <w:gridCol w:w="592"/>
        <w:gridCol w:w="531"/>
        <w:gridCol w:w="171"/>
        <w:gridCol w:w="171"/>
        <w:gridCol w:w="171"/>
        <w:gridCol w:w="585"/>
        <w:gridCol w:w="585"/>
        <w:gridCol w:w="502"/>
        <w:gridCol w:w="109"/>
        <w:gridCol w:w="109"/>
        <w:gridCol w:w="109"/>
        <w:gridCol w:w="571"/>
        <w:gridCol w:w="571"/>
        <w:gridCol w:w="573"/>
        <w:gridCol w:w="161"/>
        <w:gridCol w:w="161"/>
        <w:gridCol w:w="161"/>
        <w:gridCol w:w="522"/>
        <w:gridCol w:w="522"/>
        <w:gridCol w:w="684"/>
      </w:tblGrid>
      <w:tr>
        <w:trPr/>
        <w:tc>
          <w:tcPr>
            <w:tcW w:w="67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 Average Years of Term Extension</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Years of Payment Delay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Years of Term Extension</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Years of Payment Delay</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twelve months ended June 30, 2026, five loan modifications were made to borrowers experiencing financial difficulty. There were no loans with a payment default during the twelve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twelve months ended June 30, 2025, eight loan modifications were made to borrowers experiencing financial difficulty. One CRE loan of $14.0 million that was modified during this period had a payment default of $41.1 thousand during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manage credit quality, we view the Company’s loan portfolio by various segments. For commercial loans, we assign individual credit ratings ranging from 1 (lowest risk) to 10 (highest risk) as an indicator of credit quality. These ratings are based on specific risk factors including (i) historical and projected financial results of the borrower, (ii) market conditions of the borrower’s industry that may affect the borrower’s future financial performance, (iii) business experience of the borrower’s management, (iv) nature of the underlying collateral, if any, including the ability of the collateral to generate sources of repayment, and (v) history of the borrower’s payment performance. These specific risk factors are then utilized as inputs in our credit model to determine the associated credit rating. Non-rated loans generally include residential mortgages and consumer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below classifications follow regulatory guidelines and can be generally described as follows: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pass loans are of satisfactory quality (risk rating 1 through 6);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special mention loans have a potential weakness or risk that may result in the deterioration of future repayment (risk rating 7);</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substandard loans are inadequately protected by the current net worth and paying capacity of the borrower or of the collateral pledged (these loans have a well-defined weakness, and there is a distinct possibility that the Company will sustain some loss) (risk rating 8 and 9);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doubtful loans, based on existing circumstances, have weaknesses that make collection or liquidation in full highly questionable and improbable (risk rating 10).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residential loans are classified utilizing an inter-agency methodology that incorporates the extent of delinquency. Assigned risk rating grades are continuously updated as new information is obtained.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discloses risk rating of the loans. Information below evaluates the Company’s risk category of loans by class as of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02"/>
        <w:gridCol w:w="461"/>
        <w:gridCol w:w="411"/>
        <w:gridCol w:w="196"/>
        <w:gridCol w:w="736"/>
        <w:gridCol w:w="109"/>
        <w:gridCol w:w="196"/>
        <w:gridCol w:w="736"/>
        <w:gridCol w:w="109"/>
        <w:gridCol w:w="196"/>
        <w:gridCol w:w="736"/>
        <w:gridCol w:w="109"/>
        <w:gridCol w:w="196"/>
        <w:gridCol w:w="736"/>
        <w:gridCol w:w="109"/>
        <w:gridCol w:w="197"/>
        <w:gridCol w:w="742"/>
        <w:gridCol w:w="109"/>
        <w:gridCol w:w="209"/>
        <w:gridCol w:w="691"/>
        <w:gridCol w:w="116"/>
        <w:gridCol w:w="344"/>
        <w:gridCol w:w="740"/>
        <w:gridCol w:w="192"/>
        <w:gridCol w:w="196"/>
        <w:gridCol w:w="871"/>
        <w:gridCol w:w="160"/>
      </w:tblGrid>
      <w:tr>
        <w:trPr/>
        <w:tc>
          <w:tcPr>
            <w:tcW w:w="60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Loans by Origination Year</w:t>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 &amp; Prior</w:t>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 Converted to Term</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1,275,123 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and industrial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80,532 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1,307,075 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Multifamily: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1,761,495 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multifamily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777,397 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1,861,575 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436,144 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436,144 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 and land development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Residential real estate lending: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1,196,027 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real estate lending</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1,199,552 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solar: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301,124 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solar</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303,538 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07"/>
        <w:gridCol w:w="582"/>
        <w:gridCol w:w="587"/>
        <w:gridCol w:w="196"/>
        <w:gridCol w:w="736"/>
        <w:gridCol w:w="109"/>
        <w:gridCol w:w="196"/>
        <w:gridCol w:w="736"/>
        <w:gridCol w:w="109"/>
        <w:gridCol w:w="196"/>
        <w:gridCol w:w="736"/>
        <w:gridCol w:w="109"/>
        <w:gridCol w:w="196"/>
        <w:gridCol w:w="736"/>
        <w:gridCol w:w="109"/>
        <w:gridCol w:w="196"/>
        <w:gridCol w:w="871"/>
        <w:gridCol w:w="109"/>
        <w:gridCol w:w="196"/>
        <w:gridCol w:w="736"/>
        <w:gridCol w:w="109"/>
        <w:gridCol w:w="196"/>
        <w:gridCol w:w="421"/>
        <w:gridCol w:w="109"/>
        <w:gridCol w:w="196"/>
        <w:gridCol w:w="871"/>
        <w:gridCol w:w="155"/>
      </w:tblGrid>
      <w:tr>
        <w:trPr/>
        <w:tc>
          <w:tcPr>
            <w:tcW w:w="7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and other: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and other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Loans: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4,996,948 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823,207 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593,830 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2,695,901 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5,149,085 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discloses risk rating of the loans. Information below evaluates the Company’s risk category of loans by class as of December 31, 2025:</w:t>
      </w:r>
    </w:p>
    <w:tbl>
      <w:tblPr>
        <w:tblW w:w="10205" w:type="dxa"/>
        <w:jc w:val="left"/>
        <w:tblInd w:w="0" w:type="dxa"/>
        <w:tblLayout w:type="fixed"/>
        <w:tblCellMar>
          <w:top w:w="28" w:type="dxa"/>
          <w:left w:w="28" w:type="dxa"/>
          <w:bottom w:w="28" w:type="dxa"/>
          <w:right w:w="28" w:type="dxa"/>
        </w:tblCellMar>
      </w:tblPr>
      <w:tblGrid>
        <w:gridCol w:w="523"/>
        <w:gridCol w:w="434"/>
        <w:gridCol w:w="385"/>
        <w:gridCol w:w="196"/>
        <w:gridCol w:w="736"/>
        <w:gridCol w:w="109"/>
        <w:gridCol w:w="196"/>
        <w:gridCol w:w="736"/>
        <w:gridCol w:w="109"/>
        <w:gridCol w:w="196"/>
        <w:gridCol w:w="736"/>
        <w:gridCol w:w="109"/>
        <w:gridCol w:w="196"/>
        <w:gridCol w:w="736"/>
        <w:gridCol w:w="109"/>
        <w:gridCol w:w="197"/>
        <w:gridCol w:w="742"/>
        <w:gridCol w:w="109"/>
        <w:gridCol w:w="206"/>
        <w:gridCol w:w="773"/>
        <w:gridCol w:w="114"/>
        <w:gridCol w:w="367"/>
        <w:gridCol w:w="760"/>
        <w:gridCol w:w="204"/>
        <w:gridCol w:w="196"/>
        <w:gridCol w:w="871"/>
        <w:gridCol w:w="160"/>
      </w:tblGrid>
      <w:tr>
        <w:trPr/>
        <w:tc>
          <w:tcPr>
            <w:tcW w:w="52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Term Loans by Origination Year</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0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 &amp; Prior</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 Converted to Term</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1,292,587 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and industrial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384,673 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112,819 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1,334,794 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Multifamily: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1,598,594 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multifamily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1,643,779 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363,266 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363,266 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4"/>
        <w:gridCol w:w="601"/>
        <w:gridCol w:w="605"/>
        <w:gridCol w:w="196"/>
        <w:gridCol w:w="736"/>
        <w:gridCol w:w="109"/>
        <w:gridCol w:w="196"/>
        <w:gridCol w:w="736"/>
        <w:gridCol w:w="109"/>
        <w:gridCol w:w="196"/>
        <w:gridCol w:w="736"/>
        <w:gridCol w:w="109"/>
        <w:gridCol w:w="196"/>
        <w:gridCol w:w="736"/>
        <w:gridCol w:w="109"/>
        <w:gridCol w:w="196"/>
        <w:gridCol w:w="871"/>
        <w:gridCol w:w="109"/>
        <w:gridCol w:w="196"/>
        <w:gridCol w:w="736"/>
        <w:gridCol w:w="109"/>
        <w:gridCol w:w="196"/>
        <w:gridCol w:w="406"/>
        <w:gridCol w:w="109"/>
        <w:gridCol w:w="196"/>
        <w:gridCol w:w="871"/>
        <w:gridCol w:w="156"/>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 and land development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24,803 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Residential real estate lending: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real estate lending</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362,981 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1,237,791 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solar: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solar</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325,154 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and other: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and other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Loans: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4,847,742 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911,670 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645,100 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417,333 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986,880 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1,852,917 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4,957,273 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on loans ("ACL") reflects management's estimate of expected credit losses over the life of the loan portfolio. The ACL level is influenced by past events and current conditions, as well as reasonable and supportable forecasts of future economic scenarios. The ACL level is updated quarterly based on the latest available information and assumptions.</w:t>
      </w:r>
    </w:p>
    <w:p>
      <w:pPr>
        <w:pStyle w:val="TextBody"/>
        <w:bidi w:val="0"/>
        <w:spacing w:lineRule="auto" w:line="276" w:before="100" w:after="240"/>
        <w:jc w:val="left"/>
        <w:rPr>
          <w:rFonts w:ascii="Times New Roman;serif" w:hAnsi="Times New Roman;serif"/>
          <w:b w:val="false"/>
          <w:color w:val="000000"/>
          <w:sz w:val="20"/>
        </w:rPr>
      </w:pPr>
      <w:r>
        <w:rPr>
          <w:rFonts w:ascii="Times New Roman;serif" w:hAnsi="Times New Roman;serif"/>
          <w:b w:val="false"/>
          <w:color w:val="000000"/>
          <w:sz w:val="20"/>
        </w:rPr>
        <w:t>The activities in the allowance by portfolio for the three months ended June 30, 2026 are as follows:</w:t>
      </w:r>
    </w:p>
    <w:tbl>
      <w:tblPr>
        <w:tblW w:w="11245" w:type="dxa"/>
        <w:jc w:val="left"/>
        <w:tblInd w:w="0" w:type="dxa"/>
        <w:tblLayout w:type="fixed"/>
        <w:tblCellMar>
          <w:top w:w="28" w:type="dxa"/>
          <w:left w:w="28" w:type="dxa"/>
          <w:bottom w:w="28" w:type="dxa"/>
          <w:right w:w="28" w:type="dxa"/>
        </w:tblCellMar>
      </w:tblPr>
      <w:tblGrid>
        <w:gridCol w:w="419"/>
        <w:gridCol w:w="263"/>
        <w:gridCol w:w="264"/>
        <w:gridCol w:w="204"/>
        <w:gridCol w:w="673"/>
        <w:gridCol w:w="114"/>
        <w:gridCol w:w="109"/>
        <w:gridCol w:w="109"/>
        <w:gridCol w:w="109"/>
        <w:gridCol w:w="198"/>
        <w:gridCol w:w="652"/>
        <w:gridCol w:w="111"/>
        <w:gridCol w:w="109"/>
        <w:gridCol w:w="109"/>
        <w:gridCol w:w="109"/>
        <w:gridCol w:w="225"/>
        <w:gridCol w:w="639"/>
        <w:gridCol w:w="127"/>
        <w:gridCol w:w="109"/>
        <w:gridCol w:w="109"/>
        <w:gridCol w:w="109"/>
        <w:gridCol w:w="239"/>
        <w:gridCol w:w="678"/>
        <w:gridCol w:w="134"/>
        <w:gridCol w:w="109"/>
        <w:gridCol w:w="109"/>
        <w:gridCol w:w="109"/>
        <w:gridCol w:w="205"/>
        <w:gridCol w:w="581"/>
        <w:gridCol w:w="115"/>
        <w:gridCol w:w="109"/>
        <w:gridCol w:w="109"/>
        <w:gridCol w:w="109"/>
        <w:gridCol w:w="109"/>
        <w:gridCol w:w="109"/>
        <w:gridCol w:w="109"/>
        <w:gridCol w:w="196"/>
        <w:gridCol w:w="646"/>
        <w:gridCol w:w="109"/>
        <w:gridCol w:w="109"/>
        <w:gridCol w:w="109"/>
        <w:gridCol w:w="109"/>
        <w:gridCol w:w="227"/>
        <w:gridCol w:w="487"/>
        <w:gridCol w:w="127"/>
        <w:gridCol w:w="109"/>
        <w:gridCol w:w="109"/>
        <w:gridCol w:w="109"/>
        <w:gridCol w:w="196"/>
        <w:gridCol w:w="646"/>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and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Multifamily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Solar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 - ACL</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(recovery of) credit losses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balance - ACL</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11,737 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17,824 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1,923 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6,809 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20"/>
          <w:shd w:fill="FFFFFF" w:val="clear"/>
        </w:rPr>
        <w:t xml:space="preserve">The activities in the allowance by portfolio for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 xml:space="preserve">are as follows: </w:t>
      </w:r>
    </w:p>
    <w:tbl>
      <w:tblPr>
        <w:tblW w:w="11374" w:type="dxa"/>
        <w:jc w:val="left"/>
        <w:tblInd w:w="0" w:type="dxa"/>
        <w:tblLayout w:type="fixed"/>
        <w:tblCellMar>
          <w:top w:w="28" w:type="dxa"/>
          <w:left w:w="28" w:type="dxa"/>
          <w:bottom w:w="28" w:type="dxa"/>
          <w:right w:w="28" w:type="dxa"/>
        </w:tblCellMar>
      </w:tblPr>
      <w:tblGrid>
        <w:gridCol w:w="419"/>
        <w:gridCol w:w="263"/>
        <w:gridCol w:w="264"/>
        <w:gridCol w:w="204"/>
        <w:gridCol w:w="673"/>
        <w:gridCol w:w="114"/>
        <w:gridCol w:w="109"/>
        <w:gridCol w:w="109"/>
        <w:gridCol w:w="109"/>
        <w:gridCol w:w="218"/>
        <w:gridCol w:w="620"/>
        <w:gridCol w:w="123"/>
        <w:gridCol w:w="109"/>
        <w:gridCol w:w="109"/>
        <w:gridCol w:w="109"/>
        <w:gridCol w:w="225"/>
        <w:gridCol w:w="639"/>
        <w:gridCol w:w="127"/>
        <w:gridCol w:w="109"/>
        <w:gridCol w:w="109"/>
        <w:gridCol w:w="109"/>
        <w:gridCol w:w="239"/>
        <w:gridCol w:w="678"/>
        <w:gridCol w:w="134"/>
        <w:gridCol w:w="109"/>
        <w:gridCol w:w="109"/>
        <w:gridCol w:w="109"/>
        <w:gridCol w:w="205"/>
        <w:gridCol w:w="581"/>
        <w:gridCol w:w="115"/>
        <w:gridCol w:w="109"/>
        <w:gridCol w:w="109"/>
        <w:gridCol w:w="109"/>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and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Multifamily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Residential Real Estate Lending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Solar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 - ACL</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(recovery of) credit losses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Balance - ACL</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17,019 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8,976 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jc w:val="left"/>
        <w:rPr>
          <w:rFonts w:ascii="Times New Roman;serif" w:hAnsi="Times New Roman;serif"/>
          <w:b w:val="false"/>
          <w:color w:val="000000"/>
          <w:sz w:val="20"/>
        </w:rPr>
      </w:pPr>
      <w:r>
        <w:rPr>
          <w:rFonts w:ascii="Times New Roman;serif" w:hAnsi="Times New Roman;serif"/>
          <w:b w:val="false"/>
          <w:color w:val="000000"/>
          <w:sz w:val="20"/>
        </w:rPr>
        <w:t>The activities in the allowance by portfolio for the six months ended June 30, 2026 are as follows:</w:t>
      </w:r>
    </w:p>
    <w:tbl>
      <w:tblPr>
        <w:tblW w:w="11245" w:type="dxa"/>
        <w:jc w:val="left"/>
        <w:tblInd w:w="0" w:type="dxa"/>
        <w:tblLayout w:type="fixed"/>
        <w:tblCellMar>
          <w:top w:w="28" w:type="dxa"/>
          <w:left w:w="28" w:type="dxa"/>
          <w:bottom w:w="28" w:type="dxa"/>
          <w:right w:w="28" w:type="dxa"/>
        </w:tblCellMar>
      </w:tblPr>
      <w:tblGrid>
        <w:gridCol w:w="419"/>
        <w:gridCol w:w="263"/>
        <w:gridCol w:w="264"/>
        <w:gridCol w:w="204"/>
        <w:gridCol w:w="673"/>
        <w:gridCol w:w="114"/>
        <w:gridCol w:w="109"/>
        <w:gridCol w:w="109"/>
        <w:gridCol w:w="109"/>
        <w:gridCol w:w="198"/>
        <w:gridCol w:w="652"/>
        <w:gridCol w:w="111"/>
        <w:gridCol w:w="109"/>
        <w:gridCol w:w="109"/>
        <w:gridCol w:w="109"/>
        <w:gridCol w:w="225"/>
        <w:gridCol w:w="639"/>
        <w:gridCol w:w="127"/>
        <w:gridCol w:w="109"/>
        <w:gridCol w:w="109"/>
        <w:gridCol w:w="109"/>
        <w:gridCol w:w="239"/>
        <w:gridCol w:w="678"/>
        <w:gridCol w:w="134"/>
        <w:gridCol w:w="109"/>
        <w:gridCol w:w="109"/>
        <w:gridCol w:w="109"/>
        <w:gridCol w:w="205"/>
        <w:gridCol w:w="581"/>
        <w:gridCol w:w="115"/>
        <w:gridCol w:w="109"/>
        <w:gridCol w:w="109"/>
        <w:gridCol w:w="109"/>
        <w:gridCol w:w="109"/>
        <w:gridCol w:w="109"/>
        <w:gridCol w:w="109"/>
        <w:gridCol w:w="196"/>
        <w:gridCol w:w="646"/>
        <w:gridCol w:w="109"/>
        <w:gridCol w:w="109"/>
        <w:gridCol w:w="109"/>
        <w:gridCol w:w="109"/>
        <w:gridCol w:w="227"/>
        <w:gridCol w:w="487"/>
        <w:gridCol w:w="127"/>
        <w:gridCol w:w="109"/>
        <w:gridCol w:w="109"/>
        <w:gridCol w:w="109"/>
        <w:gridCol w:w="196"/>
        <w:gridCol w:w="646"/>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and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Multifamily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Solar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 - ACL</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(recovery of) credit losses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balance - ACL</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11,737 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17,824 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1,923 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6,809 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jc w:val="both"/>
        <w:rPr/>
      </w:pPr>
      <w:r>
        <w:rPr>
          <w:rFonts w:ascii="Times New Roman;serif" w:hAnsi="Times New Roman;serif"/>
          <w:b w:val="false"/>
          <w:color w:val="000000"/>
          <w:sz w:val="20"/>
          <w:shd w:fill="FFFFFF" w:val="clear"/>
        </w:rPr>
        <w:t xml:space="preserve">The activities in the allowance by portfolio for the </w:t>
      </w:r>
      <w:r>
        <w:rPr>
          <w:rFonts w:ascii="Times New Roman;serif" w:hAnsi="Times New Roman;serif"/>
          <w:b w:val="false"/>
          <w:color w:val="000000"/>
          <w:sz w:val="20"/>
        </w:rPr>
        <w:t xml:space="preserve">six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 xml:space="preserve">are as follows: </w:t>
      </w:r>
    </w:p>
    <w:tbl>
      <w:tblPr>
        <w:tblW w:w="11265" w:type="dxa"/>
        <w:jc w:val="left"/>
        <w:tblInd w:w="0" w:type="dxa"/>
        <w:tblLayout w:type="fixed"/>
        <w:tblCellMar>
          <w:top w:w="28" w:type="dxa"/>
          <w:left w:w="28" w:type="dxa"/>
          <w:bottom w:w="28" w:type="dxa"/>
          <w:right w:w="28" w:type="dxa"/>
        </w:tblCellMar>
      </w:tblPr>
      <w:tblGrid>
        <w:gridCol w:w="419"/>
        <w:gridCol w:w="263"/>
        <w:gridCol w:w="264"/>
        <w:gridCol w:w="204"/>
        <w:gridCol w:w="673"/>
        <w:gridCol w:w="114"/>
        <w:gridCol w:w="109"/>
        <w:gridCol w:w="109"/>
        <w:gridCol w:w="109"/>
        <w:gridCol w:w="218"/>
        <w:gridCol w:w="620"/>
        <w:gridCol w:w="123"/>
        <w:gridCol w:w="109"/>
        <w:gridCol w:w="109"/>
        <w:gridCol w:w="109"/>
        <w:gridCol w:w="225"/>
        <w:gridCol w:w="639"/>
        <w:gridCol w:w="127"/>
        <w:gridCol w:w="109"/>
        <w:gridCol w:w="109"/>
        <w:gridCol w:w="109"/>
        <w:gridCol w:w="239"/>
        <w:gridCol w:w="678"/>
        <w:gridCol w:w="134"/>
        <w:gridCol w:w="109"/>
        <w:gridCol w:w="109"/>
        <w:gridCol w:w="109"/>
        <w:gridCol w:w="205"/>
        <w:gridCol w:w="581"/>
        <w:gridCol w:w="115"/>
        <w:gridCol w:w="109"/>
        <w:gridCol w:w="109"/>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and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Multifamily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Solar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 - ACL</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(recovery of) credit losses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balance - ACL</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17,019 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8,976 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jc w:val="both"/>
        <w:rPr/>
      </w:pPr>
      <w:r>
        <w:rPr>
          <w:rFonts w:ascii="Times New Roman;serif" w:hAnsi="Times New Roman;serif"/>
          <w:b w:val="false"/>
          <w:color w:val="000000"/>
          <w:sz w:val="20"/>
          <w:shd w:fill="FFFFFF" w:val="clear"/>
        </w:rPr>
        <w:t xml:space="preserve">The amortized cost basis of loans on nonaccrual status and the specific allowance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are as follows:</w:t>
      </w:r>
    </w:p>
    <w:tbl>
      <w:tblPr>
        <w:tblW w:w="10205" w:type="dxa"/>
        <w:jc w:val="left"/>
        <w:tblInd w:w="0" w:type="dxa"/>
        <w:tblLayout w:type="fixed"/>
        <w:tblCellMar>
          <w:top w:w="28" w:type="dxa"/>
          <w:left w:w="28" w:type="dxa"/>
          <w:bottom w:w="28" w:type="dxa"/>
          <w:right w:w="28" w:type="dxa"/>
        </w:tblCellMar>
      </w:tblPr>
      <w:tblGrid>
        <w:gridCol w:w="1096"/>
        <w:gridCol w:w="961"/>
        <w:gridCol w:w="966"/>
        <w:gridCol w:w="109"/>
        <w:gridCol w:w="109"/>
        <w:gridCol w:w="109"/>
        <w:gridCol w:w="546"/>
        <w:gridCol w:w="1868"/>
        <w:gridCol w:w="282"/>
        <w:gridCol w:w="109"/>
        <w:gridCol w:w="109"/>
        <w:gridCol w:w="109"/>
        <w:gridCol w:w="489"/>
        <w:gridCol w:w="1673"/>
        <w:gridCol w:w="253"/>
        <w:gridCol w:w="109"/>
        <w:gridCol w:w="109"/>
        <w:gridCol w:w="109"/>
        <w:gridCol w:w="211"/>
        <w:gridCol w:w="721"/>
        <w:gridCol w:w="158"/>
      </w:tblGrid>
      <w:tr>
        <w:trPr/>
        <w:tc>
          <w:tcPr>
            <w:tcW w:w="10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Nonaccrual with No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Nonaccrual with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Reserve</w:t>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commercial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51,137 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44,893 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retail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57,240 </w:t>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44,893 </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14,995 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amortized cost basis of loans on nonaccrual status and the specific allowance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are as follows:</w:t>
      </w:r>
    </w:p>
    <w:tbl>
      <w:tblPr>
        <w:tblW w:w="10150" w:type="dxa"/>
        <w:jc w:val="left"/>
        <w:tblInd w:w="0" w:type="dxa"/>
        <w:tblLayout w:type="fixed"/>
        <w:tblCellMar>
          <w:top w:w="28" w:type="dxa"/>
          <w:left w:w="28" w:type="dxa"/>
          <w:bottom w:w="28" w:type="dxa"/>
          <w:right w:w="28" w:type="dxa"/>
        </w:tblCellMar>
      </w:tblPr>
      <w:tblGrid>
        <w:gridCol w:w="1103"/>
        <w:gridCol w:w="968"/>
        <w:gridCol w:w="973"/>
        <w:gridCol w:w="109"/>
        <w:gridCol w:w="109"/>
        <w:gridCol w:w="109"/>
        <w:gridCol w:w="550"/>
        <w:gridCol w:w="1880"/>
        <w:gridCol w:w="284"/>
        <w:gridCol w:w="109"/>
        <w:gridCol w:w="109"/>
        <w:gridCol w:w="109"/>
        <w:gridCol w:w="492"/>
        <w:gridCol w:w="1683"/>
        <w:gridCol w:w="255"/>
        <w:gridCol w:w="109"/>
        <w:gridCol w:w="109"/>
        <w:gridCol w:w="109"/>
        <w:gridCol w:w="211"/>
        <w:gridCol w:w="61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Nonaccrual with No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Nonaccrual with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Reserve</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commercial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13,314 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retail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14,401 </w:t>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13,314 </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below table summarizes collateral dependent loans which were individually evaluated to determine expected credit losses as of </w:t>
      </w:r>
      <w:r>
        <w:rPr>
          <w:rFonts w:ascii="Times New Roman;serif" w:hAnsi="Times New Roman;serif"/>
          <w:b w:val="false"/>
          <w:color w:val="000000"/>
          <w:sz w:val="20"/>
        </w:rPr>
        <w:t>June 30, 2026:</w:t>
      </w:r>
    </w:p>
    <w:tbl>
      <w:tblPr>
        <w:tblW w:w="10073" w:type="dxa"/>
        <w:jc w:val="left"/>
        <w:tblInd w:w="0" w:type="dxa"/>
        <w:tblLayout w:type="fixed"/>
        <w:tblCellMar>
          <w:top w:w="28" w:type="dxa"/>
          <w:left w:w="28" w:type="dxa"/>
          <w:bottom w:w="28" w:type="dxa"/>
          <w:right w:w="28" w:type="dxa"/>
        </w:tblCellMar>
      </w:tblPr>
      <w:tblGrid>
        <w:gridCol w:w="1125"/>
        <w:gridCol w:w="988"/>
        <w:gridCol w:w="931"/>
        <w:gridCol w:w="109"/>
        <w:gridCol w:w="109"/>
        <w:gridCol w:w="109"/>
        <w:gridCol w:w="590"/>
        <w:gridCol w:w="2016"/>
        <w:gridCol w:w="304"/>
        <w:gridCol w:w="109"/>
        <w:gridCol w:w="109"/>
        <w:gridCol w:w="109"/>
        <w:gridCol w:w="877"/>
        <w:gridCol w:w="1942"/>
        <w:gridCol w:w="646"/>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Real Estate Collateral 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Associated Allowance for Credit Losses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63,627 </w:t>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below table summarizes collateral dependent loans which were individually evaluated to determine expected credit losses as of December 31, 2025:</w:t>
      </w:r>
    </w:p>
    <w:tbl>
      <w:tblPr>
        <w:tblW w:w="10073" w:type="dxa"/>
        <w:jc w:val="left"/>
        <w:tblInd w:w="0" w:type="dxa"/>
        <w:tblLayout w:type="fixed"/>
        <w:tblCellMar>
          <w:top w:w="28" w:type="dxa"/>
          <w:left w:w="28" w:type="dxa"/>
          <w:bottom w:w="28" w:type="dxa"/>
          <w:right w:w="28" w:type="dxa"/>
        </w:tblCellMar>
      </w:tblPr>
      <w:tblGrid>
        <w:gridCol w:w="1125"/>
        <w:gridCol w:w="988"/>
        <w:gridCol w:w="931"/>
        <w:gridCol w:w="109"/>
        <w:gridCol w:w="109"/>
        <w:gridCol w:w="109"/>
        <w:gridCol w:w="590"/>
        <w:gridCol w:w="2016"/>
        <w:gridCol w:w="304"/>
        <w:gridCol w:w="109"/>
        <w:gridCol w:w="109"/>
        <w:gridCol w:w="109"/>
        <w:gridCol w:w="745"/>
        <w:gridCol w:w="2173"/>
        <w:gridCol w:w="547"/>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Real Estate Collateral 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Associated Allowance for Credit Losses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26,589 </w:t>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5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mortgage loans with an unpaid principal balance of $2.15 billion and $2.33 billion, respectively, were pledged to the FHLBNY to secure outstanding advances, letters of credit, and to provide additional borrowing potential.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$1.4 million and $1.5 million of loans to related parties and affiliates as of June 30, 2026 and December 31,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Loans Held for Sale ("LHFS") on the Consolidated Statements of Financial Condition was $0.5 million and $2.8 million, respectively. Included in LHFS were certain nonperforming loans of $0.5 million and $0.9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color w:val="000000"/>
          <w:sz w:val="22"/>
        </w:rPr>
      </w:pPr>
      <w:r>
        <w:rPr>
          <w:rFonts w:ascii="Times New Roman;serif" w:hAnsi="Times New Roman;serif"/>
          <w:b/>
          <w:color w:val="000000"/>
          <w:sz w:val="22"/>
        </w:rPr>
        <w:t>5.    DEPOSITS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Deposits are summarized as follows:</w:t>
      </w:r>
    </w:p>
    <w:tbl>
      <w:tblPr>
        <w:tblW w:w="10205" w:type="dxa"/>
        <w:jc w:val="left"/>
        <w:tblInd w:w="0" w:type="dxa"/>
        <w:tblLayout w:type="fixed"/>
        <w:tblCellMar>
          <w:top w:w="28" w:type="dxa"/>
          <w:left w:w="28" w:type="dxa"/>
          <w:bottom w:w="28" w:type="dxa"/>
          <w:right w:w="28" w:type="dxa"/>
        </w:tblCellMar>
      </w:tblPr>
      <w:tblGrid>
        <w:gridCol w:w="124"/>
        <w:gridCol w:w="1004"/>
        <w:gridCol w:w="1004"/>
        <w:gridCol w:w="1011"/>
        <w:gridCol w:w="109"/>
        <w:gridCol w:w="211"/>
        <w:gridCol w:w="976"/>
        <w:gridCol w:w="109"/>
        <w:gridCol w:w="109"/>
        <w:gridCol w:w="109"/>
        <w:gridCol w:w="109"/>
        <w:gridCol w:w="403"/>
        <w:gridCol w:w="361"/>
        <w:gridCol w:w="899"/>
        <w:gridCol w:w="109"/>
        <w:gridCol w:w="109"/>
        <w:gridCol w:w="109"/>
        <w:gridCol w:w="211"/>
        <w:gridCol w:w="976"/>
        <w:gridCol w:w="109"/>
        <w:gridCol w:w="109"/>
        <w:gridCol w:w="109"/>
        <w:gridCol w:w="109"/>
        <w:gridCol w:w="388"/>
        <w:gridCol w:w="339"/>
        <w:gridCol w:w="990"/>
      </w:tblGrid>
      <w:tr>
        <w:trPr/>
        <w:tc>
          <w:tcPr>
            <w:tcW w:w="12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Rate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demand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 accounts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8,458,414 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8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7,949,241 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9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scheduled maturities of time deposits as of June 30, 2026 are as follows:</w:t>
      </w:r>
    </w:p>
    <w:tbl>
      <w:tblPr>
        <w:tblW w:w="3232" w:type="dxa"/>
        <w:jc w:val="left"/>
        <w:tblInd w:w="0" w:type="dxa"/>
        <w:tblLayout w:type="fixed"/>
        <w:tblCellMar>
          <w:top w:w="28" w:type="dxa"/>
          <w:left w:w="28" w:type="dxa"/>
          <w:bottom w:w="28" w:type="dxa"/>
          <w:right w:w="28" w:type="dxa"/>
        </w:tblCellMar>
      </w:tblPr>
      <w:tblGrid>
        <w:gridCol w:w="124"/>
        <w:gridCol w:w="109"/>
        <w:gridCol w:w="109"/>
        <w:gridCol w:w="109"/>
        <w:gridCol w:w="109"/>
        <w:gridCol w:w="384"/>
        <w:gridCol w:w="384"/>
        <w:gridCol w:w="386"/>
        <w:gridCol w:w="109"/>
        <w:gridCol w:w="109"/>
        <w:gridCol w:w="109"/>
        <w:gridCol w:w="211"/>
        <w:gridCol w:w="8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Time deposits greater than $250,000 totaled $57.9 million as of June 30, 2026 and $51.7 million as of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will issue time deposits through the Certificate of Deposit Account Registry Service (“CDARS”) for the purpose of providing Federal Deposit Insurance Corporation ("FDIC") insurance to bank customers with balances in excess of FDIC insurance limits. CDARS deposits totaled approximately $85.5 million and $61.2 million as of June 30, 2026 and December 31, 2025, respectively, and are included in Time deposits above.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total deposits included deposits from Workers United and its related entities, a related party, in the amounts of $154.3 million as of June 30, 2026 and $98.0 million as of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Included in total deposits are state and municipal deposits totaling $80.8 million and $104.2 million as of June 30, 2026 and December 31, 2025, respectively. Such deposits are secured by letters of credit issued by the FHLBNY or by securities pledged with the FHLBNY.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color w:val="000000"/>
          <w:sz w:val="22"/>
        </w:rPr>
      </w:pPr>
      <w:r>
        <w:rPr>
          <w:rFonts w:ascii="Times New Roman;serif" w:hAnsi="Times New Roman;serif"/>
          <w:b/>
          <w:color w:val="000000"/>
          <w:sz w:val="22"/>
        </w:rPr>
        <w:t>6. BORROWINGS</w:t>
      </w:r>
    </w:p>
    <w:p>
      <w:pPr>
        <w:pStyle w:val="TextBody"/>
        <w:bidi w:val="0"/>
        <w:spacing w:lineRule="auto" w:line="288" w:before="240" w:after="283"/>
        <w:ind w:left="0" w:right="0" w:hanging="360"/>
        <w:jc w:val="left"/>
        <w:rPr>
          <w:rFonts w:ascii="Times New Roman;serif" w:hAnsi="Times New Roman;serif"/>
          <w:b/>
          <w:i/>
          <w:color w:val="000000"/>
          <w:sz w:val="22"/>
        </w:rPr>
      </w:pPr>
      <w:r>
        <w:rPr>
          <w:rFonts w:ascii="Times New Roman;serif" w:hAnsi="Times New Roman;serif"/>
          <w:b/>
          <w:i/>
          <w:color w:val="000000"/>
          <w:sz w:val="22"/>
        </w:rPr>
        <w:t>Subordinated Debt</w:t>
      </w:r>
    </w:p>
    <w:p>
      <w:pPr>
        <w:pStyle w:val="TextBody"/>
        <w:bidi w:val="0"/>
        <w:spacing w:lineRule="auto" w:line="288" w:before="240" w:after="283"/>
        <w:jc w:val="both"/>
        <w:rPr/>
      </w:pPr>
      <w:r>
        <w:rPr>
          <w:rFonts w:ascii="Times New Roman;serif" w:hAnsi="Times New Roman;serif"/>
          <w:b w:val="false"/>
          <w:color w:val="000000"/>
          <w:sz w:val="20"/>
          <w:shd w:fill="FFFFFF" w:val="clear"/>
        </w:rPr>
        <w:t>On Novem</w:t>
      </w:r>
      <w:r>
        <w:rPr>
          <w:rFonts w:ascii="Times New Roman;serif" w:hAnsi="Times New Roman;serif"/>
          <w:b w:val="false"/>
          <w:color w:val="000000"/>
          <w:sz w:val="20"/>
        </w:rPr>
        <w:t xml:space="preserve">ber 8, 2021, the Company completed a public offering of $85.0 million of aggregated principal amount of 3.25%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Secured Overnight Financing Rate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subordinated debt was $63.8 million and $63.8 million, respectively. Interest expense on subordinated debt for the three months ended June 30, 2026 and June 30, 2025 was $0.5 million and $0.5 million, respectively. Interest expense on subordinated debt for the six months ended June 30, 2026 and June 30, 2025 was $1.1 million and $1.1 million,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June 30, 2025, the Company did not repurchase any subordinated notes.</w:t>
      </w:r>
    </w:p>
    <w:p>
      <w:pPr>
        <w:pStyle w:val="TextBody"/>
        <w:bidi w:val="0"/>
        <w:spacing w:lineRule="auto" w:line="288" w:before="240" w:after="283"/>
        <w:jc w:val="both"/>
        <w:rPr>
          <w:rFonts w:ascii="Times New Roman;serif" w:hAnsi="Times New Roman;serif"/>
          <w:b/>
          <w:i/>
          <w:color w:val="000000"/>
          <w:sz w:val="22"/>
        </w:rPr>
      </w:pPr>
      <w:r>
        <w:rPr>
          <w:rFonts w:ascii="Times New Roman;serif" w:hAnsi="Times New Roman;serif"/>
          <w:b/>
          <w:i/>
          <w:color w:val="000000"/>
          <w:sz w:val="22"/>
        </w:rPr>
        <w:t>FHLBNY Advances and Other Borrowings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FHLBNY advances are collateralized by the FHLBNY stock owned by the Bank plus a pledge of other eligible assets comprised of securities and mortgage loans. Assets are pledged as collateral for borrowing capacity. As of June 30, 2026, the value of the other eligible assets had an estimated market value net of haircut totaling $1.99 billion (comprised of securities of $459.1 million and mortgage loans of $1.53 billion). As of December 31, 2025, the value of the other eligible assets had an estimated market value net of haircut totaling $1.98 billion (comprised of securities of $318.4 million and mortgage loans of $1.66 billion). The fair value of assets pledged to the FHLBNY is required to be not less than 110% of the outstanding advances. As of June 30, 2026 and December 31, 2025, we had $5.9 million and $5.8 million, respectively, of FHLBNY advances through the 0% Development Advance Program that provides members with subsidized funding in the form of interest rate credits to assist in originating loans or purchasing loans or investments that meet one of the eligibility criteria. The Company pledged PACE assessments which qualified under the Climate Development Advance and therefore will receive interest rate credits and will not incur any interest expense related to the current outstanding advances. FHLBNY advances mature on June 24, 2027. For the three months ended June 30, 2026, and June 30, 2025, interest expense on FHLBNY advances was zero and $0.1 million, respectively. For the six months ended June 30, 2026, and June 30, 2025, interest expense on FHLBNY advances was zero and $0.7 million,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FHLBNY advances, the Company uses other borrowings for short-term borrowing needs. Federal funds lines of credit are extended to the Company by non-affiliated banks with which a correspondent banking relationship exists. At June 30, 2026, and December 31, 2025 there was no outstanding balance related to federal funds purchased.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color w:val="000000"/>
          <w:sz w:val="22"/>
        </w:rPr>
      </w:pPr>
      <w:r>
        <w:rPr>
          <w:rFonts w:ascii="Times New Roman;serif" w:hAnsi="Times New Roman;serif"/>
          <w:b/>
          <w:color w:val="000000"/>
          <w:sz w:val="22"/>
        </w:rPr>
        <w:t>7.    EARNINGS PER SHARE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Under the two-class method, earnings available to common stockholders for the period are allocated between common stockholders and participating securities according to participation rights in undistributed earnings. Our unvested restricted stock units are not considered participating securities as they do not recei</w:t>
      </w:r>
      <w:r>
        <w:rPr>
          <w:rFonts w:ascii="Times New Roman;serif" w:hAnsi="Times New Roman;serif"/>
          <w:b w:val="false"/>
          <w:color w:val="000000"/>
          <w:sz w:val="20"/>
        </w:rPr>
        <w:t>ve dividend distributions until satisfaction of the related vesting requirements. For the three months ended June 30, 2026 and June 30, 2025, we had 1,602 and 24,579 weighted average anti-dilutive shares, respectively. For the six months ended June 30, 2026 and June 30, 2025, we had 5,297 and 6,856 weighted average anti-dilutive shares, respectively. Anti-dilutive shares were not included in computing diluted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is setting forth the factors used in the earnings per share computation: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94"/>
        <w:gridCol w:w="1550"/>
        <w:gridCol w:w="1560"/>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79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shares from assumed conversion of options and RSUs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0.84</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w:t>
            </w:r>
            <w:r>
              <w:rPr>
                <w:color w:val="000000"/>
              </w:rPr>
              <w:t>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color w:val="000000"/>
          <w:sz w:val="22"/>
        </w:rPr>
      </w:pPr>
      <w:r>
        <w:rPr>
          <w:rFonts w:ascii="Times New Roman;serif" w:hAnsi="Times New Roman;serif"/>
          <w:b/>
          <w:color w:val="000000"/>
          <w:sz w:val="22"/>
        </w:rPr>
        <w:t>8.    EMPLOYEE BENEFIT PLANS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Time-Based 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Amalgamated Financial Corp. 2023 Equity Incentive Plan (the “Equity Plan”) provides for the grant of stock-based incentive awards to employees and directors of the Company. The number of shares of common stock of the Company available for stock-based awards in the Equity Plan is 1,300,000 of which 362,201 shares were available for issuance as of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stock units ("RSUs") represent an obligation to deliver shares to an employee or director at a future date if certain vesting conditions are met. These awards are subject to a time-based vesting schedule and are settled in shares of the Company’s common stock. These awards do not provide dividend equivalent rights from the date of grant and do not provide voting rights. Unvested awards accrue dividends based on dividends paid on common shares, but those dividends are paid in cash upon satisfaction of the specified vesting requirements on the underlying award.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status of the Company’s time-based vesting RSUs for the six months ended June 30, 2026 is as follows:</w:t>
      </w:r>
    </w:p>
    <w:tbl>
      <w:tblPr>
        <w:tblW w:w="7392" w:type="dxa"/>
        <w:jc w:val="left"/>
        <w:tblInd w:w="0" w:type="dxa"/>
        <w:tblLayout w:type="fixed"/>
        <w:tblCellMar>
          <w:top w:w="28" w:type="dxa"/>
          <w:left w:w="28" w:type="dxa"/>
          <w:bottom w:w="28" w:type="dxa"/>
          <w:right w:w="28" w:type="dxa"/>
        </w:tblCellMar>
      </w:tblPr>
      <w:tblGrid>
        <w:gridCol w:w="1406"/>
        <w:gridCol w:w="1235"/>
        <w:gridCol w:w="1243"/>
        <w:gridCol w:w="449"/>
        <w:gridCol w:w="451"/>
        <w:gridCol w:w="226"/>
        <w:gridCol w:w="109"/>
        <w:gridCol w:w="109"/>
        <w:gridCol w:w="109"/>
        <w:gridCol w:w="442"/>
        <w:gridCol w:w="1291"/>
        <w:gridCol w:w="322"/>
      </w:tblGrid>
      <w:tr>
        <w:trPr/>
        <w:tc>
          <w:tcPr>
            <w:tcW w:w="140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Grant Date Fair Value</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January 1, 2026</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314,431 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96,082 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Forfeited/Expired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Expected to Vest, June 30, 2026</w:t>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266,900 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3508"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$7.1 million of total unrecognized compensation cost related to the non-vested RSUs. The weighted average period to recognize unrecognized compensation is 1.2 years. The Company repurchased 9,958 shares and 8,513 shares for RSUs vested during the three months ended June 30, 2026 and 2025, respectively The Company repurchased 42,942 shares and 41,979 shares for RSUs vested during the six months ended June 30, 2026 and 2025, respectively.</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Performance-Based Restricted Stock Units: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Performance-based restricted stock units ("PSUs") represent an obligation to deliver shares to an employee at a future date if certain vesting conditions are met. These awards are subject to the satisfaction of performance conditions or the satisfaction of market conditions, and are settled in shares of the Company’s common stock. These awards do not provide dividend equivalent rights from the date of grant and do not provide voting rights. Unvested awards accrue dividends based on dividends paid on common shares, but those dividends are paid in cash upon satisfaction of the specified vesting requirements on the underlying award. PSUs are granted at target shares. The minimum and maximum awards that are achievable are 0% and 150%, respectively, of the target shares granted.</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status of the Company’s performance-based vesting PSUs for the six months ended June 30, 2026 is as follows:</w:t>
      </w:r>
    </w:p>
    <w:tbl>
      <w:tblPr>
        <w:tblW w:w="7318" w:type="dxa"/>
        <w:jc w:val="left"/>
        <w:tblInd w:w="0" w:type="dxa"/>
        <w:tblLayout w:type="fixed"/>
        <w:tblCellMar>
          <w:top w:w="28" w:type="dxa"/>
          <w:left w:w="28" w:type="dxa"/>
          <w:bottom w:w="28" w:type="dxa"/>
          <w:right w:w="28" w:type="dxa"/>
        </w:tblCellMar>
      </w:tblPr>
      <w:tblGrid>
        <w:gridCol w:w="1406"/>
        <w:gridCol w:w="1235"/>
        <w:gridCol w:w="1243"/>
        <w:gridCol w:w="413"/>
        <w:gridCol w:w="413"/>
        <w:gridCol w:w="226"/>
        <w:gridCol w:w="109"/>
        <w:gridCol w:w="109"/>
        <w:gridCol w:w="109"/>
        <w:gridCol w:w="442"/>
        <w:gridCol w:w="1291"/>
        <w:gridCol w:w="322"/>
      </w:tblGrid>
      <w:tr>
        <w:trPr/>
        <w:tc>
          <w:tcPr>
            <w:tcW w:w="140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Grant Date Fair Value</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January 1,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Addition</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Forfeited/Expired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Expected to Vest, June 30, 2026</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254,217 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3434"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reserved an additional 127,109 shares for issuance upon vesting of PSUs assuming the Company achieves the maximum share payout.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$4.2 million of total unrecognized compensation cost related to the non-vested PSUs. The weighted average period to recognize unrecognized compensation is 1.3 years. The Company repurchased 30,831 shares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27,942 shares for PSUs vested during the three and six months ended June 30, 2026 and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awarded 27,844 additional shares related to the performance achievement of corporate goals above target at a weighted average fair value of $11.74 per share. Included in these awards was 13,963 shares with a grant date fair market value of $23.42, and 13,881 shares that were based on market-conditions in which the achievement of the goal did not result in additional expense to the Company. Compensation expense attributable to the vesting of the performance shares during the three and six months ended June 30, 2026 was $0.3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granted 64,184 PSUs at target achievement of the Company's corporate goals at a weighted average fair value of $42.57 per share which vest subject to the achievement of the Company’s corporate goals. The corporate goals are based on the achievement of a target increase in Tangible Book Value, adjusted for certain factors, and the Company's relative total shareholder return compared to a group of peer banks. </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Deferred Restricted Stock Units: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Bonus Deferral And Stock Purchase Plan ("BDSPP") provides for a bonus deferral opportunity with matching benefits to certain executives. Under the BDSPP, deferred restricted stock units ("DSUs") represent an obligation to deliver shares to an employee at a future date if certain vesting conditions are met. The plan allows for participating executives to defer up to 100% of their annual incentive plan bonus in the form of DSUs which will convert to shares issuable upon the earliest to occur of the executive’s separation from service (including death), a change of control or a qualifying financial emergency. The Company will match 100% up to 35% of any deferred bonus, in the form of additional DSUs credited to participants' plan accounts. These awards accrue dividends which are reinvested into additional shares of the Company stock and payable at separation. The DSUs do not provide voting rights. </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status of the Company’s DSUs for the six months ended June 30, 2026 is as follows:</w:t>
      </w:r>
    </w:p>
    <w:tbl>
      <w:tblPr>
        <w:tblW w:w="7060" w:type="dxa"/>
        <w:jc w:val="left"/>
        <w:tblInd w:w="0" w:type="dxa"/>
        <w:tblLayout w:type="fixed"/>
        <w:tblCellMar>
          <w:top w:w="28" w:type="dxa"/>
          <w:left w:w="28" w:type="dxa"/>
          <w:bottom w:w="28" w:type="dxa"/>
          <w:right w:w="28" w:type="dxa"/>
        </w:tblCellMar>
      </w:tblPr>
      <w:tblGrid>
        <w:gridCol w:w="1406"/>
        <w:gridCol w:w="1235"/>
        <w:gridCol w:w="1243"/>
        <w:gridCol w:w="263"/>
        <w:gridCol w:w="263"/>
        <w:gridCol w:w="268"/>
        <w:gridCol w:w="109"/>
        <w:gridCol w:w="109"/>
        <w:gridCol w:w="109"/>
        <w:gridCol w:w="442"/>
        <w:gridCol w:w="1291"/>
        <w:gridCol w:w="322"/>
      </w:tblGrid>
      <w:tr>
        <w:trPr/>
        <w:tc>
          <w:tcPr>
            <w:tcW w:w="140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Grant Date Fair Value</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January 1, 2026</w:t>
            </w:r>
          </w:p>
        </w:tc>
        <w:tc>
          <w:tcPr>
            <w:tcW w:w="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bonus </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Employer match </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Forfeited/Expired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Expected to Vest, June 30, 2026</w:t>
            </w:r>
          </w:p>
        </w:tc>
        <w:tc>
          <w:tcPr>
            <w:tcW w:w="7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Unissued shares, June 30, 2026</w:t>
            </w:r>
          </w:p>
        </w:tc>
        <w:tc>
          <w:tcPr>
            <w:tcW w:w="79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3176"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$83.2 thousand of total unrecognized compensation cost related to the non-vested DSUs. The weighted average period to recognize unrecognized compensation is 0.8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Compensation expense attributable to the employee RSUs, PRSUs, and DSUs is recorded in compensation and employee benefits expense in the Consolidated Statements of Income. Compensation expense attributable to director RSUs is recorded in other expenses in the Consolidated Statements of Income. The amounts for the three and six months ended June 30, 2026 and June 30, 2025 are as follows:</w:t>
      </w:r>
    </w:p>
    <w:tbl>
      <w:tblPr>
        <w:tblW w:w="6677" w:type="dxa"/>
        <w:jc w:val="left"/>
        <w:tblInd w:w="0" w:type="dxa"/>
        <w:tblLayout w:type="fixed"/>
        <w:tblCellMar>
          <w:top w:w="28" w:type="dxa"/>
          <w:left w:w="28" w:type="dxa"/>
          <w:bottom w:w="28" w:type="dxa"/>
          <w:right w:w="28" w:type="dxa"/>
        </w:tblCellMar>
      </w:tblPr>
      <w:tblGrid>
        <w:gridCol w:w="549"/>
        <w:gridCol w:w="482"/>
        <w:gridCol w:w="484"/>
        <w:gridCol w:w="109"/>
        <w:gridCol w:w="281"/>
        <w:gridCol w:w="822"/>
        <w:gridCol w:w="145"/>
        <w:gridCol w:w="145"/>
        <w:gridCol w:w="211"/>
        <w:gridCol w:w="616"/>
        <w:gridCol w:w="109"/>
        <w:gridCol w:w="141"/>
        <w:gridCol w:w="141"/>
        <w:gridCol w:w="141"/>
        <w:gridCol w:w="273"/>
        <w:gridCol w:w="797"/>
        <w:gridCol w:w="141"/>
        <w:gridCol w:w="109"/>
        <w:gridCol w:w="211"/>
        <w:gridCol w:w="61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w:t>
              <w:br/>
              <w:t>Ended June 30,</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0" w:type="dxa"/>
            <w:gridSpan w:val="4"/>
            <w:tcBorders/>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5"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and PRSUs</w:t>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DSUs</w:t>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RSUs</w:t>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br/>
        <w:t>Employee Stock Purchase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28, 2021, the Company's stockholders approved the Amalgamated Financial Corp. Employee Stock Purchase Plan (the "ESPP") which was implemented on March 2, 2022. The aggregate number of shares of common stock that may be purchased and 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As of June 30, 2026, there were 361,265 shares available for purchase under ESPP. The expense related to the discount on purchased shares is recorded within compensation and employee benefits expense on the Consolidated Statements of Income. The expense for the three months ended June 30, 2026 and June 30, 2025 was $31.6 thousand and $27.8 thousand, respectively. The expense for the six months ended June 30, 2026 and June 30, 2025 was $69.7 thousand and $69.1 thousand,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color w:val="000000"/>
          <w:sz w:val="22"/>
        </w:rPr>
      </w:pPr>
      <w:r>
        <w:rPr>
          <w:rFonts w:ascii="Times New Roman;serif" w:hAnsi="Times New Roman;serif"/>
          <w:b/>
          <w:color w:val="000000"/>
          <w:sz w:val="22"/>
        </w:rPr>
        <w:t>9.     FAIR VALUE OF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Level 3 - Valuations are based on inputs to the methodology that are unobservable and significant to the fair value measurement. These inputs reflect management’s own judgments about the assumptions that market participants would use in pricing the assets and liabilities.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Assets Measured at Fair Value on a Recurring Basis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Available for sale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management will typically value those instruments using observable market inputs in a discounted cash flow analysis.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Derivatives represent cash flow hedges, and estimated fair values are based on valuation models using observable market data as of the measurement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tbl>
      <w:tblPr>
        <w:tblW w:w="8984" w:type="dxa"/>
        <w:jc w:val="left"/>
        <w:tblInd w:w="0" w:type="dxa"/>
        <w:tblLayout w:type="fixed"/>
        <w:tblCellMar>
          <w:top w:w="28" w:type="dxa"/>
          <w:left w:w="28" w:type="dxa"/>
          <w:bottom w:w="28" w:type="dxa"/>
          <w:right w:w="28" w:type="dxa"/>
        </w:tblCellMar>
      </w:tblPr>
      <w:tblGrid>
        <w:gridCol w:w="1153"/>
        <w:gridCol w:w="1012"/>
        <w:gridCol w:w="1014"/>
        <w:gridCol w:w="211"/>
        <w:gridCol w:w="72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 for sale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certificates &amp; CMOs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Non-GSE certificates &amp; CMOs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PACE assessments: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PACE assessments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Cash flow hedges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carried at fair value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2,241,902 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Cash flow hedges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carried at fair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8565" w:type="dxa"/>
        <w:jc w:val="left"/>
        <w:tblInd w:w="0" w:type="dxa"/>
        <w:tblLayout w:type="fixed"/>
        <w:tblCellMar>
          <w:top w:w="28" w:type="dxa"/>
          <w:left w:w="28" w:type="dxa"/>
          <w:bottom w:w="28" w:type="dxa"/>
          <w:right w:w="28" w:type="dxa"/>
        </w:tblCellMar>
      </w:tblPr>
      <w:tblGrid>
        <w:gridCol w:w="1039"/>
        <w:gridCol w:w="912"/>
        <w:gridCol w:w="914"/>
        <w:gridCol w:w="211"/>
        <w:gridCol w:w="61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Assets: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 for sale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securities: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certificates &amp; CMOs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Non-GSE certificates &amp; CMOs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PACE assessments: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PACE assessments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Cash flow hedges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carried at fair value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1,573,755 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1,785,305 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table below presents a reconciliation of all assets measured at fair value on a recurring basis using significant unobservable inputs (Level 3)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and June 30, 2025</w:t>
      </w:r>
      <w:r>
        <w:rPr>
          <w:rFonts w:ascii="Times New Roman;serif" w:hAnsi="Times New Roman;serif"/>
          <w:b w:val="false"/>
          <w:color w:val="000000"/>
          <w:sz w:val="20"/>
          <w:shd w:fill="FFFFFF" w:val="clear"/>
        </w:rPr>
        <w:t>:</w:t>
      </w:r>
    </w:p>
    <w:p>
      <w:pPr>
        <w:pStyle w:val="TextBody"/>
        <w:bidi w:val="0"/>
        <w:spacing w:before="0" w:after="0"/>
        <w:jc w:val="both"/>
        <w:rPr/>
      </w:pPr>
      <w:r>
        <w:rPr/>
      </w:r>
    </w:p>
    <w:tbl>
      <w:tblPr>
        <w:tblW w:w="9962" w:type="dxa"/>
        <w:jc w:val="left"/>
        <w:tblInd w:w="0" w:type="dxa"/>
        <w:tblLayout w:type="fixed"/>
        <w:tblCellMar>
          <w:top w:w="28" w:type="dxa"/>
          <w:left w:w="28" w:type="dxa"/>
          <w:bottom w:w="28" w:type="dxa"/>
          <w:right w:w="28" w:type="dxa"/>
        </w:tblCellMar>
      </w:tblPr>
      <w:tblGrid>
        <w:gridCol w:w="2548"/>
        <w:gridCol w:w="2241"/>
        <w:gridCol w:w="2246"/>
        <w:gridCol w:w="234"/>
        <w:gridCol w:w="920"/>
        <w:gridCol w:w="120"/>
        <w:gridCol w:w="111"/>
        <w:gridCol w:w="111"/>
        <w:gridCol w:w="111"/>
        <w:gridCol w:w="234"/>
        <w:gridCol w:w="916"/>
        <w:gridCol w:w="170"/>
      </w:tblGrid>
      <w:tr>
        <w:trPr/>
        <w:tc>
          <w:tcPr>
            <w:tcW w:w="2548"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Residential PACE Assessments</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of recurring Level 3 assets at January 1</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included in interest income</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holding gains (losses) included in other comprehensive income</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paydowns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of recurring Level 3 assets at June 30</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206,302 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178,247 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the Company's PACE assessments are determined internally by calculating discounted cash flows using expected conditional prepayment rates, market spreads, and the Treasury yield curve. Qualitative assessments from recent commentary from dealers or investors or issuers, information revealed from secondary market trades of clean energy senior asset-backed securities, and volatility in the marketplace are reviewed and incorporated into the calculations.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following table presents quantitative information about recurring Level 3 fair value measurements at </w:t>
      </w:r>
      <w:r>
        <w:rPr>
          <w:rFonts w:ascii="Times New Roman;serif" w:hAnsi="Times New Roman;serif"/>
          <w:b w:val="false"/>
          <w:color w:val="000000"/>
          <w:sz w:val="20"/>
        </w:rPr>
        <w:t>June 30, 2026 and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69"/>
        <w:gridCol w:w="676"/>
        <w:gridCol w:w="659"/>
        <w:gridCol w:w="109"/>
        <w:gridCol w:w="109"/>
        <w:gridCol w:w="109"/>
        <w:gridCol w:w="211"/>
        <w:gridCol w:w="826"/>
        <w:gridCol w:w="109"/>
        <w:gridCol w:w="109"/>
        <w:gridCol w:w="109"/>
        <w:gridCol w:w="109"/>
        <w:gridCol w:w="543"/>
        <w:gridCol w:w="529"/>
        <w:gridCol w:w="530"/>
        <w:gridCol w:w="109"/>
        <w:gridCol w:w="109"/>
        <w:gridCol w:w="109"/>
        <w:gridCol w:w="688"/>
        <w:gridCol w:w="688"/>
        <w:gridCol w:w="690"/>
        <w:gridCol w:w="109"/>
        <w:gridCol w:w="109"/>
        <w:gridCol w:w="109"/>
        <w:gridCol w:w="577"/>
        <w:gridCol w:w="577"/>
        <w:gridCol w:w="825"/>
      </w:tblGrid>
      <w:tr>
        <w:trPr/>
        <w:tc>
          <w:tcPr>
            <w:tcW w:w="7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4"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Range (Weighted Average)</w:t>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PACE assessments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Conditional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7.0%-25.0% (19.7%)</w:t>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4"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Range (Weighted Average)</w:t>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PACE assessments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Conditional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7.0%-26.0% (20.2%)</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Measured at Fair Value on a Non-recurring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reported at the fair value of the underlying collateral if repayment is expected solely from the collateral or based on observable market data.</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assets measured at fair value on a non-recurring basis in the Consolidated Statements of Financial Condition as of the dates indicated, categorized by the relevant class of investment and level of the fair value hierarchy:</w:t>
      </w:r>
    </w:p>
    <w:tbl>
      <w:tblPr>
        <w:tblW w:w="10205" w:type="dxa"/>
        <w:jc w:val="left"/>
        <w:tblInd w:w="0" w:type="dxa"/>
        <w:tblLayout w:type="fixed"/>
        <w:tblCellMar>
          <w:top w:w="28" w:type="dxa"/>
          <w:left w:w="28" w:type="dxa"/>
          <w:bottom w:w="28" w:type="dxa"/>
          <w:right w:w="28" w:type="dxa"/>
        </w:tblCellMar>
      </w:tblPr>
      <w:tblGrid>
        <w:gridCol w:w="556"/>
        <w:gridCol w:w="488"/>
        <w:gridCol w:w="491"/>
        <w:gridCol w:w="109"/>
        <w:gridCol w:w="109"/>
        <w:gridCol w:w="236"/>
        <w:gridCol w:w="808"/>
        <w:gridCol w:w="121"/>
        <w:gridCol w:w="109"/>
        <w:gridCol w:w="109"/>
        <w:gridCol w:w="109"/>
        <w:gridCol w:w="211"/>
        <w:gridCol w:w="407"/>
        <w:gridCol w:w="109"/>
        <w:gridCol w:w="109"/>
        <w:gridCol w:w="109"/>
        <w:gridCol w:w="109"/>
        <w:gridCol w:w="211"/>
        <w:gridCol w:w="407"/>
        <w:gridCol w:w="109"/>
        <w:gridCol w:w="109"/>
        <w:gridCol w:w="109"/>
        <w:gridCol w:w="109"/>
        <w:gridCol w:w="211"/>
        <w:gridCol w:w="721"/>
        <w:gridCol w:w="109"/>
        <w:gridCol w:w="109"/>
        <w:gridCol w:w="109"/>
        <w:gridCol w:w="109"/>
        <w:gridCol w:w="266"/>
        <w:gridCol w:w="912"/>
        <w:gridCol w:w="137"/>
        <w:gridCol w:w="109"/>
        <w:gridCol w:w="109"/>
        <w:gridCol w:w="109"/>
        <w:gridCol w:w="535"/>
        <w:gridCol w:w="535"/>
        <w:gridCol w:w="772"/>
      </w:tblGrid>
      <w:tr>
        <w:trPr/>
        <w:tc>
          <w:tcPr>
            <w:tcW w:w="5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r>
      <w:tr>
        <w:trPr/>
        <w:tc>
          <w:tcPr>
            <w:tcW w:w="1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r>
      <w:tr>
        <w:trPr/>
        <w:tc>
          <w:tcPr>
            <w:tcW w:w="1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r>
      <w:tr>
        <w:trPr/>
        <w:tc>
          <w:tcPr>
            <w:tcW w:w="1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r>
      <w:tr>
        <w:trPr/>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analyzed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29,898 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Appraisals of collateral and market data </w:t>
            </w:r>
            <w:r>
              <w:rPr>
                <w:rFonts w:ascii="Times New Roman;serif" w:hAnsi="Times New Roman;serif"/>
                <w:b w:val="false"/>
                <w:color w:val="000000"/>
                <w:sz w:val="13"/>
              </w:rPr>
              <w:t>(1)</w:t>
            </w:r>
          </w:p>
        </w:tc>
      </w:tr>
      <w:tr>
        <w:trPr/>
        <w:tc>
          <w:tcPr>
            <w:tcW w:w="1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r>
      <w:tr>
        <w:trPr/>
        <w:tc>
          <w:tcPr>
            <w:tcW w:w="1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9"/>
        <w:gridCol w:w="552"/>
        <w:gridCol w:w="556"/>
        <w:gridCol w:w="109"/>
        <w:gridCol w:w="109"/>
        <w:gridCol w:w="264"/>
        <w:gridCol w:w="773"/>
        <w:gridCol w:w="136"/>
        <w:gridCol w:w="109"/>
        <w:gridCol w:w="109"/>
        <w:gridCol w:w="109"/>
        <w:gridCol w:w="211"/>
        <w:gridCol w:w="408"/>
        <w:gridCol w:w="109"/>
        <w:gridCol w:w="109"/>
        <w:gridCol w:w="109"/>
        <w:gridCol w:w="109"/>
        <w:gridCol w:w="211"/>
        <w:gridCol w:w="408"/>
        <w:gridCol w:w="109"/>
        <w:gridCol w:w="109"/>
        <w:gridCol w:w="109"/>
        <w:gridCol w:w="109"/>
        <w:gridCol w:w="211"/>
        <w:gridCol w:w="616"/>
        <w:gridCol w:w="109"/>
        <w:gridCol w:w="109"/>
        <w:gridCol w:w="109"/>
        <w:gridCol w:w="109"/>
        <w:gridCol w:w="318"/>
        <w:gridCol w:w="931"/>
        <w:gridCol w:w="166"/>
        <w:gridCol w:w="109"/>
        <w:gridCol w:w="109"/>
        <w:gridCol w:w="109"/>
        <w:gridCol w:w="475"/>
        <w:gridCol w:w="475"/>
        <w:gridCol w:w="685"/>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Individually analyzed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Appraisals of Collateral </w:t>
            </w:r>
            <w:r>
              <w:rPr>
                <w:rFonts w:ascii="Times New Roman;serif" w:hAnsi="Times New Roman;serif"/>
                <w:b w:val="false"/>
                <w:color w:val="000000"/>
                <w:sz w:val="13"/>
              </w:rPr>
              <w:t>(1)</w:t>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Appraisals and market data are obtained from independent third parties, which include unobservable inputs such as adjustments for capitalization rates, vacancy rates, and other market insights and assumptions. Appraisals are adjusted for estimated costs to sell of 10%.</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Financial Instruments Not Measured at Fair Value</w:t>
      </w:r>
    </w:p>
    <w:p>
      <w:pPr>
        <w:pStyle w:val="TextBody"/>
        <w:bidi w:val="0"/>
        <w:spacing w:lineRule="auto" w:line="288" w:before="120" w:after="283"/>
        <w:jc w:val="both"/>
        <w:rPr/>
      </w:pPr>
      <w:r>
        <w:rPr>
          <w:rFonts w:ascii="Times New Roman;serif" w:hAnsi="Times New Roman;serif"/>
          <w:b w:val="false"/>
          <w:color w:val="000000"/>
          <w:sz w:val="20"/>
        </w:rPr>
        <w:t xml:space="preserve">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 For a description of the methods, factors and significant assumptions utilized in estimating the fair values for significant categories of financial instruments not measured at fair value, refer to Note 13, </w:t>
      </w:r>
      <w:r>
        <w:rPr>
          <w:rFonts w:ascii="Times New Roman;serif" w:hAnsi="Times New Roman;serif"/>
          <w:b w:val="false"/>
          <w:i/>
          <w:color w:val="000000"/>
          <w:sz w:val="20"/>
        </w:rPr>
        <w:t>Fair Value of Financial Instruments</w:t>
      </w:r>
      <w:r>
        <w:rPr>
          <w:rFonts w:ascii="Times New Roman;serif" w:hAnsi="Times New Roman;serif"/>
          <w:b w:val="false"/>
          <w:color w:val="000000"/>
          <w:sz w:val="20"/>
        </w:rPr>
        <w:t xml:space="preserve">, included in the Annual Report on Form 10-K for the year ended December 31,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financial statement basis and estimated fair values for significant categories of financial instruments: </w:t>
      </w:r>
    </w:p>
    <w:tbl>
      <w:tblPr>
        <w:tblW w:w="9973" w:type="dxa"/>
        <w:jc w:val="left"/>
        <w:tblInd w:w="0" w:type="dxa"/>
        <w:tblLayout w:type="fixed"/>
        <w:tblCellMar>
          <w:top w:w="28" w:type="dxa"/>
          <w:left w:w="28" w:type="dxa"/>
          <w:bottom w:w="28" w:type="dxa"/>
          <w:right w:w="28" w:type="dxa"/>
        </w:tblCellMar>
      </w:tblPr>
      <w:tblGrid>
        <w:gridCol w:w="124"/>
        <w:gridCol w:w="109"/>
        <w:gridCol w:w="714"/>
        <w:gridCol w:w="714"/>
        <w:gridCol w:w="717"/>
        <w:gridCol w:w="217"/>
        <w:gridCol w:w="967"/>
        <w:gridCol w:w="121"/>
        <w:gridCol w:w="109"/>
        <w:gridCol w:w="109"/>
        <w:gridCol w:w="109"/>
        <w:gridCol w:w="196"/>
        <w:gridCol w:w="736"/>
        <w:gridCol w:w="109"/>
        <w:gridCol w:w="109"/>
        <w:gridCol w:w="109"/>
        <w:gridCol w:w="109"/>
        <w:gridCol w:w="196"/>
        <w:gridCol w:w="871"/>
        <w:gridCol w:w="109"/>
        <w:gridCol w:w="109"/>
        <w:gridCol w:w="109"/>
        <w:gridCol w:w="109"/>
        <w:gridCol w:w="283"/>
        <w:gridCol w:w="588"/>
        <w:gridCol w:w="109"/>
        <w:gridCol w:w="109"/>
        <w:gridCol w:w="109"/>
        <w:gridCol w:w="109"/>
        <w:gridCol w:w="286"/>
        <w:gridCol w:w="1274"/>
        <w:gridCol w:w="2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167,784 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Held-to-maturity securities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1,571,547 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1,437,082 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receivable, net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5,080,146 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4,877,644 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Resell agreements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receivable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payable on demand</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8,220,553 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8,220,553 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8,220,553 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Time deposits </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237,179 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FHLBNY advances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debt, net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tbl>
      <w:tblPr>
        <w:tblW w:w="9062" w:type="dxa"/>
        <w:jc w:val="left"/>
        <w:tblInd w:w="0" w:type="dxa"/>
        <w:tblLayout w:type="fixed"/>
        <w:tblCellMar>
          <w:top w:w="28" w:type="dxa"/>
          <w:left w:w="28" w:type="dxa"/>
          <w:bottom w:w="28" w:type="dxa"/>
          <w:right w:w="28" w:type="dxa"/>
        </w:tblCellMar>
      </w:tblPr>
      <w:tblGrid>
        <w:gridCol w:w="784"/>
        <w:gridCol w:w="687"/>
        <w:gridCol w:w="68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282"/>
        <w:gridCol w:w="589"/>
        <w:gridCol w:w="109"/>
        <w:gridCol w:w="109"/>
        <w:gridCol w:w="109"/>
        <w:gridCol w:w="109"/>
        <w:gridCol w:w="196"/>
        <w:gridCol w:w="871"/>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Held-to-maturity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receivable,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4,742,463 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Resell agreements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payable on demand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7,746,044 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Time deposits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FHLBNY advances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color w:val="000000"/>
          <w:sz w:val="22"/>
        </w:rPr>
      </w:pPr>
      <w:r>
        <w:rPr>
          <w:rFonts w:ascii="Times New Roman;serif" w:hAnsi="Times New Roman;serif"/>
          <w:b/>
          <w:color w:val="000000"/>
          <w:sz w:val="22"/>
        </w:rPr>
        <w:t>10. DERIVATIVES AND HEDGING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of future known and uncertain cash amounts, the value of which are determined by interest rates. The Company’s derivative financial instruments are used to manage differences in the amount, timing, and duration of the Company’s known or expected cash receipts. The Company’s objectives in using interest rate derivatives are to manage its exposure to interest rate movements and to add stability to net interest income. To accomplish this objective, the Company has entered into interest rate cash flow hedges and fair value hedges as part of its interest rate risk management strategy.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Flow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 hedges consist of interest rate swaps and interest rate floors. Interest rate swaps involve the receipt of fixed amounts from a counterparty in exchange for the Company making variable-rate payments over the life of the agreements without exchange of the underlying notional amount. Interest rate floors provide protection against declines in benchmark interest rates below a specified strike rate and are used to mitigate the impact of falling interest rates on cash flows generated by variable-rate assets. The Company uses these types of derivatives to hedge the variable cash flows associated with existing or forecasted variable-rate securities. As of June 30, 2026 and December 31, 2025, the Company had swaps and interest rate option contracts with floors with a notional value of $815.0 million and $465.0 million, respectively, hedging floating-rate available for sale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Fair Value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hedges involve the payment of fixed amounts to a counterparty in exchange for the Company receiving variable-rate payments over the life of the agreements without exchange of the underlying notional amount. The Company uses these types of derivatives to hedge the market value changes of fixed-rate securities. The Company had an interest rate swap with a notional value of $22.5 million which was terminated in the second quarter. As of June 30, 2026 and December 31, 2025, the Company had no fair value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Effect of Derivatives on the Consolidated Statements of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presents all derivative positions gross on the Consolidated Statements of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present the outstanding notional balances and the fair value of the Company’s derivative positions as of June 30, 2026 and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9"/>
        <w:gridCol w:w="838"/>
        <w:gridCol w:w="840"/>
        <w:gridCol w:w="109"/>
        <w:gridCol w:w="109"/>
        <w:gridCol w:w="109"/>
        <w:gridCol w:w="253"/>
        <w:gridCol w:w="992"/>
        <w:gridCol w:w="130"/>
        <w:gridCol w:w="109"/>
        <w:gridCol w:w="109"/>
        <w:gridCol w:w="109"/>
        <w:gridCol w:w="384"/>
        <w:gridCol w:w="1126"/>
        <w:gridCol w:w="198"/>
        <w:gridCol w:w="109"/>
        <w:gridCol w:w="109"/>
        <w:gridCol w:w="109"/>
        <w:gridCol w:w="253"/>
        <w:gridCol w:w="992"/>
        <w:gridCol w:w="130"/>
        <w:gridCol w:w="109"/>
        <w:gridCol w:w="109"/>
        <w:gridCol w:w="109"/>
        <w:gridCol w:w="377"/>
        <w:gridCol w:w="1102"/>
        <w:gridCol w:w="283"/>
      </w:tblGrid>
      <w:tr>
        <w:trPr/>
        <w:tc>
          <w:tcPr>
            <w:tcW w:w="99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(Other Assets)</w:t>
            </w:r>
          </w:p>
        </w:tc>
      </w:tr>
      <w:tr>
        <w:trPr/>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 - interest rate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(Other Liabilities)</w:t>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 - interest rate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Effect of Derivatives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effect of the Company’s derivative financial instruments on the consolidated statements of operations for the three and six months ended June 30, 2026 and 2025. There were no fair value hedges during the three and six months ended June 30,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65"/>
        <w:gridCol w:w="1545"/>
        <w:gridCol w:w="1498"/>
        <w:gridCol w:w="271"/>
        <w:gridCol w:w="662"/>
        <w:gridCol w:w="139"/>
        <w:gridCol w:w="109"/>
        <w:gridCol w:w="109"/>
        <w:gridCol w:w="109"/>
        <w:gridCol w:w="321"/>
        <w:gridCol w:w="621"/>
        <w:gridCol w:w="168"/>
        <w:gridCol w:w="109"/>
        <w:gridCol w:w="109"/>
        <w:gridCol w:w="109"/>
        <w:gridCol w:w="271"/>
        <w:gridCol w:w="662"/>
        <w:gridCol w:w="139"/>
        <w:gridCol w:w="109"/>
        <w:gridCol w:w="109"/>
        <w:gridCol w:w="109"/>
        <w:gridCol w:w="316"/>
        <w:gridCol w:w="608"/>
        <w:gridCol w:w="238"/>
      </w:tblGrid>
      <w:tr>
        <w:trPr/>
        <w:tc>
          <w:tcPr>
            <w:tcW w:w="176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Expense</w:t>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or (loss) on derivatives designated as hedging relationships:</w:t>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cash flow hedging relationships:</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reclassified from accumulated OCI into income</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fair value hedging relationships:</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reclassified from accumulated OCI into income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reclassified from accumulated OCI into income for unrealized holding losses on available for sale securities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 - available for sale securities</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Expense</w:t>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or (loss) on derivatives designated as hedging relationships:</w:t>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Gain or (loss) on cash flow hedging relationships:</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Amount reclassified from accumulated OCI into income</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Effect of Derivatives on the Consolidated Statements of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derivatives designated and that qualify as cash flow hedges of interest rate risk, the gain or loss on the derivative is recorded in accumulated other comprehensive income (loss) and subsequently reclassified into interest income in the same periods during which the hedged transaction affects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available for sale securities is initially recorded through accumulated other comprehensive income (loss). For derivatives designated and that qualify as fair value hedges, the change in fair value attributable to interest rates is reclassified out of accumulated other comprehensive income (loss) in the same periods during which the change in fair value of the underlying available for sale security is recorded.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reported in accumulated other comprehensive income (loss) related to cash flow hedges will be reclassified to interest income as interest payments are received or paid on the Company’s hedged securities. During the next twelve months, the Company estimates that an additional $1.9 million will be reclassified as a reduction to in interest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terminated its fair value hedge with a notional value of $22.5 million as a result of the sale of the security that was hedged. The termination of the fair value hedge resulted in a gain of $0.2 million which is recognized in the net loss on sales of securities. The Company did not terminate any derivatives during the three and six months ended June 30, 2025.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effect of the Company's derivative financial instruments on accumulated other comprehensive income (loss) for the periods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71"/>
        <w:gridCol w:w="1821"/>
        <w:gridCol w:w="1829"/>
        <w:gridCol w:w="211"/>
        <w:gridCol w:w="655"/>
        <w:gridCol w:w="109"/>
        <w:gridCol w:w="109"/>
        <w:gridCol w:w="109"/>
        <w:gridCol w:w="109"/>
        <w:gridCol w:w="211"/>
        <w:gridCol w:w="400"/>
        <w:gridCol w:w="109"/>
        <w:gridCol w:w="109"/>
        <w:gridCol w:w="109"/>
        <w:gridCol w:w="109"/>
        <w:gridCol w:w="211"/>
        <w:gridCol w:w="655"/>
        <w:gridCol w:w="109"/>
        <w:gridCol w:w="109"/>
        <w:gridCol w:w="109"/>
        <w:gridCol w:w="109"/>
        <w:gridCol w:w="211"/>
        <w:gridCol w:w="466"/>
        <w:gridCol w:w="156"/>
      </w:tblGrid>
      <w:tr>
        <w:trPr/>
        <w:tc>
          <w:tcPr>
            <w:tcW w:w="207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recognized in other comprehensive income (loss) on cash flow hedges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reclassified from accumulated other comprehensive income into interest income from cash flow and fair value hedges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available for sale securities reclassified from accumulated other comprehensive income into interest income from fair value hedges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color w:val="000000"/>
          <w:sz w:val="22"/>
        </w:rPr>
      </w:pPr>
      <w:r>
        <w:rPr>
          <w:rFonts w:ascii="Times New Roman;serif" w:hAnsi="Times New Roman;serif"/>
          <w:b/>
          <w:color w:val="000000"/>
          <w:sz w:val="22"/>
        </w:rPr>
        <w:t>11.     COMMITMENTS, CONTINGENCIES AND OFF BALANCE SHEET RISK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Credit Commitments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financial instruments, which represent credit risk, were outstanding as of the related periods:</w:t>
      </w:r>
    </w:p>
    <w:tbl>
      <w:tblPr>
        <w:tblW w:w="6167" w:type="dxa"/>
        <w:jc w:val="left"/>
        <w:tblInd w:w="0" w:type="dxa"/>
        <w:tblLayout w:type="fixed"/>
        <w:tblCellMar>
          <w:top w:w="28" w:type="dxa"/>
          <w:left w:w="28" w:type="dxa"/>
          <w:bottom w:w="28" w:type="dxa"/>
          <w:right w:w="28" w:type="dxa"/>
        </w:tblCellMar>
      </w:tblPr>
      <w:tblGrid>
        <w:gridCol w:w="124"/>
        <w:gridCol w:w="109"/>
        <w:gridCol w:w="852"/>
        <w:gridCol w:w="852"/>
        <w:gridCol w:w="860"/>
        <w:gridCol w:w="234"/>
        <w:gridCol w:w="919"/>
        <w:gridCol w:w="121"/>
        <w:gridCol w:w="109"/>
        <w:gridCol w:w="109"/>
        <w:gridCol w:w="109"/>
        <w:gridCol w:w="313"/>
        <w:gridCol w:w="1228"/>
        <w:gridCol w:w="2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to extend credit</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Standby letters of credit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579,068 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483,872 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Included in the above table are extensions of credit to related parties and affiliates. As of June 30, 2026, the Company had $70.0 million of lines of credit and $0.3 million of standby letters of credit to related parties and affiliates. As of December 31, 2025, the Company had $70.0 million of lines of credit and $0.3 million of standby letters of credit to related parties and affiliates.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a reserve for the credit risk inherent in off balance sheet credit commitments. This allowance, which is included in other liabilities, amounted to approximately $2.9 million as of June 30, 2026, compared to an allowance of $2.8 million as of December 31, 2025. The provision for credit losses related to off balance sheet credit commitments was $0.4 million and $0.1 million for the three and six months ended June 30, 2026, and the provision for credit losses related to off balance sheet credit commitments was $0.1 million and $0.5 million for the three and six months ended June 30, 2025.</w:t>
      </w:r>
    </w:p>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Investment Obligations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 party to agreements with Pace Funding Group LLC and Allectrify PBC for the purchase of PACE assessment securities, with commitments extending through December 2026 and June 2028, respectively. As of June 30, 2026, the estimated remaining commitments to Pace Funding Group LLC and Allectrify PBC under these agreements were $77.2 million and $79.5 million, respectively.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recorded in other liabilities.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funded $2.4 million to Greenskies Clean Energy LLC as a solar tax equity investment. As part of this investment agreement, the Company committed to additional fundings of $5.6 million which is recognized as a liability on the balance sheet as of June 30, 2026, given this future event is unconditional and legally binding.</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erif" w:hAnsi="Times New Roman;serif"/>
          <w:b/>
          <w:color w:val="000000"/>
          <w:sz w:val="20"/>
        </w:rPr>
      </w:pPr>
      <w:r>
        <w:rPr>
          <w:rFonts w:ascii="Times New Roman;serif" w:hAnsi="Times New Roman;serif"/>
          <w:b/>
          <w:color w:val="000000"/>
          <w:sz w:val="20"/>
        </w:rPr>
        <w:t>Other Commitments and Contingencies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color w:val="000000"/>
          <w:sz w:val="22"/>
        </w:rPr>
      </w:pPr>
      <w:r>
        <w:rPr>
          <w:rFonts w:ascii="Times New Roman;serif" w:hAnsi="Times New Roman;serif"/>
          <w:b/>
          <w:color w:val="000000"/>
          <w:sz w:val="22"/>
        </w:rPr>
        <w:t>12.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as a lessee has operating leases primarily consisting of real estate arrangements where the Company operates its headquarters, branches and business production offices. All leases identified as in scope are accounted for as operating leases as of June 30, 2026 and December 31, 2025. These leases are typically long-term leases and generally are not complicated arrangements or structures. Several of the leases contain renewal options at a rate comparable to the fair market value based on comparable analysis to similar properties in the Bank’s geographies.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Real estate operating leases are presented as a right-of-use (“ROU”)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(“IBR”)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entered into a fifteen year lease agreement, following a sixteen-month base rent abatement period, for the Company's headquarters. The base rent amount for the premises commences at $6.2 million per annum and is escalated by approximately 9% on the fifth anniversary of rent commencement and by an additional approximately 8% on the tenth anniversary of rent commencement. The lease is not set to commence until the Company moves to the new premises later in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ROU lease asset was $7.6 million and operating lease liability was $9.1 million. As of December 31, 2025, the ROU lease asset was $9.6 million and operating lease liability was $12.3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lease cost and other operating lease information:</w:t>
      </w:r>
    </w:p>
    <w:tbl>
      <w:tblPr>
        <w:tblW w:w="10205" w:type="dxa"/>
        <w:jc w:val="left"/>
        <w:tblInd w:w="0" w:type="dxa"/>
        <w:tblLayout w:type="fixed"/>
        <w:tblCellMar>
          <w:top w:w="28" w:type="dxa"/>
          <w:left w:w="28" w:type="dxa"/>
          <w:bottom w:w="28" w:type="dxa"/>
          <w:right w:w="28" w:type="dxa"/>
        </w:tblCellMar>
      </w:tblPr>
      <w:tblGrid>
        <w:gridCol w:w="124"/>
        <w:gridCol w:w="1811"/>
        <w:gridCol w:w="1751"/>
        <w:gridCol w:w="174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leases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lease expiration dates ranged from 0.4 to 5.0 years for June 30, 2026, and from 0.3 to 5.8 years for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on operating leases at June 30, 2026 and June 30, 2025 was 2.4 years and 1.8 years,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 average discount rate used for the operating lease liability was 3.58% and 3.37% at June 30, 2026 and June 30, 2025, respectively.</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remaining commitments for operating lease payments for the next five years and thereafter, as well as a reconciliation to the discounted operating leases liability recorded in the Consolidated Statements of Financial Condition as of June 30, 2026:</w:t>
      </w:r>
    </w:p>
    <w:p>
      <w:pPr>
        <w:pStyle w:val="TextBody"/>
        <w:bidi w:val="0"/>
        <w:spacing w:before="0" w:after="0"/>
        <w:jc w:val="both"/>
        <w:rPr/>
      </w:pPr>
      <w:r>
        <w:rPr/>
      </w:r>
    </w:p>
    <w:tbl>
      <w:tblPr>
        <w:tblW w:w="5595" w:type="dxa"/>
        <w:jc w:val="left"/>
        <w:tblInd w:w="0" w:type="dxa"/>
        <w:tblLayout w:type="fixed"/>
        <w:tblCellMar>
          <w:top w:w="28" w:type="dxa"/>
          <w:left w:w="28" w:type="dxa"/>
          <w:bottom w:w="28" w:type="dxa"/>
          <w:right w:w="28" w:type="dxa"/>
        </w:tblCellMar>
      </w:tblPr>
      <w:tblGrid>
        <w:gridCol w:w="1379"/>
        <w:gridCol w:w="1214"/>
        <w:gridCol w:w="1217"/>
        <w:gridCol w:w="384"/>
        <w:gridCol w:w="1121"/>
        <w:gridCol w:w="280"/>
      </w:tblGrid>
      <w:tr>
        <w:trPr/>
        <w:tc>
          <w:tcPr>
            <w:tcW w:w="137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payments</w:t>
            </w:r>
          </w:p>
        </w:tc>
        <w:tc>
          <w:tcPr>
            <w:tcW w:w="15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9,516 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leases liability</w:t>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9,094 </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13.     GOODWILL AND INTANGIBLE ASSETS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 accordance with GAAP, the Company performs an annual test as of June 30 to identify potential impairment of goodwill, or more frequently if events or circumstances indicate a potential impairment may exist.</w:t>
      </w:r>
      <w:r>
        <w:rPr>
          <w:color w:val="000000"/>
        </w:rPr>
        <w:t xml:space="preserve"> </w:t>
      </w:r>
      <w:r>
        <w:rPr>
          <w:rFonts w:ascii="Times New Roman;serif" w:hAnsi="Times New Roman;serif"/>
          <w:b w:val="false"/>
          <w:color w:val="000000"/>
          <w:sz w:val="20"/>
        </w:rPr>
        <w:t>If the carrying amount of the Company, as a sole reporting unit, including goodwill, exceeds its fair value, an impairment loss is recognized in an amount equal to that excess up to the amount of the recorded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performed its annual test based upon market data as of June 30, 2026 and estimates and assumptions that the Company believes are most appropriate for the analysis. Based on the qualitative analysis performed in accordance with ASC 350, the Company determined it more likely than not that goodwill was not impaired as of June 30, 2026. During the three and six months ended June 30, 2026, there were no events or circumstances that would indicate that a potential impairment exists. Changes in certain assumptions used in the Company's assessment could result in significant differences in the results of the impairment test. Should market conditions or management’s assumptions change significantly in the future, an impairment to goodwill is possible.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carrying amount of goodwill was $12.9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gross carrying amount of the core deposit intangible was $9.1 million, and the accumulated amortization of the core deposit intangible was $8.4 million and $8.2 million as of June 30, 2026 and December 31, 2025, respectively. At June 30, 2026 and December 31, 2025, the net carrying amount of the core deposit intangible was $0.7 million and $0.9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recognized on the core deposit intangible was $0.1 million and $0.1 million for the three months ended June 30, 2026 and June 30, 2025, respectively, and $0.2 million and $0.3 million for the six months ended June 30, 2026 and June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estimated amortization expense, comprised entirely by the Company’s core deposit intangible asset, for the next five years and thereafter:</w:t>
      </w:r>
    </w:p>
    <w:tbl>
      <w:tblPr>
        <w:tblW w:w="1971" w:type="dxa"/>
        <w:jc w:val="left"/>
        <w:tblInd w:w="0" w:type="dxa"/>
        <w:tblLayout w:type="fixed"/>
        <w:tblCellMar>
          <w:top w:w="28" w:type="dxa"/>
          <w:left w:w="28" w:type="dxa"/>
          <w:bottom w:w="28" w:type="dxa"/>
          <w:right w:w="28" w:type="dxa"/>
        </w:tblCellMar>
      </w:tblPr>
      <w:tblGrid>
        <w:gridCol w:w="413"/>
        <w:gridCol w:w="363"/>
        <w:gridCol w:w="364"/>
        <w:gridCol w:w="211"/>
        <w:gridCol w:w="46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color w:val="000000"/>
          <w:sz w:val="22"/>
        </w:rPr>
      </w:pPr>
      <w:r>
        <w:rPr>
          <w:rFonts w:ascii="Times New Roman;serif" w:hAnsi="Times New Roman;serif"/>
          <w:b/>
          <w:color w:val="000000"/>
          <w:sz w:val="22"/>
        </w:rPr>
        <w:t>14.     VARIABLE INTEREST ENTITIES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Tax Credit Investments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June 30, 2026, the Company's maximum exposure to loss is $57.8 million.</w:t>
      </w:r>
    </w:p>
    <w:tbl>
      <w:tblPr>
        <w:tblW w:w="8117" w:type="dxa"/>
        <w:jc w:val="left"/>
        <w:tblInd w:w="0" w:type="dxa"/>
        <w:tblLayout w:type="fixed"/>
        <w:tblCellMar>
          <w:top w:w="28" w:type="dxa"/>
          <w:left w:w="28" w:type="dxa"/>
          <w:bottom w:w="28" w:type="dxa"/>
          <w:right w:w="28" w:type="dxa"/>
        </w:tblCellMar>
      </w:tblPr>
      <w:tblGrid>
        <w:gridCol w:w="124"/>
        <w:gridCol w:w="109"/>
        <w:gridCol w:w="1500"/>
        <w:gridCol w:w="1500"/>
        <w:gridCol w:w="1514"/>
        <w:gridCol w:w="287"/>
        <w:gridCol w:w="839"/>
        <w:gridCol w:w="148"/>
        <w:gridCol w:w="109"/>
        <w:gridCol w:w="109"/>
        <w:gridCol w:w="109"/>
        <w:gridCol w:w="380"/>
        <w:gridCol w:w="1110"/>
        <w:gridCol w:w="2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Unconsolidated Variable Interest Entities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investments included in equity investments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commitments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 portion of loan commitments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additional disclosures related to commitments for investment obligations related to tax credit investments, see Note 11.</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tax benefits conveyed by the Company’s solar generation VIE investments:</w:t>
      </w:r>
    </w:p>
    <w:tbl>
      <w:tblPr>
        <w:tblW w:w="10205" w:type="dxa"/>
        <w:jc w:val="left"/>
        <w:tblInd w:w="0" w:type="dxa"/>
        <w:tblLayout w:type="fixed"/>
        <w:tblCellMar>
          <w:top w:w="28" w:type="dxa"/>
          <w:left w:w="28" w:type="dxa"/>
          <w:bottom w:w="28" w:type="dxa"/>
          <w:right w:w="28" w:type="dxa"/>
        </w:tblCellMar>
      </w:tblPr>
      <w:tblGrid>
        <w:gridCol w:w="2186"/>
        <w:gridCol w:w="1912"/>
        <w:gridCol w:w="1909"/>
        <w:gridCol w:w="225"/>
        <w:gridCol w:w="499"/>
        <w:gridCol w:w="116"/>
        <w:gridCol w:w="225"/>
        <w:gridCol w:w="660"/>
        <w:gridCol w:w="116"/>
        <w:gridCol w:w="109"/>
        <w:gridCol w:w="109"/>
        <w:gridCol w:w="109"/>
        <w:gridCol w:w="211"/>
        <w:gridCol w:w="616"/>
        <w:gridCol w:w="109"/>
        <w:gridCol w:w="211"/>
        <w:gridCol w:w="616"/>
        <w:gridCol w:w="109"/>
        <w:gridCol w:w="158"/>
      </w:tblGrid>
      <w:tr>
        <w:trPr/>
        <w:tc>
          <w:tcPr>
            <w:tcW w:w="2186"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58" w:type="dxa"/>
            <w:tcBorders/>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58" w:type="dxa"/>
            <w:tcBorders/>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credits and other tax benefits recognized in equity method investments income</w:t>
            </w:r>
            <w:r>
              <w:rPr>
                <w:color w:val="000000"/>
              </w:rPr>
              <w:t xml:space="preserve"> </w:t>
            </w:r>
            <w:r>
              <w:rPr>
                <w:rFonts w:ascii="Times New Roman;serif" w:hAnsi="Times New Roman;serif"/>
                <w:b w:val="false"/>
                <w:color w:val="000000"/>
                <w:sz w:val="13"/>
              </w:rPr>
              <w:t>(1)</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credits and other tax benefits recognized in income tax expense</w:t>
            </w:r>
            <w:r>
              <w:rPr>
                <w:color w:val="000000"/>
              </w:rPr>
              <w:t xml:space="preserve"> </w:t>
            </w:r>
            <w:r>
              <w:rPr>
                <w:rFonts w:ascii="Times New Roman;serif" w:hAnsi="Times New Roman;serif"/>
                <w:b w:val="false"/>
                <w:color w:val="000000"/>
                <w:sz w:val="13"/>
              </w:rPr>
              <w:t>(2)</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amortization recognized in income tax expense</w:t>
            </w:r>
            <w:r>
              <w:rPr>
                <w:rFonts w:ascii="Times New Roman;serif" w:hAnsi="Times New Roman;serif"/>
                <w:b w:val="false"/>
                <w:color w:val="000000"/>
                <w:sz w:val="13"/>
              </w:rPr>
              <w:t>(2)</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Related to equity investments that do not qualify for proportional amortization method ("PAM")</w:t>
      </w:r>
    </w:p>
    <w:p>
      <w:pPr>
        <w:pStyle w:val="TextBody"/>
        <w:bidi w:val="0"/>
        <w:spacing w:lineRule="auto" w:line="28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Related to equity investments that do qualify for PAM</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cash flows related to the total income tax benefits presented in the line items in the Consolidated Statements of Cash Flows for investments accounted for using the PAM:</w:t>
      </w:r>
    </w:p>
    <w:tbl>
      <w:tblPr>
        <w:tblW w:w="10205" w:type="dxa"/>
        <w:jc w:val="left"/>
        <w:tblInd w:w="0" w:type="dxa"/>
        <w:tblLayout w:type="fixed"/>
        <w:tblCellMar>
          <w:top w:w="28" w:type="dxa"/>
          <w:left w:w="28" w:type="dxa"/>
          <w:bottom w:w="28" w:type="dxa"/>
          <w:right w:w="28" w:type="dxa"/>
        </w:tblCellMar>
      </w:tblPr>
      <w:tblGrid>
        <w:gridCol w:w="2230"/>
        <w:gridCol w:w="1958"/>
        <w:gridCol w:w="1969"/>
        <w:gridCol w:w="255"/>
        <w:gridCol w:w="566"/>
        <w:gridCol w:w="132"/>
        <w:gridCol w:w="255"/>
        <w:gridCol w:w="493"/>
        <w:gridCol w:w="132"/>
        <w:gridCol w:w="109"/>
        <w:gridCol w:w="109"/>
        <w:gridCol w:w="109"/>
        <w:gridCol w:w="226"/>
        <w:gridCol w:w="500"/>
        <w:gridCol w:w="116"/>
        <w:gridCol w:w="226"/>
        <w:gridCol w:w="435"/>
        <w:gridCol w:w="116"/>
        <w:gridCol w:w="109"/>
        <w:gridCol w:w="160"/>
      </w:tblGrid>
      <w:tr>
        <w:trPr/>
        <w:tc>
          <w:tcPr>
            <w:tcW w:w="2230"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5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assets</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5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25" w:type="dxa"/>
        <w:jc w:val="left"/>
        <w:tblInd w:w="0" w:type="dxa"/>
        <w:tblLayout w:type="fixed"/>
        <w:tblCellMar>
          <w:top w:w="28" w:type="dxa"/>
          <w:left w:w="28" w:type="dxa"/>
          <w:bottom w:w="28" w:type="dxa"/>
          <w:right w:w="28" w:type="dxa"/>
        </w:tblCellMar>
      </w:tblPr>
      <w:tblGrid>
        <w:gridCol w:w="2089"/>
        <w:gridCol w:w="1835"/>
        <w:gridCol w:w="2601"/>
      </w:tblGrid>
      <w:tr>
        <w:trPr/>
        <w:tc>
          <w:tcPr>
            <w:tcW w:w="208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Notes to Consolidated Financial Statements (unaudited)</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15.     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reportable segment is determined by the Chief Executive Officer, who is the designated chief operating decision maker, based upon information provided about the Company's products and services offered, primarily banking operations. Substantially all of our operations occur through the Bank and involve the delivery of loan and deposit products to customers. Management makes operating decisions and assesses performance based on an ongoing review of its banking operation, which constitutes our only operating segment for financial reporting purposes. We do not consider our trust and investment management business as a separate segment. The accounting policies of the Company's segment are the same as those described in the Note 1 “Summary of Significant Accounting Policies” in our 2025 Annual Report. </w:t>
      </w:r>
    </w:p>
    <w:p>
      <w:pPr>
        <w:pStyle w:val="TextBody"/>
        <w:bidi w:val="0"/>
        <w:spacing w:before="0" w:after="0"/>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240" w:after="283"/>
        <w:ind w:left="0" w:right="0" w:hanging="3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In this discussion, unless the context indicates otherwise, references to “we,” “us,” “our” and the “Company” refer to Amalgamated Financial Corp. and Amalgamated Bank. References to the “Bank” refer to Amalgamated Bank.</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of our consolidated financial condition as of June 30, 2026, as compared to December 31, 2025, and our results of operations for the three and six month periods ended June 30, 2026 and June 30, 2025.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unaudited consolidated financial statements and related notes as well as the financial and statistical data appearing elsewhere in this report and our Annual Report on Form 10-K for the year ended December 31, 2025 (the “2025 Annual Report”), filed with the Securities and Exchange Commission on March 5, 2026. Historical results of operations and the percentage relationships among any amounts included, and any trends that may appear, may not indicate results of operations for any future periods. </w:t>
      </w:r>
    </w:p>
    <w:p>
      <w:pPr>
        <w:pStyle w:val="TextBody"/>
        <w:bidi w:val="0"/>
        <w:spacing w:lineRule="auto" w:line="288" w:before="240" w:after="283"/>
        <w:jc w:val="both"/>
        <w:rPr/>
      </w:pPr>
      <w:r>
        <w:rPr>
          <w:rFonts w:ascii="Times New Roman;serif" w:hAnsi="Times New Roman;serif"/>
          <w:b w:val="false"/>
          <w:color w:val="000000"/>
          <w:sz w:val="20"/>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Times New Roman;serif" w:hAnsi="Times New Roman;serif"/>
          <w:b w:val="false"/>
          <w:i/>
          <w:color w:val="000000"/>
          <w:sz w:val="20"/>
        </w:rPr>
        <w:t>Cautionary Note Regarding Forward-Looking Statements</w:t>
      </w:r>
      <w:r>
        <w:rPr>
          <w:color w:val="000000"/>
        </w:rPr>
        <w:t xml:space="preserve">” </w:t>
      </w:r>
      <w:r>
        <w:rPr>
          <w:rFonts w:ascii="Times New Roman;serif" w:hAnsi="Times New Roman;serif"/>
          <w:b w:val="false"/>
          <w:color w:val="000000"/>
          <w:sz w:val="20"/>
        </w:rPr>
        <w:t xml:space="preserve">beginning on page ii of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was formed on August 25, 2020 to serve as the holding company for the Bank, effective March 1, 2021 when the Company acquired the common stock of the Bank. The Bank was formed in 1923 as Amalgamated Bank of New York by the Amalgamated Clothing Workers of America, one of the country’s oldest labor unions. Although we are no longer majority union-owned, the Amalgamated Clothing Workers of America’s successor, Workers United and its affiliates, affiliates of the Service Employees International Union that represents workers in the textile, distribution, food service and gaming industries, remains a significant stockholder, holding approximately 38% of our equity as of June 30, 2026. As of June 30, 2026, our total assets were $9.41 billion, our total loans, net of allowance for credit losses were $5.08 billion, our total deposits were $8.46 billion, and our stockholders' equity was $835.0 million. As of June 30, 2026, our trust business held $39.41 billion in assets under custody and $17.24 billion in assets under management.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full-service commercial bank offering a complete suite of commercial and retail banking, investment management and trust and custody services, and lending services. We generate relationship deposits from our values-based commercial clients and consumer customers. We further develop new and existing relationships through our trust, custody, and investment management services, which generate fee income, and we also offer investment, brokerage, asset management, and insurance products to our retail customers through a third-party broker dealer.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banking and trust businesses are national in scope and we also offer a full range of products and services to both commercial and retail customers through our branches and offices across New York City, Washington, D.C., Northern California, and Boston and our digital banking platform. Our corporate divisions include Commercial Banking, Trust and Investment Management and Consumer Banking. Our product line includes commercial and industrial ("C&amp;I") loans, commercial real estate ("CRE") loans, multifamily loans, residential mortgage loans through our marketing services agreement with Embrace Home Loans, consumer loans (predominantly residential solar) and a variety of commercial and consumer deposit products, including non-interest-bearing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activities with activities that benefit their other stakeholders, as well as the members and stakeholders of these commercial customers.</w:t>
      </w:r>
    </w:p>
    <w:p>
      <w:pPr>
        <w:pStyle w:val="TextBody"/>
        <w:bidi w:val="0"/>
        <w:spacing w:lineRule="auto" w:line="288" w:before="240" w:after="283"/>
        <w:jc w:val="both"/>
        <w:rPr/>
      </w:pPr>
      <w:r>
        <w:rPr>
          <w:rFonts w:ascii="Times New Roman;serif" w:hAnsi="Times New Roman;serif"/>
          <w:b w:val="false"/>
          <w:color w:val="000000"/>
          <w:sz w:val="20"/>
        </w:rPr>
        <w:t>Our goal is to be the go-to financial partner for people and organizations who strive to make a meaningful impact in our society and who care about their communities, the environment, and social justice. The growth of our business is fundamental to our social mission and how we deliver impact and value for our stakeholders. The Company has obtained B Corporation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a network of banking leaders from around the world committed to advancing positive change in the banking sector. We hold governance positions in the United Nations ("UN") convened Net Zero Banking Alliance and the Global Partnership for Carbon Accounting Financials ("PCAF") and an advisory role for the Glasgow Finance Alliance for Net Zero.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and Significant Accounting Policies and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are prepared based on the application of accounting policies generally accepted in the United States, or GAAP, and conform to general practices within the banking industry. Our significant accounting policies are more fully described in Note 1 of our audited consolidated financial statements included in our 2025 Annual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has been no significant change to our significant accounting policies, or the estimates made pursuant to those policies as described in our 2025 Annual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has identified accounting policies that, due to the estimates, assumptions and judgments inherent in those policies, are critical in understanding our financial statements. Management has presented the application of these policies to the Audit Committee of our Board of Directors.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Allowance for credit losses on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Methods and Assumptions Underlying the Estimate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and expected recoveries do not exceed the aggregate of amounts previously charged-off and expected to be charged-off. Determining the appropriateness of the allowance is complex and requires judgment by management about the effect of matters that are inherently uncertain.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segments other than the consumer solar loan segment, we calculate the quantitative portion of the allowance for credit losses using the discounted cash flow methodology ("DCF") whereby the amortized cost basis of the loan is compared to the net present value of expected cash flows to be collected. For segments with reserves calculated under the DCF model, a peer group by segment is used to develop periodic default rates, and statistical regression is utilized to relate historical macro-economic variables to historical credit loss experience of that peer group of banks. The DCF model includes a four-quarter reasonable and supportable economic forecast period followed by a four-quarter straight-line reversion to historical loss rates. In addition, the model incorporates assumptions for curtailment rates and recovery lag periods in its calculation of quantitative allowance.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consumer solar loan segment, the weighted average remaining maturity ("WARM") methodology calculates expected credit losses based on historical loss rates and forecasts those losses over the weighted average remaining maturity of the portfolio. The core assumption of the WARM methodology is based on use of internal loss data applied to a straight-line balance reduction, which aligns with the nature of repayment of these loans as well as the Company’s strategy of portfolio runoff.</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Adjustments to the quantitative results for both DCF and WARM models are made using qualitative factors. These factors include: (1) borrowers' financial condition; (2) borrowers' ability to pay; (3) nature and volume of financial assets; (4) value of the underlying collateral; (5) lending policies and procedures; (6) quality of the loan review system; (7) the experience, ability, and depth of staff; (8) regulatory and legal environment; (9) changes in market conditions; and (10) changes in economic conditions. Factors are weighted based on level of impact and assigned a risk rating that determine the amount of required qualitative reserves. The level of impact and risk ratings are evaluated each quarter.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loans that do not share risk characteristics, the Company evaluates these loans on an individual basis based on various factors. Factors that may be considered are borrowers delinquency trends and nonaccrual status, probability of foreclosure or note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the borrowers' circumstances or cash collections, borrowers' industry, or other facts and circumstances of the loan or collateral. The expected credit loss is measured based on net realizable value, that is, the difference between the discounted value of the expected future cash flows, based on the original effective interest rate, and the amortized cost basis of the loan. For collateral dependent loans, expected credit loss is measured as the difference between the amortized cost basis of the loan and the fair value of the collateral, less estimated costs to sell where applicable.</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Economic parameters are developed using available information relating to past events, current conditions, and reasonable and supportable forecasts. Historical credit experience provides the basis for the estimation of expected credit losses, with qualitative adjustments made to loan segments for differences in current loan-specific risk characteristics such as differences in underwriting standards, portfolio mix, delinquency levels and terms, as well as for changes in environmental conditions, such as changes in unemployment rates, property values or other relevant factors.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Uncertainties Regarding the Estimate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Estimating the timing and amounts of future losses is subject to significant management judgment as these projected cash flows rely upon the estimates discussed within the Allowance for Credit Losses policy and factors that are reflective of current or future expected conditions. These estimates depend on the duration of current overall economic conditions, industry, borrowers, or portfolio specific conditions. Volatility in certain credit metrics and differences between expected and actual outcomes are to be expected.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Impact on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and could materially decrease our net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experience significant credit losses if borrowers' experience financial difficulties, which could have a material adverse effect on our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various regulatory agencies, as an integral part of the examination process, periodically review the allowance for credit losses. Such agencies may require the Company to recognize adjustments to the allowance based on their judgments of the information available to them at the time of their examination.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new recent accounting pronouncements were adopted in the current period that are considered applicable to the Company.</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for deposits and borrowings. Our results of operations are also dependent on non-interest income, consisting primarily of income from Trust Department fees, service charges on deposit accounts, net gains or losses on sales of investment securities and income from bank-owned life insurance (“BOLI”). Other factors contributing to our results of operations include our provisions for credit losses, income taxes, and non-interest expenses, such as salaries and employee benefits, occupancy and depreciation expenses, professional fees, technology fees and other miscellaneous operating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Net income for the three months ended June 30, 2026 was </w:t>
      </w:r>
      <w:r>
        <w:rPr>
          <w:rFonts w:ascii="Times New Roman;serif" w:hAnsi="Times New Roman;serif"/>
          <w:b w:val="false"/>
          <w:color w:val="000000"/>
          <w:sz w:val="20"/>
          <w:shd w:fill="FFFFFF" w:val="clear"/>
        </w:rPr>
        <w:t>$34.8 million</w:t>
      </w:r>
      <w:r>
        <w:rPr>
          <w:rFonts w:ascii="Times New Roman;serif" w:hAnsi="Times New Roman;serif"/>
          <w:b w:val="false"/>
          <w:color w:val="000000"/>
          <w:sz w:val="20"/>
        </w:rPr>
        <w:t xml:space="preserve">, or $1.15 per diluted share, compared to </w:t>
      </w:r>
      <w:r>
        <w:rPr>
          <w:rFonts w:ascii="Times New Roman;serif" w:hAnsi="Times New Roman;serif"/>
          <w:b w:val="false"/>
          <w:color w:val="000000"/>
          <w:sz w:val="20"/>
          <w:shd w:fill="FFFFFF" w:val="clear"/>
        </w:rPr>
        <w:t>$26.0 million</w:t>
      </w:r>
      <w:r>
        <w:rPr>
          <w:rFonts w:ascii="Times New Roman;serif" w:hAnsi="Times New Roman;serif"/>
          <w:b w:val="false"/>
          <w:color w:val="000000"/>
          <w:sz w:val="20"/>
        </w:rPr>
        <w:t xml:space="preserve">, or $0.84 per diluted share, for the three months ended June 30, 2025. The </w:t>
      </w:r>
      <w:r>
        <w:rPr>
          <w:rFonts w:ascii="Times New Roman;serif" w:hAnsi="Times New Roman;serif"/>
          <w:b w:val="false"/>
          <w:color w:val="000000"/>
          <w:sz w:val="20"/>
          <w:shd w:fill="FFFFFF" w:val="clear"/>
        </w:rPr>
        <w:t>$8.8 million</w:t>
      </w:r>
      <w:r>
        <w:rPr>
          <w:color w:val="000000"/>
        </w:rPr>
        <w:t xml:space="preserve"> </w:t>
      </w:r>
      <w:r>
        <w:rPr>
          <w:rFonts w:ascii="Times New Roman;serif" w:hAnsi="Times New Roman;serif"/>
          <w:b w:val="false"/>
          <w:color w:val="000000"/>
          <w:sz w:val="20"/>
        </w:rPr>
        <w:t xml:space="preserve">increase was primarily due to an increase in interest and dividend income of $13.1 million, an increase in service charges on deposit accounts of </w:t>
      </w:r>
      <w:r>
        <w:rPr>
          <w:rFonts w:ascii="Times New Roman;serif" w:hAnsi="Times New Roman;serif"/>
          <w:b w:val="false"/>
          <w:color w:val="000000"/>
          <w:sz w:val="20"/>
          <w:shd w:fill="FFFFFF" w:val="clear"/>
        </w:rPr>
        <w:t xml:space="preserve">$3.0 million and a decrease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losses on sale of securities and other assets of $1.0 million, partially offset by an</w:t>
      </w:r>
      <w:r>
        <w:rPr>
          <w:color w:val="000000"/>
        </w:rPr>
        <w:t xml:space="preserve"> </w:t>
      </w:r>
      <w:r>
        <w:rPr>
          <w:rFonts w:ascii="Times New Roman;serif" w:hAnsi="Times New Roman;serif"/>
          <w:b w:val="false"/>
          <w:color w:val="000000"/>
          <w:sz w:val="20"/>
        </w:rPr>
        <w:t xml:space="preserve">increase in compensation and employee benefits of </w:t>
      </w:r>
      <w:r>
        <w:rPr>
          <w:rFonts w:ascii="Times New Roman;serif" w:hAnsi="Times New Roman;serif"/>
          <w:b w:val="false"/>
          <w:color w:val="000000"/>
          <w:sz w:val="20"/>
          <w:shd w:fill="FFFFFF" w:val="clear"/>
        </w:rPr>
        <w:t xml:space="preserve">$3.9 million, an </w:t>
      </w:r>
      <w:r>
        <w:rPr>
          <w:rFonts w:ascii="Times New Roman;serif" w:hAnsi="Times New Roman;serif"/>
          <w:b w:val="false"/>
          <w:color w:val="000000"/>
          <w:sz w:val="20"/>
        </w:rPr>
        <w:t xml:space="preserve">increase in income tax expense of </w:t>
      </w:r>
      <w:r>
        <w:rPr>
          <w:rFonts w:ascii="Times New Roman;serif" w:hAnsi="Times New Roman;serif"/>
          <w:b w:val="false"/>
          <w:color w:val="000000"/>
          <w:sz w:val="20"/>
          <w:shd w:fill="FFFFFF" w:val="clear"/>
        </w:rPr>
        <w:t xml:space="preserve">$2.4 million, an </w:t>
      </w:r>
      <w:r>
        <w:rPr>
          <w:rFonts w:ascii="Times New Roman;serif" w:hAnsi="Times New Roman;serif"/>
          <w:b w:val="false"/>
          <w:color w:val="000000"/>
          <w:sz w:val="20"/>
        </w:rPr>
        <w:t xml:space="preserve">increase in technology expense of </w:t>
      </w:r>
      <w:r>
        <w:rPr>
          <w:rFonts w:ascii="Times New Roman;serif" w:hAnsi="Times New Roman;serif"/>
          <w:b w:val="false"/>
          <w:color w:val="000000"/>
          <w:sz w:val="20"/>
          <w:shd w:fill="FFFFFF" w:val="clear"/>
        </w:rPr>
        <w:t xml:space="preserve">$1.9 million and a </w:t>
      </w:r>
      <w:r>
        <w:rPr>
          <w:rFonts w:ascii="Times New Roman;serif" w:hAnsi="Times New Roman;serif"/>
          <w:b w:val="false"/>
          <w:color w:val="000000"/>
          <w:sz w:val="20"/>
        </w:rPr>
        <w:t xml:space="preserve">decrease in other income of </w:t>
      </w:r>
      <w:r>
        <w:rPr>
          <w:rFonts w:ascii="Times New Roman;serif" w:hAnsi="Times New Roman;serif"/>
          <w:b w:val="false"/>
          <w:color w:val="000000"/>
          <w:sz w:val="20"/>
          <w:shd w:fill="FFFFFF" w:val="clear"/>
        </w:rPr>
        <w:t>$0.1 million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Net income for the six months ended June 30, 2026 was </w:t>
      </w:r>
      <w:r>
        <w:rPr>
          <w:rFonts w:ascii="Times New Roman;serif" w:hAnsi="Times New Roman;serif"/>
          <w:b w:val="false"/>
          <w:color w:val="000000"/>
          <w:sz w:val="20"/>
          <w:shd w:fill="FFFFFF" w:val="clear"/>
        </w:rPr>
        <w:t>$60.0 million</w:t>
      </w:r>
      <w:r>
        <w:rPr>
          <w:rFonts w:ascii="Times New Roman;serif" w:hAnsi="Times New Roman;serif"/>
          <w:b w:val="false"/>
          <w:color w:val="000000"/>
          <w:sz w:val="20"/>
        </w:rPr>
        <w:t xml:space="preserve">, or $1.99 per diluted share, compared to </w:t>
      </w:r>
      <w:r>
        <w:rPr>
          <w:rFonts w:ascii="Times New Roman;serif" w:hAnsi="Times New Roman;serif"/>
          <w:b w:val="false"/>
          <w:color w:val="000000"/>
          <w:sz w:val="20"/>
          <w:shd w:fill="FFFFFF" w:val="clear"/>
        </w:rPr>
        <w:t>$51.0 million</w:t>
      </w:r>
      <w:r>
        <w:rPr>
          <w:rFonts w:ascii="Times New Roman;serif" w:hAnsi="Times New Roman;serif"/>
          <w:b w:val="false"/>
          <w:color w:val="000000"/>
          <w:sz w:val="20"/>
        </w:rPr>
        <w:t xml:space="preserve">, or $1.65 per diluted share, for the six months ended June 30, 2025. The </w:t>
      </w:r>
      <w:r>
        <w:rPr>
          <w:rFonts w:ascii="Times New Roman;serif" w:hAnsi="Times New Roman;serif"/>
          <w:b w:val="false"/>
          <w:color w:val="000000"/>
          <w:sz w:val="20"/>
          <w:shd w:fill="FFFFFF" w:val="clear"/>
        </w:rPr>
        <w:t>$9.0 million</w:t>
      </w:r>
      <w:r>
        <w:rPr>
          <w:color w:val="000000"/>
        </w:rPr>
        <w:t xml:space="preserve"> </w:t>
      </w:r>
      <w:r>
        <w:rPr>
          <w:rFonts w:ascii="Times New Roman;serif" w:hAnsi="Times New Roman;serif"/>
          <w:b w:val="false"/>
          <w:color w:val="000000"/>
          <w:sz w:val="20"/>
        </w:rPr>
        <w:t xml:space="preserve">increase was primarily due to an increase in interest and dividend income of </w:t>
      </w:r>
      <w:r>
        <w:rPr>
          <w:rFonts w:ascii="Times New Roman;serif" w:hAnsi="Times New Roman;serif"/>
          <w:b w:val="false"/>
          <w:color w:val="000000"/>
          <w:sz w:val="20"/>
          <w:shd w:fill="FFFFFF" w:val="clear"/>
        </w:rPr>
        <w:t>$21.7 million</w:t>
      </w:r>
      <w:r>
        <w:rPr>
          <w:rFonts w:ascii="Times New Roman;serif" w:hAnsi="Times New Roman;serif"/>
          <w:b w:val="false"/>
          <w:color w:val="000000"/>
          <w:sz w:val="20"/>
        </w:rPr>
        <w:t xml:space="preserve">, an increase in service charges on deposit accounts of </w:t>
      </w:r>
      <w:r>
        <w:rPr>
          <w:rFonts w:ascii="Times New Roman;serif" w:hAnsi="Times New Roman;serif"/>
          <w:b w:val="false"/>
          <w:color w:val="000000"/>
          <w:sz w:val="20"/>
          <w:shd w:fill="FFFFFF" w:val="clear"/>
        </w:rPr>
        <w:t>$6.7 million, an</w:t>
      </w:r>
      <w:r>
        <w:rPr>
          <w:color w:val="000000"/>
        </w:rPr>
        <w:t xml:space="preserve"> </w:t>
      </w:r>
      <w:r>
        <w:rPr>
          <w:rFonts w:ascii="Times New Roman;serif" w:hAnsi="Times New Roman;serif"/>
          <w:b w:val="false"/>
          <w:color w:val="000000"/>
          <w:sz w:val="20"/>
        </w:rPr>
        <w:t xml:space="preserve">increase in equity investment income of </w:t>
      </w:r>
      <w:r>
        <w:rPr>
          <w:rFonts w:ascii="Times New Roman;serif" w:hAnsi="Times New Roman;serif"/>
          <w:b w:val="false"/>
          <w:color w:val="000000"/>
          <w:sz w:val="20"/>
          <w:shd w:fill="FFFFFF" w:val="clear"/>
        </w:rPr>
        <w:t xml:space="preserve">$3.4 million, offset by an </w:t>
      </w:r>
      <w:r>
        <w:rPr>
          <w:rFonts w:ascii="Times New Roman;serif" w:hAnsi="Times New Roman;serif"/>
          <w:b w:val="false"/>
          <w:color w:val="000000"/>
          <w:sz w:val="20"/>
        </w:rPr>
        <w:t xml:space="preserve">increase in provision for credit losses of </w:t>
      </w:r>
      <w:r>
        <w:rPr>
          <w:rFonts w:ascii="Times New Roman;serif" w:hAnsi="Times New Roman;serif"/>
          <w:b w:val="false"/>
          <w:color w:val="000000"/>
          <w:sz w:val="20"/>
          <w:shd w:fill="FFFFFF" w:val="clear"/>
        </w:rPr>
        <w:t>$12.4 million, a</w:t>
      </w:r>
      <w:r>
        <w:rPr>
          <w:rFonts w:ascii="Times New Roman;serif" w:hAnsi="Times New Roman;serif"/>
          <w:b w:val="false"/>
          <w:color w:val="000000"/>
          <w:sz w:val="20"/>
        </w:rPr>
        <w:t xml:space="preserve">n increase in compensation and employee benefits of </w:t>
      </w:r>
      <w:r>
        <w:rPr>
          <w:rFonts w:ascii="Times New Roman;serif" w:hAnsi="Times New Roman;serif"/>
          <w:b w:val="false"/>
          <w:color w:val="000000"/>
          <w:sz w:val="20"/>
          <w:shd w:fill="FFFFFF" w:val="clear"/>
        </w:rPr>
        <w:t xml:space="preserve">$6.3 million, an </w:t>
      </w:r>
      <w:r>
        <w:rPr>
          <w:rFonts w:ascii="Times New Roman;serif" w:hAnsi="Times New Roman;serif"/>
          <w:b w:val="false"/>
          <w:color w:val="000000"/>
          <w:sz w:val="20"/>
        </w:rPr>
        <w:t xml:space="preserve">increase in technology expense of </w:t>
      </w:r>
      <w:r>
        <w:rPr>
          <w:rFonts w:ascii="Times New Roman;serif" w:hAnsi="Times New Roman;serif"/>
          <w:b w:val="false"/>
          <w:color w:val="000000"/>
          <w:sz w:val="20"/>
          <w:shd w:fill="FFFFFF" w:val="clear"/>
        </w:rPr>
        <w:t xml:space="preserve">$2.9 million, an </w:t>
      </w:r>
      <w:r>
        <w:rPr>
          <w:rFonts w:ascii="Times New Roman;serif" w:hAnsi="Times New Roman;serif"/>
          <w:b w:val="false"/>
          <w:color w:val="000000"/>
          <w:sz w:val="20"/>
        </w:rPr>
        <w:t xml:space="preserve">increase in other expense of </w:t>
      </w:r>
      <w:r>
        <w:rPr>
          <w:rFonts w:ascii="Times New Roman;serif" w:hAnsi="Times New Roman;serif"/>
          <w:b w:val="false"/>
          <w:color w:val="000000"/>
          <w:sz w:val="20"/>
          <w:shd w:fill="FFFFFF" w:val="clear"/>
        </w:rPr>
        <w:t xml:space="preserve">$1.0 million, and an </w:t>
      </w:r>
      <w:r>
        <w:rPr>
          <w:rFonts w:ascii="Times New Roman;serif" w:hAnsi="Times New Roman;serif"/>
          <w:b w:val="false"/>
          <w:color w:val="000000"/>
          <w:sz w:val="20"/>
        </w:rPr>
        <w:t xml:space="preserve">increase of Federal deposits insurance premium expense of </w:t>
      </w:r>
      <w:r>
        <w:rPr>
          <w:rFonts w:ascii="Times New Roman;serif" w:hAnsi="Times New Roman;serif"/>
          <w:b w:val="false"/>
          <w:color w:val="000000"/>
          <w:sz w:val="20"/>
          <w:shd w:fill="FFFFFF" w:val="clear"/>
        </w:rPr>
        <w:t>$0.2 million</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Interest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subordinated debt, Federal Home Loan Bank of New York ("FHLBNY") advances, federal funds purchased and other borrowings. To evaluate net interest income, we measure and monitor (i) yields on our loans, investments,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June 30,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related to our average balance sheet, average yields on assets, and average costs of liabilities for the periods indicated:</w:t>
      </w:r>
    </w:p>
    <w:tbl>
      <w:tblPr>
        <w:tblW w:w="10415" w:type="dxa"/>
        <w:jc w:val="left"/>
        <w:tblInd w:w="0" w:type="dxa"/>
        <w:tblLayout w:type="fixed"/>
        <w:tblCellMar>
          <w:top w:w="28" w:type="dxa"/>
          <w:left w:w="28" w:type="dxa"/>
          <w:bottom w:w="28" w:type="dxa"/>
          <w:right w:w="28" w:type="dxa"/>
        </w:tblCellMar>
      </w:tblPr>
      <w:tblGrid>
        <w:gridCol w:w="124"/>
        <w:gridCol w:w="109"/>
        <w:gridCol w:w="109"/>
        <w:gridCol w:w="1004"/>
        <w:gridCol w:w="479"/>
        <w:gridCol w:w="483"/>
        <w:gridCol w:w="109"/>
        <w:gridCol w:w="211"/>
        <w:gridCol w:w="976"/>
        <w:gridCol w:w="109"/>
        <w:gridCol w:w="109"/>
        <w:gridCol w:w="109"/>
        <w:gridCol w:w="109"/>
        <w:gridCol w:w="211"/>
        <w:gridCol w:w="721"/>
        <w:gridCol w:w="109"/>
        <w:gridCol w:w="109"/>
        <w:gridCol w:w="109"/>
        <w:gridCol w:w="109"/>
        <w:gridCol w:w="255"/>
        <w:gridCol w:w="256"/>
        <w:gridCol w:w="310"/>
        <w:gridCol w:w="109"/>
        <w:gridCol w:w="109"/>
        <w:gridCol w:w="109"/>
        <w:gridCol w:w="211"/>
        <w:gridCol w:w="976"/>
        <w:gridCol w:w="109"/>
        <w:gridCol w:w="109"/>
        <w:gridCol w:w="109"/>
        <w:gridCol w:w="109"/>
        <w:gridCol w:w="211"/>
        <w:gridCol w:w="721"/>
        <w:gridCol w:w="109"/>
        <w:gridCol w:w="109"/>
        <w:gridCol w:w="109"/>
        <w:gridCol w:w="109"/>
        <w:gridCol w:w="255"/>
        <w:gridCol w:w="256"/>
        <w:gridCol w:w="3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Yield /</w:t>
              <w:br/>
              <w:t>Rate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banks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Securities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Resell agreements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loans, net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9,139,851 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3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8,236,065 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3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9,339,047 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8,445,679 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NOW and money market deposits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Time deposits </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interest-bearing deposits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5,088,379 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 and transaction deposits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interest income / interest rate spread</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05949b93ed0b492d86aa0bda8e1d7a2c_30-9-1"/>
            <w:bookmarkEnd w:id="0"/>
            <w:r>
              <w:rPr>
                <w:rFonts w:ascii="Times New Roman;serif" w:hAnsi="Times New Roman;serif"/>
                <w:b w:val="false"/>
                <w:color w:val="000000"/>
                <w:sz w:val="20"/>
              </w:rPr>
              <w:t>2.69 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interest-earning assets / net interest margin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3,483,869 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 / total cost of deposits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funding / total cost of funds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FHLBNY stock in the average balance, and dividend income on FHLBNY stock in interest income.</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Includes prepayment penalty income in 2Q2026 and 2Q2025 of $526 thousand and $200 thousand, respectively.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Net interest income was </w:t>
      </w:r>
      <w:r>
        <w:rPr>
          <w:rFonts w:ascii="Times New Roman;serif" w:hAnsi="Times New Roman;serif"/>
          <w:b w:val="false"/>
          <w:color w:val="000000"/>
          <w:sz w:val="20"/>
          <w:shd w:fill="FFFFFF" w:val="clear"/>
        </w:rPr>
        <w:t>$86.1 million</w:t>
      </w:r>
      <w:r>
        <w:rPr>
          <w:color w:val="000000"/>
        </w:rPr>
        <w:t xml:space="preserve"> </w:t>
      </w:r>
      <w:r>
        <w:rPr>
          <w:rFonts w:ascii="Times New Roman;serif" w:hAnsi="Times New Roman;serif"/>
          <w:b w:val="false"/>
          <w:color w:val="000000"/>
          <w:sz w:val="20"/>
        </w:rPr>
        <w:t xml:space="preserve">for the second quarter of 2026, compared to </w:t>
      </w:r>
      <w:r>
        <w:rPr>
          <w:rFonts w:ascii="Times New Roman;serif" w:hAnsi="Times New Roman;serif"/>
          <w:b w:val="false"/>
          <w:color w:val="000000"/>
          <w:sz w:val="20"/>
          <w:shd w:fill="FFFFFF" w:val="clear"/>
        </w:rPr>
        <w:t>$72.9 million</w:t>
      </w:r>
      <w:r>
        <w:rPr>
          <w:color w:val="000000"/>
        </w:rPr>
        <w:t xml:space="preserve"> </w:t>
      </w:r>
      <w:r>
        <w:rPr>
          <w:rFonts w:ascii="Times New Roman;serif" w:hAnsi="Times New Roman;serif"/>
          <w:b w:val="false"/>
          <w:color w:val="000000"/>
          <w:sz w:val="20"/>
        </w:rPr>
        <w:t xml:space="preserve">for the second quarter of 2025. The </w:t>
      </w:r>
      <w:r>
        <w:rPr>
          <w:rFonts w:ascii="Times New Roman;serif" w:hAnsi="Times New Roman;serif"/>
          <w:b w:val="false"/>
          <w:color w:val="000000"/>
          <w:sz w:val="20"/>
          <w:shd w:fill="FFFFFF" w:val="clear"/>
        </w:rPr>
        <w:t>$13.2 million</w:t>
      </w:r>
      <w:r>
        <w:rPr>
          <w:color w:val="000000"/>
        </w:rPr>
        <w:t xml:space="preserve"> </w:t>
      </w:r>
      <w:r>
        <w:rPr>
          <w:rFonts w:ascii="Times New Roman;serif" w:hAnsi="Times New Roman;serif"/>
          <w:b w:val="false"/>
          <w:color w:val="000000"/>
          <w:sz w:val="20"/>
        </w:rPr>
        <w:t>increase, or 18.1% increase from the second quarter of 2025 was primarily attributable to higher yields and average balances on interest-earning assets, and lower costs on interest bearing liabilities, partially offset by higher average balances on interest-bearing liabilities.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Net interest spread was </w:t>
      </w:r>
      <w:r>
        <w:rPr>
          <w:rFonts w:ascii="Times New Roman;serif" w:hAnsi="Times New Roman;serif"/>
          <w:b w:val="false"/>
          <w:color w:val="000000"/>
          <w:sz w:val="20"/>
          <w:shd w:fill="FFFFFF" w:val="clear"/>
        </w:rPr>
        <w:t>2.69%</w:t>
      </w:r>
      <w:r>
        <w:rPr>
          <w:color w:val="000000"/>
        </w:rPr>
        <w:t xml:space="preserve"> </w:t>
      </w:r>
      <w:r>
        <w:rPr>
          <w:rFonts w:ascii="Times New Roman;serif" w:hAnsi="Times New Roman;serif"/>
          <w:b w:val="false"/>
          <w:color w:val="000000"/>
          <w:sz w:val="20"/>
        </w:rPr>
        <w:t xml:space="preserve">for the three months ended June 30, 2026, compared to 2.44% for the three months ended June 30, 2025, an increase of </w:t>
      </w:r>
      <w:r>
        <w:rPr>
          <w:rFonts w:ascii="Times New Roman;serif" w:hAnsi="Times New Roman;serif"/>
          <w:b w:val="false"/>
          <w:color w:val="000000"/>
          <w:sz w:val="20"/>
          <w:shd w:fill="FFFFFF" w:val="clear"/>
        </w:rPr>
        <w:t>25</w:t>
      </w:r>
      <w:r>
        <w:rPr>
          <w:color w:val="000000"/>
        </w:rPr>
        <w:t xml:space="preserve"> </w:t>
      </w:r>
      <w:r>
        <w:rPr>
          <w:rFonts w:ascii="Times New Roman;serif" w:hAnsi="Times New Roman;serif"/>
          <w:b w:val="false"/>
          <w:color w:val="000000"/>
          <w:sz w:val="20"/>
        </w:rPr>
        <w:t xml:space="preserve">basis points. Our net interest margin was </w:t>
      </w:r>
      <w:r>
        <w:rPr>
          <w:rFonts w:ascii="Times New Roman;serif" w:hAnsi="Times New Roman;serif"/>
          <w:b w:val="false"/>
          <w:color w:val="000000"/>
          <w:sz w:val="20"/>
          <w:shd w:fill="FFFFFF" w:val="clear"/>
        </w:rPr>
        <w:t>3.78%</w:t>
      </w:r>
      <w:r>
        <w:rPr>
          <w:color w:val="000000"/>
        </w:rPr>
        <w:t xml:space="preserve"> </w:t>
      </w:r>
      <w:r>
        <w:rPr>
          <w:rFonts w:ascii="Times New Roman;serif" w:hAnsi="Times New Roman;serif"/>
          <w:b w:val="false"/>
          <w:color w:val="000000"/>
          <w:sz w:val="20"/>
        </w:rPr>
        <w:t xml:space="preserve">for the three months ended June 30, 2026, an increase of </w:t>
      </w:r>
      <w:r>
        <w:rPr>
          <w:rFonts w:ascii="Times New Roman;serif" w:hAnsi="Times New Roman;serif"/>
          <w:b w:val="false"/>
          <w:color w:val="000000"/>
          <w:sz w:val="20"/>
          <w:shd w:fill="FFFFFF" w:val="clear"/>
        </w:rPr>
        <w:t>23</w:t>
      </w:r>
      <w:r>
        <w:rPr>
          <w:color w:val="000000"/>
        </w:rPr>
        <w:t xml:space="preserve"> </w:t>
      </w:r>
      <w:r>
        <w:rPr>
          <w:rFonts w:ascii="Times New Roman;serif" w:hAnsi="Times New Roman;serif"/>
          <w:b w:val="false"/>
          <w:color w:val="000000"/>
          <w:sz w:val="20"/>
        </w:rPr>
        <w:t>basis points from 3.55% from the three months ended June 30, 2025. This was largely due to increases in yields and average balances on interest-bearing assets and a decrease in total cost of funds.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yield on average earning assets was 5.14% for the three months ended June 30, 2026, compared to 5.07% for the same period in 2025, an increase of 7 basis points. This increase was driven primarily by an increase in higher yielding assets such as loans and securities.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average rate on interest-bearing liabilities was </w:t>
      </w:r>
      <w:r>
        <w:rPr>
          <w:rFonts w:ascii="Times New Roman;serif" w:hAnsi="Times New Roman;serif"/>
          <w:b w:val="false"/>
          <w:color w:val="000000"/>
          <w:sz w:val="20"/>
          <w:shd w:fill="FFFFFF" w:val="clear"/>
        </w:rPr>
        <w:t>2.45%</w:t>
      </w:r>
      <w:r>
        <w:rPr>
          <w:color w:val="000000"/>
        </w:rPr>
        <w:t xml:space="preserve"> </w:t>
      </w:r>
      <w:r>
        <w:rPr>
          <w:rFonts w:ascii="Times New Roman;serif" w:hAnsi="Times New Roman;serif"/>
          <w:b w:val="false"/>
          <w:color w:val="000000"/>
          <w:sz w:val="20"/>
        </w:rPr>
        <w:t xml:space="preserve">for the three months ended June 30, 2026, a decrease of 18 basis points from the three months ended June 30, 2025, which was primarily due to a decrease in interest rates which leads to lower interest expense paid for deposits. Non-interest-bearing deposits represented </w:t>
      </w:r>
      <w:r>
        <w:rPr>
          <w:rFonts w:ascii="Times New Roman;serif" w:hAnsi="Times New Roman;serif"/>
          <w:b w:val="false"/>
          <w:color w:val="000000"/>
          <w:sz w:val="20"/>
          <w:shd w:fill="FFFFFF" w:val="clear"/>
        </w:rPr>
        <w:t>40.2%</w:t>
      </w:r>
      <w:r>
        <w:rPr>
          <w:color w:val="000000"/>
        </w:rPr>
        <w:t xml:space="preserve"> </w:t>
      </w:r>
      <w:r>
        <w:rPr>
          <w:rFonts w:ascii="Times New Roman;serif" w:hAnsi="Times New Roman;serif"/>
          <w:b w:val="false"/>
          <w:color w:val="000000"/>
          <w:sz w:val="20"/>
        </w:rPr>
        <w:t>of average deposits for the three months ended June 30, 2026, compared to 38.2% for the three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Six Months Ended June 30,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related to our average balance sheet, average yields on assets, and average costs of liabilities for the periods indicated:</w:t>
      </w:r>
    </w:p>
    <w:tbl>
      <w:tblPr>
        <w:tblW w:w="10625" w:type="dxa"/>
        <w:jc w:val="left"/>
        <w:tblInd w:w="0" w:type="dxa"/>
        <w:tblLayout w:type="fixed"/>
        <w:tblCellMar>
          <w:top w:w="28" w:type="dxa"/>
          <w:left w:w="28" w:type="dxa"/>
          <w:bottom w:w="28" w:type="dxa"/>
          <w:right w:w="28" w:type="dxa"/>
        </w:tblCellMar>
      </w:tblPr>
      <w:tblGrid>
        <w:gridCol w:w="124"/>
        <w:gridCol w:w="109"/>
        <w:gridCol w:w="109"/>
        <w:gridCol w:w="1044"/>
        <w:gridCol w:w="459"/>
        <w:gridCol w:w="463"/>
        <w:gridCol w:w="109"/>
        <w:gridCol w:w="211"/>
        <w:gridCol w:w="976"/>
        <w:gridCol w:w="109"/>
        <w:gridCol w:w="109"/>
        <w:gridCol w:w="109"/>
        <w:gridCol w:w="109"/>
        <w:gridCol w:w="211"/>
        <w:gridCol w:w="826"/>
        <w:gridCol w:w="109"/>
        <w:gridCol w:w="109"/>
        <w:gridCol w:w="109"/>
        <w:gridCol w:w="109"/>
        <w:gridCol w:w="255"/>
        <w:gridCol w:w="256"/>
        <w:gridCol w:w="310"/>
        <w:gridCol w:w="109"/>
        <w:gridCol w:w="109"/>
        <w:gridCol w:w="109"/>
        <w:gridCol w:w="211"/>
        <w:gridCol w:w="976"/>
        <w:gridCol w:w="109"/>
        <w:gridCol w:w="109"/>
        <w:gridCol w:w="109"/>
        <w:gridCol w:w="109"/>
        <w:gridCol w:w="211"/>
        <w:gridCol w:w="826"/>
        <w:gridCol w:w="109"/>
        <w:gridCol w:w="109"/>
        <w:gridCol w:w="109"/>
        <w:gridCol w:w="109"/>
        <w:gridCol w:w="255"/>
        <w:gridCol w:w="256"/>
        <w:gridCol w:w="3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Yield /</w:t>
              <w:br/>
              <w:t>Rate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banks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Securities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Resell agreements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loans, net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NOW and money market deposits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Time deposits </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interest-bearing deposits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4,860,227 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4,576,518 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4,929,354 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4,681,397 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 and transaction deposits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8,299,378 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7,637,791 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9,114,264 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8,369,751 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interest income / interest rate spread</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interest-earning assets / net interest margin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 / total cost of deposits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funding / total cost of funds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FHLBNY stock in the average balance, and dividend income on FHLBNY stock in interest income.</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Includes prepayment penalty income in 2Q2026 and 2Q2025 of $526 thousand and $200 thousand, respectively.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Net interest income was </w:t>
      </w:r>
      <w:r>
        <w:rPr>
          <w:rFonts w:ascii="Times New Roman;serif" w:hAnsi="Times New Roman;serif"/>
          <w:b w:val="false"/>
          <w:color w:val="000000"/>
          <w:sz w:val="20"/>
          <w:shd w:fill="FFFFFF" w:val="clear"/>
        </w:rPr>
        <w:t>$166.2 million</w:t>
      </w:r>
      <w:r>
        <w:rPr>
          <w:color w:val="000000"/>
        </w:rPr>
        <w:t xml:space="preserve"> </w:t>
      </w:r>
      <w:r>
        <w:rPr>
          <w:rFonts w:ascii="Times New Roman;serif" w:hAnsi="Times New Roman;serif"/>
          <w:b w:val="false"/>
          <w:color w:val="000000"/>
          <w:sz w:val="20"/>
        </w:rPr>
        <w:t xml:space="preserve">for the six months ended June 30, 2026, compared to </w:t>
      </w:r>
      <w:r>
        <w:rPr>
          <w:rFonts w:ascii="Times New Roman;serif" w:hAnsi="Times New Roman;serif"/>
          <w:b w:val="false"/>
          <w:color w:val="000000"/>
          <w:sz w:val="20"/>
          <w:shd w:fill="FFFFFF" w:val="clear"/>
        </w:rPr>
        <w:t>$143.5 million</w:t>
      </w:r>
      <w:r>
        <w:rPr>
          <w:color w:val="000000"/>
        </w:rPr>
        <w:t xml:space="preserve"> </w:t>
      </w:r>
      <w:r>
        <w:rPr>
          <w:rFonts w:ascii="Times New Roman;serif" w:hAnsi="Times New Roman;serif"/>
          <w:b w:val="false"/>
          <w:color w:val="000000"/>
          <w:sz w:val="20"/>
        </w:rPr>
        <w:t xml:space="preserve">for the six months ended June 30, 2025. The </w:t>
      </w:r>
      <w:r>
        <w:rPr>
          <w:rFonts w:ascii="Times New Roman;serif" w:hAnsi="Times New Roman;serif"/>
          <w:b w:val="false"/>
          <w:color w:val="000000"/>
          <w:sz w:val="20"/>
          <w:shd w:fill="FFFFFF" w:val="clear"/>
        </w:rPr>
        <w:t>$22.7 million</w:t>
      </w:r>
      <w:r>
        <w:rPr>
          <w:color w:val="000000"/>
        </w:rPr>
        <w:t xml:space="preserve"> </w:t>
      </w:r>
      <w:r>
        <w:rPr>
          <w:rFonts w:ascii="Times New Roman;serif" w:hAnsi="Times New Roman;serif"/>
          <w:b w:val="false"/>
          <w:color w:val="000000"/>
          <w:sz w:val="20"/>
        </w:rPr>
        <w:t xml:space="preserve">increase, or 15.8% increase from the six months ended June 30, 2025 was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attributable to higher yields and average balances on interest-earning assets, and lower costs on interest bearing liabilities, partially offset by higher average balances on interest-bearing liabilities.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Net interest spread was 2.66% for the six months ended June 30, 2026, compared to 2.43% for the six months ended June 30, 2025, an increase of 23 basis points. Our net interest margin was 3.76% for the six months ended June 30, 2026, an increase of </w:t>
      </w:r>
      <w:r>
        <w:rPr>
          <w:rFonts w:ascii="Times New Roman;serif" w:hAnsi="Times New Roman;serif"/>
          <w:b w:val="false"/>
          <w:color w:val="000000"/>
          <w:sz w:val="20"/>
          <w:shd w:fill="FFFFFF" w:val="clear"/>
        </w:rPr>
        <w:t>21</w:t>
      </w:r>
      <w:r>
        <w:rPr>
          <w:color w:val="000000"/>
        </w:rPr>
        <w:t xml:space="preserve"> </w:t>
      </w:r>
      <w:r>
        <w:rPr>
          <w:rFonts w:ascii="Times New Roman;serif" w:hAnsi="Times New Roman;serif"/>
          <w:b w:val="false"/>
          <w:color w:val="000000"/>
          <w:sz w:val="20"/>
        </w:rPr>
        <w:t>basis points from 3.55% from the six months ended June 30, 2025. This was largely due to increases in yields and a decrease in total cost of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yield on average earning assets was 5.13% for the six months ended June 30, 2026, compared to 5.07% for the same period in 2025, an increase of 6 basis points. This increase was driven primarily by an increase in higher yielding assets such as loans and securities.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average rate on interest-bearing liabilities was 2.47% for the six months ended June 30, 2026, a decrease of 17 basis points from the six months ended June 30, 2025, which was primarily due to a decrease in interest rates which leads to lower interest expense paid for deposits. Non-interest-bearing deposits represented </w:t>
      </w:r>
      <w:r>
        <w:rPr>
          <w:rFonts w:ascii="Times New Roman;serif" w:hAnsi="Times New Roman;serif"/>
          <w:b w:val="false"/>
          <w:color w:val="000000"/>
          <w:sz w:val="20"/>
          <w:shd w:fill="FFFFFF" w:val="clear"/>
        </w:rPr>
        <w:t>40.4%</w:t>
      </w:r>
      <w:r>
        <w:rPr>
          <w:color w:val="000000"/>
        </w:rPr>
        <w:t xml:space="preserve"> </w:t>
      </w:r>
      <w:r>
        <w:rPr>
          <w:rFonts w:ascii="Times New Roman;serif" w:hAnsi="Times New Roman;serif"/>
          <w:b w:val="false"/>
          <w:color w:val="000000"/>
          <w:sz w:val="20"/>
        </w:rPr>
        <w:t>of average deposits for the six months ended June 30, 2026, compared to 38.8% for the six months ended June 30,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Rate-Volume Analysis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637"/>
        <w:gridCol w:w="637"/>
        <w:gridCol w:w="642"/>
        <w:gridCol w:w="109"/>
        <w:gridCol w:w="211"/>
        <w:gridCol w:w="616"/>
        <w:gridCol w:w="109"/>
        <w:gridCol w:w="109"/>
        <w:gridCol w:w="109"/>
        <w:gridCol w:w="109"/>
        <w:gridCol w:w="236"/>
        <w:gridCol w:w="690"/>
        <w:gridCol w:w="122"/>
        <w:gridCol w:w="109"/>
        <w:gridCol w:w="109"/>
        <w:gridCol w:w="109"/>
        <w:gridCol w:w="211"/>
        <w:gridCol w:w="721"/>
        <w:gridCol w:w="109"/>
        <w:gridCol w:w="109"/>
        <w:gridCol w:w="109"/>
        <w:gridCol w:w="109"/>
        <w:gridCol w:w="211"/>
        <w:gridCol w:w="721"/>
        <w:gridCol w:w="109"/>
        <w:gridCol w:w="109"/>
        <w:gridCol w:w="109"/>
        <w:gridCol w:w="109"/>
        <w:gridCol w:w="236"/>
        <w:gridCol w:w="690"/>
        <w:gridCol w:w="122"/>
        <w:gridCol w:w="109"/>
        <w:gridCol w:w="109"/>
        <w:gridCol w:w="109"/>
        <w:gridCol w:w="211"/>
        <w:gridCol w:w="721"/>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 over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 over June 30,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Changes Due To</w:t>
              <w:br/>
              <w:t>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Changes Due To</w:t>
              <w:br/>
              <w:t>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Change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banks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Resell Agreements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net</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NOW and money market deposits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deposits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22,727 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i/>
          <w:color w:val="000000"/>
          <w:sz w:val="20"/>
        </w:rPr>
      </w:pPr>
      <w:r>
        <w:rPr>
          <w:rFonts w:ascii="Times New Roman;serif" w:hAnsi="Times New Roman;serif"/>
          <w:b/>
          <w:i/>
          <w:color w:val="000000"/>
          <w:sz w:val="20"/>
        </w:rPr>
        <w:t>Provision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establish an allowance for credit losses through a provision for credit losses charged as an expense in our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June 30, 2026 and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Provision for credit losses was an expense of $4.4 million for the three months ended June 30, 2026 compared to an expense of $4.9 million for the three months ended June 30, 2025. The provision during the current quarter was primarily attributable to charge-offs on our consumer solar and commercial and industrial portfolios, and additional required reserves on the consumer solar portfolio from the ACL model.</w:t>
      </w:r>
      <w:r>
        <w:rPr>
          <w:color w:val="000000"/>
        </w:rPr>
        <w:t xml:space="preserve"> </w:t>
      </w:r>
      <w:r>
        <w:rPr>
          <w:rFonts w:ascii="Times New Roman;serif" w:hAnsi="Times New Roman;serif"/>
          <w:b w:val="false"/>
          <w:color w:val="000000"/>
          <w:sz w:val="20"/>
        </w:rPr>
        <w:t>This was partially offset by reserve releases due to declining balances in the consumer solar loan portfolio as a result of the Company's portfolio runoff strategy.</w:t>
      </w:r>
    </w:p>
    <w:p>
      <w:pPr>
        <w:pStyle w:val="TextBody"/>
        <w:bidi w:val="0"/>
        <w:spacing w:lineRule="auto" w:line="288" w:before="240" w:after="283"/>
        <w:jc w:val="both"/>
        <w:rPr/>
      </w:pPr>
      <w:r>
        <w:rPr>
          <w:rFonts w:ascii="Times New Roman;serif" w:hAnsi="Times New Roman;serif"/>
          <w:b w:val="false"/>
          <w:color w:val="000000"/>
          <w:sz w:val="20"/>
        </w:rPr>
        <w:t>Six Months Ended June 30, 2026</w:t>
      </w:r>
      <w:r>
        <w:rPr>
          <w:color w:val="000000"/>
        </w:rPr>
        <w:t xml:space="preserve"> </w:t>
      </w:r>
      <w:r>
        <w:rPr>
          <w:rFonts w:ascii="Times New Roman;serif" w:hAnsi="Times New Roman;serif"/>
          <w:b w:val="false"/>
          <w:i/>
          <w:color w:val="000000"/>
          <w:sz w:val="20"/>
        </w:rPr>
        <w:t xml:space="preserve">and </w:t>
      </w:r>
      <w:r>
        <w:rPr>
          <w:rFonts w:ascii="Times New Roman;serif" w:hAnsi="Times New Roman;serif"/>
          <w:b w:val="false"/>
          <w:color w:val="000000"/>
          <w:sz w:val="20"/>
        </w:rPr>
        <w:t>2025</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Provision for credit losses totaled an expense of $17.9 million for the six months ended June 30, 2026 compared to an expense of $5.5 million for the same period in 2025. Overall, the increase in provision for credit losses during the six months ended June 30, 2026 was primarily driven by a $10.3 million increase in specific reserves established or increased on $78.0 million of multifamily loans to a single-borrower after the borrower indicated an expected default during the three months ended March 31, 2026. The remaining provision was attributable to charge-offs on our consumer solar and commercial and industrial portfolios, additional specific reserves on nonperforming loans, and additional required reserves on the consumer solar portfolio from the ACL model.</w:t>
      </w:r>
      <w:r>
        <w:rPr>
          <w:color w:val="000000"/>
        </w:rPr>
        <w:t xml:space="preserve"> </w:t>
      </w:r>
      <w:r>
        <w:rPr>
          <w:rFonts w:ascii="Times New Roman;serif" w:hAnsi="Times New Roman;serif"/>
          <w:b w:val="false"/>
          <w:color w:val="000000"/>
          <w:sz w:val="20"/>
        </w:rPr>
        <w:t xml:space="preserve">This was partially offset by a reserve release on a construction loan that paid off, reserve releases due to declining balances in the consumer solar loan portfolio as a result of the Company's portfolio runoff strategy, and lower required reserves on C&amp;I loans. </w:t>
      </w:r>
    </w:p>
    <w:p>
      <w:pPr>
        <w:pStyle w:val="TextBody"/>
        <w:bidi w:val="0"/>
        <w:spacing w:lineRule="auto" w:line="288" w:before="240" w:after="283"/>
        <w:jc w:val="both"/>
        <w:rPr/>
      </w:pPr>
      <w:r>
        <w:rPr>
          <w:rFonts w:ascii="Times New Roman;serif" w:hAnsi="Times New Roman;serif"/>
          <w:b w:val="false"/>
          <w:color w:val="000000"/>
          <w:sz w:val="20"/>
        </w:rPr>
        <w:t>For a further discussion of the allowance, see “</w:t>
      </w:r>
      <w:r>
        <w:rPr>
          <w:rFonts w:ascii="Times New Roman;serif" w:hAnsi="Times New Roman;serif"/>
          <w:b w:val="false"/>
          <w:i/>
          <w:color w:val="000000"/>
          <w:sz w:val="20"/>
        </w:rPr>
        <w:t>Allowance for Credit Losses</w:t>
      </w:r>
      <w:r>
        <w:rPr>
          <w:color w:val="000000"/>
        </w:rPr>
        <w:t xml:space="preserve">” </w:t>
      </w:r>
      <w:r>
        <w:rPr>
          <w:rFonts w:ascii="Times New Roman;serif" w:hAnsi="Times New Roman;serif"/>
          <w:b w:val="false"/>
          <w:color w:val="000000"/>
          <w:sz w:val="20"/>
        </w:rPr>
        <w:t xml:space="preserve">below.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Non-Interest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gain or loss on sales of loans, changes in fair value on loans held-for-sale, income or losses from equity method investments, and other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non-interest income for the periods indicated:</w:t>
      </w:r>
    </w:p>
    <w:tbl>
      <w:tblPr>
        <w:tblW w:w="10205" w:type="dxa"/>
        <w:jc w:val="left"/>
        <w:tblInd w:w="0" w:type="dxa"/>
        <w:tblLayout w:type="fixed"/>
        <w:tblCellMar>
          <w:top w:w="28" w:type="dxa"/>
          <w:left w:w="28" w:type="dxa"/>
          <w:bottom w:w="28" w:type="dxa"/>
          <w:right w:w="28" w:type="dxa"/>
        </w:tblCellMar>
      </w:tblPr>
      <w:tblGrid>
        <w:gridCol w:w="1874"/>
        <w:gridCol w:w="1627"/>
        <w:gridCol w:w="1618"/>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187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Trust Department fees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Service charges on deposit accounts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Bank-owned life insurance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sale of securities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loans and changes in fair value on loans held-for-sale,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Equity method investments income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non-interest income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14,430 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June 30, 2026 and 2025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Non-interest income was </w:t>
      </w:r>
      <w:r>
        <w:rPr>
          <w:rFonts w:ascii="Times New Roman;serif" w:hAnsi="Times New Roman;serif"/>
          <w:b w:val="false"/>
          <w:color w:val="000000"/>
          <w:sz w:val="20"/>
          <w:shd w:fill="FFFFFF" w:val="clear"/>
        </w:rPr>
        <w:t>$12.3 million</w:t>
      </w:r>
      <w:r>
        <w:rPr>
          <w:color w:val="000000"/>
        </w:rPr>
        <w:t xml:space="preserve"> </w:t>
      </w:r>
      <w:r>
        <w:rPr>
          <w:rFonts w:ascii="Times New Roman;serif" w:hAnsi="Times New Roman;serif"/>
          <w:b w:val="false"/>
          <w:color w:val="000000"/>
          <w:sz w:val="20"/>
        </w:rPr>
        <w:t xml:space="preserve">for the three months ended June 30, 2026, compared to </w:t>
      </w:r>
      <w:r>
        <w:rPr>
          <w:rFonts w:ascii="Times New Roman;serif" w:hAnsi="Times New Roman;serif"/>
          <w:b w:val="false"/>
          <w:color w:val="000000"/>
          <w:sz w:val="20"/>
          <w:shd w:fill="FFFFFF" w:val="clear"/>
        </w:rPr>
        <w:t>$8.0 million</w:t>
      </w:r>
      <w:r>
        <w:rPr>
          <w:color w:val="000000"/>
        </w:rPr>
        <w:t xml:space="preserve"> </w:t>
      </w:r>
      <w:r>
        <w:rPr>
          <w:rFonts w:ascii="Times New Roman;serif" w:hAnsi="Times New Roman;serif"/>
          <w:b w:val="false"/>
          <w:color w:val="000000"/>
          <w:sz w:val="20"/>
        </w:rPr>
        <w:t>for the three months ended June 30, 2025. The increase of $4.3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June 30,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three months ended June 30, 2025</w:t>
      </w:r>
      <w:r>
        <w:rPr>
          <w:color w:val="000000"/>
          <w:shd w:fill="FFFFFF" w:val="clear"/>
        </w:rPr>
        <w:t xml:space="preserve"> </w:t>
      </w:r>
      <w:r>
        <w:rPr>
          <w:rFonts w:ascii="Times New Roman;serif" w:hAnsi="Times New Roman;serif"/>
          <w:b w:val="false"/>
          <w:color w:val="000000"/>
          <w:sz w:val="20"/>
        </w:rPr>
        <w:t xml:space="preserve">was primarily due to a </w:t>
      </w:r>
      <w:r>
        <w:rPr>
          <w:rFonts w:ascii="Times New Roman;serif" w:hAnsi="Times New Roman;serif"/>
          <w:b w:val="false"/>
          <w:color w:val="000000"/>
          <w:sz w:val="20"/>
          <w:shd w:fill="FFFFFF" w:val="clear"/>
        </w:rPr>
        <w:t>$3.0 million</w:t>
      </w:r>
      <w:r>
        <w:rPr>
          <w:color w:val="000000"/>
        </w:rPr>
        <w:t xml:space="preserve"> </w:t>
      </w:r>
      <w:r>
        <w:rPr>
          <w:rFonts w:ascii="Times New Roman;serif" w:hAnsi="Times New Roman;serif"/>
          <w:b w:val="false"/>
          <w:color w:val="000000"/>
          <w:sz w:val="20"/>
        </w:rPr>
        <w:t xml:space="preserve">increase in service charges on deposit accounts primarily due to increases in IntraFi Insured Cash Sweep network ("ICS") One-Way Sell income, a </w:t>
      </w:r>
      <w:r>
        <w:rPr>
          <w:rFonts w:ascii="Times New Roman;serif" w:hAnsi="Times New Roman;serif"/>
          <w:b w:val="false"/>
          <w:color w:val="000000"/>
          <w:sz w:val="20"/>
          <w:shd w:fill="FFFFFF" w:val="clear"/>
        </w:rPr>
        <w:t>$1.0 million decrease</w:t>
      </w:r>
      <w:r>
        <w:rPr>
          <w:color w:val="000000"/>
        </w:rPr>
        <w:t xml:space="preserve"> </w:t>
      </w:r>
      <w:r>
        <w:rPr>
          <w:rFonts w:ascii="Times New Roman;serif" w:hAnsi="Times New Roman;serif"/>
          <w:b w:val="false"/>
          <w:color w:val="000000"/>
          <w:sz w:val="20"/>
        </w:rPr>
        <w:t xml:space="preserve">in losses on sale of securities and other assets, and a </w:t>
      </w:r>
      <w:r>
        <w:rPr>
          <w:rFonts w:ascii="Times New Roman;serif" w:hAnsi="Times New Roman;serif"/>
          <w:b w:val="false"/>
          <w:color w:val="000000"/>
          <w:sz w:val="20"/>
          <w:shd w:fill="FFFFFF" w:val="clear"/>
        </w:rPr>
        <w:t xml:space="preserve">$0.4 million </w:t>
      </w:r>
      <w:r>
        <w:rPr>
          <w:rFonts w:ascii="Times New Roman;serif" w:hAnsi="Times New Roman;serif"/>
          <w:b w:val="false"/>
          <w:color w:val="000000"/>
          <w:sz w:val="20"/>
        </w:rPr>
        <w:t xml:space="preserve">increase in trust department fees income, offset by a </w:t>
      </w:r>
      <w:r>
        <w:rPr>
          <w:rFonts w:ascii="Times New Roman;serif" w:hAnsi="Times New Roman;serif"/>
          <w:b w:val="false"/>
          <w:color w:val="000000"/>
          <w:sz w:val="20"/>
          <w:shd w:fill="FFFFFF" w:val="clear"/>
        </w:rPr>
        <w:t xml:space="preserve">$0.1 million </w:t>
      </w:r>
      <w:r>
        <w:rPr>
          <w:rFonts w:ascii="Times New Roman;serif" w:hAnsi="Times New Roman;serif"/>
          <w:b w:val="false"/>
          <w:color w:val="000000"/>
          <w:sz w:val="20"/>
        </w:rPr>
        <w:t>decrease in bank-owned life insurance income.</w:t>
      </w:r>
    </w:p>
    <w:p>
      <w:pPr>
        <w:pStyle w:val="TextBody"/>
        <w:bidi w:val="0"/>
        <w:spacing w:lineRule="auto" w:line="276"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Six Months Ended June 30, 2026 and 2025 </w:t>
      </w:r>
    </w:p>
    <w:p>
      <w:pPr>
        <w:pStyle w:val="TextBody"/>
        <w:bidi w:val="0"/>
        <w:spacing w:lineRule="auto" w:line="276" w:before="240" w:after="283"/>
        <w:jc w:val="both"/>
        <w:rPr/>
      </w:pPr>
      <w:r>
        <w:rPr>
          <w:rFonts w:ascii="Times New Roman;serif" w:hAnsi="Times New Roman;serif"/>
          <w:b w:val="false"/>
          <w:color w:val="000000"/>
          <w:sz w:val="20"/>
        </w:rPr>
        <w:t xml:space="preserve">Non-interest income was </w:t>
      </w:r>
      <w:r>
        <w:rPr>
          <w:rFonts w:ascii="Times New Roman;serif" w:hAnsi="Times New Roman;serif"/>
          <w:b w:val="false"/>
          <w:color w:val="000000"/>
          <w:sz w:val="20"/>
          <w:shd w:fill="FFFFFF" w:val="clear"/>
        </w:rPr>
        <w:t>$25.6 million</w:t>
      </w:r>
      <w:r>
        <w:rPr>
          <w:color w:val="000000"/>
        </w:rPr>
        <w:t xml:space="preserve"> </w:t>
      </w:r>
      <w:r>
        <w:rPr>
          <w:rFonts w:ascii="Times New Roman;serif" w:hAnsi="Times New Roman;serif"/>
          <w:b w:val="false"/>
          <w:color w:val="000000"/>
          <w:sz w:val="20"/>
        </w:rPr>
        <w:t xml:space="preserve">for the six months ended June 30, 2026, compared to </w:t>
      </w:r>
      <w:r>
        <w:rPr>
          <w:rFonts w:ascii="Times New Roman;serif" w:hAnsi="Times New Roman;serif"/>
          <w:b w:val="false"/>
          <w:color w:val="000000"/>
          <w:sz w:val="20"/>
          <w:shd w:fill="FFFFFF" w:val="clear"/>
        </w:rPr>
        <w:t>$14.4 million</w:t>
      </w:r>
      <w:r>
        <w:rPr>
          <w:color w:val="000000"/>
        </w:rPr>
        <w:t xml:space="preserve"> </w:t>
      </w:r>
      <w:r>
        <w:rPr>
          <w:rFonts w:ascii="Times New Roman;serif" w:hAnsi="Times New Roman;serif"/>
          <w:b w:val="false"/>
          <w:color w:val="000000"/>
          <w:sz w:val="20"/>
        </w:rPr>
        <w:t xml:space="preserve">for the six months ended June 30, 2025. The increase of </w:t>
      </w:r>
      <w:r>
        <w:rPr>
          <w:rFonts w:ascii="Times New Roman;serif" w:hAnsi="Times New Roman;serif"/>
          <w:b w:val="false"/>
          <w:color w:val="000000"/>
          <w:sz w:val="20"/>
          <w:shd w:fill="FFFFFF" w:val="clear"/>
        </w:rPr>
        <w:t xml:space="preserve">$11.2 million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 xml:space="preserve">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9"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both"/>
        <w:rPr/>
      </w:pP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rPr>
        <w:t xml:space="preserve">was primarily due to a </w:t>
      </w:r>
      <w:r>
        <w:rPr>
          <w:rFonts w:ascii="Times New Roman;serif" w:hAnsi="Times New Roman;serif"/>
          <w:b w:val="false"/>
          <w:color w:val="000000"/>
          <w:sz w:val="20"/>
          <w:shd w:fill="FFFFFF" w:val="clear"/>
        </w:rPr>
        <w:t>$6.7 million</w:t>
      </w:r>
      <w:r>
        <w:rPr>
          <w:color w:val="000000"/>
        </w:rPr>
        <w:t xml:space="preserve"> </w:t>
      </w:r>
      <w:r>
        <w:rPr>
          <w:rFonts w:ascii="Times New Roman;serif" w:hAnsi="Times New Roman;serif"/>
          <w:b w:val="false"/>
          <w:color w:val="000000"/>
          <w:sz w:val="20"/>
        </w:rPr>
        <w:t xml:space="preserve">increase in service charges on deposit accounts primarily due to increases in ICS One-Way Sell income, a </w:t>
      </w:r>
      <w:r>
        <w:rPr>
          <w:rFonts w:ascii="Times New Roman;serif" w:hAnsi="Times New Roman;serif"/>
          <w:b w:val="false"/>
          <w:color w:val="000000"/>
          <w:sz w:val="20"/>
          <w:shd w:fill="FFFFFF" w:val="clear"/>
        </w:rPr>
        <w:t xml:space="preserve">$3.4 million </w:t>
      </w:r>
      <w:r>
        <w:rPr>
          <w:rFonts w:ascii="Times New Roman;serif" w:hAnsi="Times New Roman;serif"/>
          <w:b w:val="false"/>
          <w:color w:val="000000"/>
          <w:sz w:val="20"/>
        </w:rPr>
        <w:t xml:space="preserve">increase in equity investment income, a </w:t>
      </w:r>
      <w:r>
        <w:rPr>
          <w:rFonts w:ascii="Times New Roman;serif" w:hAnsi="Times New Roman;serif"/>
          <w:b w:val="false"/>
          <w:color w:val="000000"/>
          <w:sz w:val="20"/>
          <w:shd w:fill="FFFFFF" w:val="clear"/>
        </w:rPr>
        <w:t>$0.5 million</w:t>
      </w:r>
      <w:r>
        <w:rPr>
          <w:color w:val="000000"/>
        </w:rPr>
        <w:t xml:space="preserve"> </w:t>
      </w:r>
      <w:r>
        <w:rPr>
          <w:rFonts w:ascii="Times New Roman;serif" w:hAnsi="Times New Roman;serif"/>
          <w:b w:val="false"/>
          <w:color w:val="000000"/>
          <w:sz w:val="20"/>
        </w:rPr>
        <w:t xml:space="preserve">increase in bank-owned life insurance income, and a </w:t>
      </w:r>
      <w:r>
        <w:rPr>
          <w:rFonts w:ascii="Times New Roman;serif" w:hAnsi="Times New Roman;serif"/>
          <w:b w:val="false"/>
          <w:color w:val="000000"/>
          <w:sz w:val="20"/>
          <w:shd w:fill="FFFFFF" w:val="clear"/>
        </w:rPr>
        <w:t>$0.4 million</w:t>
      </w:r>
      <w:r>
        <w:rPr>
          <w:color w:val="000000"/>
        </w:rPr>
        <w:t xml:space="preserve"> </w:t>
      </w:r>
      <w:r>
        <w:rPr>
          <w:rFonts w:ascii="Times New Roman;serif" w:hAnsi="Times New Roman;serif"/>
          <w:b w:val="false"/>
          <w:color w:val="000000"/>
          <w:sz w:val="20"/>
        </w:rPr>
        <w:t xml:space="preserve">increase in trust fees income, partially offset by a </w:t>
      </w:r>
      <w:r>
        <w:rPr>
          <w:rFonts w:ascii="Times New Roman;serif" w:hAnsi="Times New Roman;serif"/>
          <w:b w:val="false"/>
          <w:color w:val="000000"/>
          <w:sz w:val="20"/>
          <w:shd w:fill="FFFFFF" w:val="clear"/>
        </w:rPr>
        <w:t xml:space="preserve">$0.9 million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in gain on sale of loans and changes in fair value on loans held-for-sale, and </w:t>
      </w:r>
      <w:r>
        <w:rPr>
          <w:rFonts w:ascii="Times New Roman;serif" w:hAnsi="Times New Roman;serif"/>
          <w:b w:val="false"/>
          <w:color w:val="000000"/>
          <w:sz w:val="20"/>
        </w:rPr>
        <w:t xml:space="preserve">a </w:t>
      </w:r>
      <w:r>
        <w:rPr>
          <w:rFonts w:ascii="Times New Roman;serif" w:hAnsi="Times New Roman;serif"/>
          <w:b w:val="false"/>
          <w:color w:val="000000"/>
          <w:sz w:val="20"/>
          <w:shd w:fill="FFFFFF" w:val="clear"/>
        </w:rPr>
        <w:t>$0.8 million</w:t>
      </w:r>
      <w:r>
        <w:rPr>
          <w:color w:val="000000"/>
        </w:rPr>
        <w:t xml:space="preserve"> </w:t>
      </w:r>
      <w:r>
        <w:rPr>
          <w:rFonts w:ascii="Times New Roman;serif" w:hAnsi="Times New Roman;serif"/>
          <w:b w:val="false"/>
          <w:color w:val="000000"/>
          <w:sz w:val="20"/>
        </w:rPr>
        <w:t>decrease in losses on sale of securities and other assets</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Non-Interest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Non-interest expense includes compensation and employee benefits, occupancy and depreciation expense, professional fees (including legal, accounting and other professional services), technology, office maintenance and depreciation, amortization of intangible assets, advertising and promotion, federal deposit insurance premiums, and other expenses. The following table presents non-interest expense for the periods indicated: </w:t>
      </w:r>
    </w:p>
    <w:tbl>
      <w:tblPr>
        <w:tblW w:w="8369" w:type="dxa"/>
        <w:jc w:val="left"/>
        <w:tblInd w:w="0" w:type="dxa"/>
        <w:tblLayout w:type="fixed"/>
        <w:tblCellMar>
          <w:top w:w="28" w:type="dxa"/>
          <w:left w:w="28" w:type="dxa"/>
          <w:bottom w:w="28" w:type="dxa"/>
          <w:right w:w="28" w:type="dxa"/>
        </w:tblCellMar>
      </w:tblPr>
      <w:tblGrid>
        <w:gridCol w:w="1149"/>
        <w:gridCol w:w="1010"/>
        <w:gridCol w:w="102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Occupancy and depreciation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Professional fees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Office maintenance and depreciation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and promotion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deposit insurance premiums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non-interest expense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June 30, 2026 and 2025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Non-interest expense for the three months ended June 30, 2026 was $47.3 million, an increase of $6.7 million from $40.6 million for the three months ended June 30, 2025. The increase was driven by a $3.9 million increase in compensation and benefits expense consisting of accruals related to increased performance, as well as for the additional payroll period in 2026, a $1.9 million increase in technology expense related to implementation of key modernization projects, $0.6 million increase in other expenses, and a $0.5 million increase in advertising and promotion expense, partially offset by $0.3 million decrease in professional fees.</w:t>
      </w:r>
    </w:p>
    <w:p>
      <w:pPr>
        <w:pStyle w:val="TextBody"/>
        <w:bidi w:val="0"/>
        <w:spacing w:lineRule="auto" w:line="276"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Six Months Ended June 30, 2026 and 2025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Non-interest expense for the six months ended June 30, 2026 was $93.2 million, an increase of $11.0 million from $82.2 million for the six months ended June 30, 2025. The increase was driven by a $6.3 million increase in compensation and benefits expense consisting of accruals related to increased performance, a $2.9 million increase in technology expense related to implementation of key modernization projects, a $1.0 million increase in other expenses to attract talent and support revenue generation, a $0.9 million increase in occupancy and depreciation expense related to office and branch relocation, a $0.9 million increase in advertising and promotion expense, and $0.2 million increase in federal deposit insurance premium expense, partially offset by $1.3 million decrease in professional fees.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June 30,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had a provision for income tax expense of $11.9 million for the three months ended June 30, 2026, compared to $9.5 million for the three months ended June 30, 2025. Our effective tax rate for the three months ended June 30, 2026 was 25.4% compared to 26.7% for the three months ended June 30, 2025. The decrease in the effective tax rate for three months ended June 30, 2026 is primarily driven by a recognition of a $0.5 million solar tax credit purchased in the quarter. </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Six Months Ended June 30,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had a provision for income tax expense of $20.7 million for the six months ended June 30, 2026, compared to $19.2 million for the six months ended June 30, 2025. Our effective tax rate for the six months ended June 30, 2026 was 25.7% compared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60" name="Frame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27.3% for the six months ended June 30, 2025. The decrease in the effective tax rate for six months ended June 30, 2026 is primarily driven by additional discrete tax liabilities in the six months ended June 30, 2025 related to a city and state tax examination, which was resolved in 2025, and by a recognition of a $0.5 million solar tax credit purchased in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Balance Sheet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total assets were $9.41 billion at June 30, 2026, compared to $8.87 billion at December 31, 2025. Notable changes within individual balance sheet line items include a $509.2 million increase in deposits, a $474.8 million increase in securities, a $180.4 million increase in net loans receivable, a $123.4 million decrease in cash, and a $10.6 million increase in resell agreements.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Investment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 Investments are categorized as either traditional investments or Property Assessed Clean Energy ("PACE") assessments.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GSE obligations. GSEs include the Federal Home Loan Mortgage Corporation (“FHLMC”), the Federal National Mortgage Association (“FNMA”), the Government National Mortgage Association (“GNMA”) and the Small Business Administration (“SBA”). GNMA is a wholly-owned U.S. Government corporation whereas FHLMC and FNMA are private. Mortgage-related securities may include mortgage pass-through certificates, participation certificates and CMOs. We invest in non-GSE securities, including PACE assessments,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securities portfolio consists of securities classified as available for sale and held-to-maturity. There were no trading securities in our investment portfolio at June 30, 2026 or at December 31, 2025.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available for sale securities portfolio consists of residential PACE assessments, AB securities, GSE commercial and residential certificates and other debt securities. All available for sale securities are carried at fair value and may be used for liquidity purposes should management consider it to be in our best interest. At June 30, 2026 and December 31, 2025, we had available for sale securities of $2.24 billion and $1.78 billion, respectively. </w:t>
      </w:r>
    </w:p>
    <w:p>
      <w:pPr>
        <w:pStyle w:val="TextBody"/>
        <w:bidi w:val="0"/>
        <w:spacing w:lineRule="auto" w:line="288" w:before="240" w:after="283"/>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ur held-to-maturity securities portfolio primarily consists of PACE assessments, tax-exempt municipal securities, GSE commercial and residential certificates and other debt. We carry these securities at amortized cost. We had held-to-maturity securities of $1.57 billion at June 30, 2026, and $1.55 billion at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purchased a total of $890.6 million securities consisting of both available for sale and held-to-maturity, and sold available for sale securities resulting in proceeds of $135.2 million and a net realized loss of $0.9 million as part of normal and ongoing balance sheet management. During the six months ended June 30, 2025 we purchased a total of $508.5 million securities consisting of both available for sale and held-to-maturity, and sold available for sale securities resulting in proceeds of $56.1 million and a net realized loss of $1.7 million as part of routine and ongoing balance sheet management.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measures expected credit losses on held-to-maturity debt securities on a collective basis by major security type. Accrued interest receivable on held-to-maturity debt securities totaled $23.7 million at June 30, 2026 and $29.8 million at December 31, 2025, and is excluded from the estimate of credit losses, as accrued interest receivable is reversed for securities placed on nonaccrual status. The allowance for credit losses for held-to-maturity securities at June 30, 2026 was $0.8 million compared to $0.7 million at December 31, 2025. The provision for credit losses for held-to-maturity securities was an expense of $38.0 thousand for the three months ended June 30, 2026 and $43.0 thousand for the six months ended June 30, 2026, compared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an expense of $3.0 thousand for the three months ended June 30, 2025 and an immaterial recovery for the six months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available-for-sale debt securities in an unrealized loss position, the Company first assesses whether it intends to sell, or it is more likely than not that it will be required to sell the security before the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an expected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the allowance for credit losses are recorded as credit loss expense (or recovery). Losses are charged against the allowance when management believes the uncollectibility of an available-for-sale security is confirmed or when either of the criteria regarding intent or requirement to sell is met.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Accrued interest receivable on available-for-sale debt securities totaled $15.9 million at June 30, 2026 and $11.8 million at December 31, 2025, and is excluded from the estimate of credit losses, as accrued interest receivable is reversed for securities placed on nonaccrual status.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62"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approximately 58.8% of our securities portfolio is classified as “available for sale.” Our securities portfolio has a weighted average yield of 4.98% and an estimated weighted average life of 5.4 years. In total, our securities portfolio including FHLBNY stock represented 40.5% of total interest-earning assets as of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investment portfolio, using market value for available for sale securities and amortized cost excluding the allowance for credit losses for held-to-maturity securities, as of the dates indicated.</w:t>
      </w:r>
    </w:p>
    <w:tbl>
      <w:tblPr>
        <w:tblW w:w="8596" w:type="dxa"/>
        <w:jc w:val="left"/>
        <w:tblInd w:w="0" w:type="dxa"/>
        <w:tblLayout w:type="fixed"/>
        <w:tblCellMar>
          <w:top w:w="28" w:type="dxa"/>
          <w:left w:w="28" w:type="dxa"/>
          <w:bottom w:w="28" w:type="dxa"/>
          <w:right w:w="28" w:type="dxa"/>
        </w:tblCellMar>
      </w:tblPr>
      <w:tblGrid>
        <w:gridCol w:w="124"/>
        <w:gridCol w:w="879"/>
        <w:gridCol w:w="879"/>
        <w:gridCol w:w="882"/>
        <w:gridCol w:w="211"/>
        <w:gridCol w:w="976"/>
        <w:gridCol w:w="109"/>
        <w:gridCol w:w="109"/>
        <w:gridCol w:w="109"/>
        <w:gridCol w:w="109"/>
        <w:gridCol w:w="307"/>
        <w:gridCol w:w="309"/>
        <w:gridCol w:w="483"/>
        <w:gridCol w:w="109"/>
        <w:gridCol w:w="109"/>
        <w:gridCol w:w="109"/>
        <w:gridCol w:w="211"/>
        <w:gridCol w:w="976"/>
        <w:gridCol w:w="109"/>
        <w:gridCol w:w="109"/>
        <w:gridCol w:w="109"/>
        <w:gridCol w:w="109"/>
        <w:gridCol w:w="307"/>
        <w:gridCol w:w="309"/>
        <w:gridCol w:w="544"/>
      </w:tblGrid>
      <w:tr>
        <w:trPr/>
        <w:tc>
          <w:tcPr>
            <w:tcW w:w="1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br/>
              <w:t>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br/>
              <w:t>Portfolio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 for sale:</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Traditional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certificates &amp; CMOs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Non-GSE certificates &amp; CMOs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PACE assessments: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PACE assessments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available for sale </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Held-to-maturity: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Traditional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certificates &amp; CMOs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Non-GSE certificates &amp; CMOs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PACE assessments: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PACE assessments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PACE assessments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held-to-maturity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securities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3,813,168 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3,338,310 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63"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 contractual maturities and yields for the available-for sale and held-to-maturity securities portfolios:</w:t>
      </w:r>
    </w:p>
    <w:tbl>
      <w:tblPr>
        <w:tblW w:w="12275" w:type="dxa"/>
        <w:jc w:val="center"/>
        <w:tblInd w:w="0" w:type="dxa"/>
        <w:tblLayout w:type="fixed"/>
        <w:tblCellMar>
          <w:top w:w="28" w:type="dxa"/>
          <w:left w:w="28" w:type="dxa"/>
          <w:bottom w:w="28" w:type="dxa"/>
          <w:right w:w="28" w:type="dxa"/>
        </w:tblCellMar>
      </w:tblPr>
      <w:tblGrid>
        <w:gridCol w:w="124"/>
        <w:gridCol w:w="859"/>
        <w:gridCol w:w="416"/>
        <w:gridCol w:w="271"/>
        <w:gridCol w:w="211"/>
        <w:gridCol w:w="721"/>
        <w:gridCol w:w="109"/>
        <w:gridCol w:w="109"/>
        <w:gridCol w:w="109"/>
        <w:gridCol w:w="109"/>
        <w:gridCol w:w="206"/>
        <w:gridCol w:w="200"/>
        <w:gridCol w:w="501"/>
        <w:gridCol w:w="109"/>
        <w:gridCol w:w="109"/>
        <w:gridCol w:w="109"/>
        <w:gridCol w:w="211"/>
        <w:gridCol w:w="826"/>
        <w:gridCol w:w="109"/>
        <w:gridCol w:w="109"/>
        <w:gridCol w:w="109"/>
        <w:gridCol w:w="109"/>
        <w:gridCol w:w="206"/>
        <w:gridCol w:w="200"/>
        <w:gridCol w:w="501"/>
        <w:gridCol w:w="109"/>
        <w:gridCol w:w="109"/>
        <w:gridCol w:w="109"/>
        <w:gridCol w:w="211"/>
        <w:gridCol w:w="826"/>
        <w:gridCol w:w="109"/>
        <w:gridCol w:w="109"/>
        <w:gridCol w:w="109"/>
        <w:gridCol w:w="109"/>
        <w:gridCol w:w="206"/>
        <w:gridCol w:w="200"/>
        <w:gridCol w:w="501"/>
        <w:gridCol w:w="109"/>
        <w:gridCol w:w="109"/>
        <w:gridCol w:w="109"/>
        <w:gridCol w:w="211"/>
        <w:gridCol w:w="976"/>
        <w:gridCol w:w="109"/>
        <w:gridCol w:w="109"/>
        <w:gridCol w:w="109"/>
        <w:gridCol w:w="109"/>
        <w:gridCol w:w="213"/>
        <w:gridCol w:w="193"/>
        <w:gridCol w:w="560"/>
      </w:tblGrid>
      <w:tr>
        <w:trPr/>
        <w:tc>
          <w:tcPr>
            <w:tcW w:w="12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51"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Contractual Maturity as of June 30, 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Year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to Five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Five to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after Ten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 Average</w:t>
            </w:r>
          </w:p>
          <w:p>
            <w:pPr>
              <w:pStyle w:val="TableContents"/>
              <w:bidi w:val="0"/>
              <w:spacing w:lineRule="auto" w:line="240" w:before="0" w:after="0"/>
              <w:jc w:val="center"/>
              <w:rPr/>
            </w:pPr>
            <w:r>
              <w:rPr>
                <w:rFonts w:ascii="Times New Roman;serif" w:hAnsi="Times New Roman;serif"/>
                <w:b w:val="false"/>
                <w:color w:val="000000"/>
                <w:sz w:val="20"/>
              </w:rPr>
              <w:t xml:space="preserve">Yield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Weighted Average</w:t>
              <w:br/>
              <w:t xml:space="preserve">Yield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Weighted Average</w:t>
              <w:br/>
              <w:t xml:space="preserve">Yield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Weighted Average</w:t>
              <w:br/>
              <w:t xml:space="preserve">Yield </w:t>
            </w:r>
            <w:r>
              <w:rPr>
                <w:rFonts w:ascii="Times New Roman;serif" w:hAnsi="Times New Roman;serif"/>
                <w:b w:val="false"/>
                <w:color w:val="000000"/>
                <w:sz w:val="13"/>
              </w:rPr>
              <w:t>(1)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 for 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Traditional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certificates &amp; CMOs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Non-GSE certificates &amp; CMOs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PACE assessments: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PACE assessments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Held-to-maturity: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Traditional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certificates &amp; CMOs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Non-GSE certificates &amp; CMOs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PACE assessments: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PACE assessments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PACE assessments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securities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3,263,576 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Estimated yield based on book price (amortized cost divided by par) using estimated prepayments and no change in interest rates.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4"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securities portfolio primarily consists of high quality investments in mortgage-backed securities to government sponsored entities and other asset-backed securities and PACE assessments. All non-agency securities, composed of non-agency commercial mortgage-backed securities, collateralized loan obligations, non-agency mortgage-backed securities, and asset-backed securities, are senior tranche and approximately 89.0% carry AAA credit ratings and 11.0% carry A credit ratings or higher.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breakdown of our asset-backed securities by sector and ratings at carrying value based on the fair value of available for sale securities and amortized cost of held-to-maturity securities as of June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872"/>
        <w:gridCol w:w="872"/>
        <w:gridCol w:w="843"/>
        <w:gridCol w:w="109"/>
        <w:gridCol w:w="196"/>
        <w:gridCol w:w="736"/>
        <w:gridCol w:w="109"/>
        <w:gridCol w:w="209"/>
        <w:gridCol w:w="212"/>
        <w:gridCol w:w="256"/>
        <w:gridCol w:w="305"/>
        <w:gridCol w:w="305"/>
        <w:gridCol w:w="306"/>
        <w:gridCol w:w="210"/>
        <w:gridCol w:w="211"/>
        <w:gridCol w:w="375"/>
        <w:gridCol w:w="209"/>
        <w:gridCol w:w="212"/>
        <w:gridCol w:w="382"/>
        <w:gridCol w:w="165"/>
        <w:gridCol w:w="166"/>
        <w:gridCol w:w="309"/>
        <w:gridCol w:w="164"/>
        <w:gridCol w:w="167"/>
        <w:gridCol w:w="256"/>
        <w:gridCol w:w="152"/>
        <w:gridCol w:w="152"/>
        <w:gridCol w:w="357"/>
        <w:gridCol w:w="123"/>
        <w:gridCol w:w="122"/>
        <w:gridCol w:w="292"/>
        <w:gridCol w:w="210"/>
        <w:gridCol w:w="211"/>
        <w:gridCol w:w="306"/>
      </w:tblGrid>
      <w:tr>
        <w:trPr/>
        <w:tc>
          <w:tcPr>
            <w:tcW w:w="12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Expected Avg.</w:t>
              <w:br/>
              <w:t>Life in Years</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Credit Ratings</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Highest Rating if split rated</w:t>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br/>
              <w:t>Floating</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AAA</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AA</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A</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BBB</w:t>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%Not</w:t>
              <w:br/>
              <w:t xml:space="preserve">Rated </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Loan Obligation ("CLO") Commercial &amp; Industrial</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Student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Securities: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910,602 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3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0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4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gridSpan w:val="2"/>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Lending-related income is the most important component of our net interest income and is the main driver of our results of operations. Total loans, net of deferred origination fees and costs, and allowance for credit losses, were $5.08 billion as of June 30, 2026 compared to $4.90 billion as of December 31, 2025. Within our commercial loan portfolio, our primary focus has been on C&amp;I, multifamily and CRE lending. We intend to focus any organic growth in our loan portfolio on these lending areas as part of our strategic plan.</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 sets </w:t>
      </w:r>
      <w:r>
        <w:rPr>
          <w:rFonts w:ascii="Times New Roman;serif" w:hAnsi="Times New Roman;serif"/>
          <w:b w:val="false"/>
          <w:color w:val="000000"/>
          <w:sz w:val="20"/>
        </w:rPr>
        <w:t>forth the composition of our loan portfolio, as of the dates indicated:</w:t>
      </w:r>
    </w:p>
    <w:tbl>
      <w:tblPr>
        <w:tblW w:w="9819" w:type="dxa"/>
        <w:jc w:val="left"/>
        <w:tblInd w:w="0" w:type="dxa"/>
        <w:tblLayout w:type="fixed"/>
        <w:tblCellMar>
          <w:top w:w="28" w:type="dxa"/>
          <w:left w:w="28" w:type="dxa"/>
          <w:bottom w:w="28" w:type="dxa"/>
          <w:right w:w="28" w:type="dxa"/>
        </w:tblCellMar>
      </w:tblPr>
      <w:tblGrid>
        <w:gridCol w:w="124"/>
        <w:gridCol w:w="1008"/>
        <w:gridCol w:w="1008"/>
        <w:gridCol w:w="1013"/>
        <w:gridCol w:w="109"/>
        <w:gridCol w:w="211"/>
        <w:gridCol w:w="976"/>
        <w:gridCol w:w="109"/>
        <w:gridCol w:w="109"/>
        <w:gridCol w:w="109"/>
        <w:gridCol w:w="109"/>
        <w:gridCol w:w="318"/>
        <w:gridCol w:w="318"/>
        <w:gridCol w:w="803"/>
        <w:gridCol w:w="109"/>
        <w:gridCol w:w="109"/>
        <w:gridCol w:w="109"/>
        <w:gridCol w:w="211"/>
        <w:gridCol w:w="976"/>
        <w:gridCol w:w="109"/>
        <w:gridCol w:w="109"/>
        <w:gridCol w:w="109"/>
        <w:gridCol w:w="109"/>
        <w:gridCol w:w="362"/>
        <w:gridCol w:w="301"/>
        <w:gridCol w:w="882"/>
      </w:tblGrid>
      <w:tr>
        <w:trPr/>
        <w:tc>
          <w:tcPr>
            <w:tcW w:w="12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 loans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solar</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1,590,631 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loans </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4,957,273 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loans, net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5,080,146 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4,899,687 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5" name="Frame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Commercial loan portfolio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commercial loan portfolio comprised 70.3% of our total loan portfolio at June 30, 2026 and 67.9% of our total loan portfolio at December 31, 2025. The major categories of our commercial loan portfolio are discussed below:</w:t>
      </w:r>
    </w:p>
    <w:p>
      <w:pPr>
        <w:pStyle w:val="TextBody"/>
        <w:bidi w:val="0"/>
        <w:spacing w:lineRule="auto" w:line="288" w:before="240" w:after="283"/>
        <w:jc w:val="both"/>
        <w:rPr/>
      </w:pPr>
      <w:r>
        <w:rPr>
          <w:rFonts w:ascii="Times New Roman;serif" w:hAnsi="Times New Roman;serif"/>
          <w:b w:val="false"/>
          <w:i/>
          <w:color w:val="000000"/>
          <w:sz w:val="20"/>
        </w:rPr>
        <w:t xml:space="preserve">C&amp;I. </w:t>
      </w:r>
      <w:r>
        <w:rPr>
          <w:rFonts w:ascii="Times New Roman;serif" w:hAnsi="Times New Roman;serif"/>
          <w:b w:val="false"/>
          <w:color w:val="000000"/>
          <w:sz w:val="20"/>
        </w:rPr>
        <w:t>Our C&amp;I loans are generally made to small and medium-sized manufacturers and wholesale, retail and service-based businesses to provide either working capital or to finance major capital expenditures. In addition, our C&amp;I portfolio includes commercial solar financings; for many of these we are the sole lender, while for some others we are either the lead bank or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 that generate cash flow). The average size of our C&amp;I loans at June 30, 2026 by exposure was $4.3 million with a median size of $0.9 million. Our lending strategy focuses on developing full customer relationships including deposits, cash management, and lending. The businesses that we focus on are generally mission aligned with our core values, including organic and natural products, sustainable companies, clean energy, nonprofits, and B Corporations</w:t>
      </w:r>
      <w:r>
        <w:rPr>
          <w:color w:val="000000"/>
        </w:rPr>
        <w:t xml:space="preserve"> </w:t>
      </w:r>
      <w:r>
        <w:rPr>
          <w:rFonts w:ascii="Times New Roman;serif" w:hAnsi="Times New Roman;serif"/>
          <w:b w:val="false"/>
          <w:color w:val="000000"/>
          <w:sz w:val="13"/>
        </w:rPr>
        <w:t>TM</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C&amp;I loans totaled $1.31 billion at June 30, 2026, which comprised 25.4% of our total loan portfolio. During the six months ended June 30, 2026, the C&amp;I loan portfolio decreased by 2.1% from $1.33 billion at December 31, 2025.</w:t>
      </w:r>
    </w:p>
    <w:p>
      <w:pPr>
        <w:pStyle w:val="TextBody"/>
        <w:bidi w:val="0"/>
        <w:spacing w:lineRule="auto" w:line="288" w:before="240" w:after="283"/>
        <w:jc w:val="both"/>
        <w:rPr/>
      </w:pPr>
      <w:r>
        <w:rPr>
          <w:rFonts w:ascii="Times New Roman;serif" w:hAnsi="Times New Roman;serif"/>
          <w:b w:val="false"/>
          <w:i/>
          <w:color w:val="000000"/>
          <w:sz w:val="20"/>
        </w:rPr>
        <w:t>Multifamily</w:t>
      </w:r>
      <w:r>
        <w:rPr>
          <w:rFonts w:ascii="Times New Roman;serif" w:hAnsi="Times New Roman;serif"/>
          <w:b w:val="false"/>
          <w:color w:val="000000"/>
          <w:sz w:val="20"/>
        </w:rPr>
        <w:t>. Our multifamily loans are generally used to purchase or refinance apartment buildings of five units or more, which collateralize the loan, in major metropolitan areas within our markets. Multifamily loans have 65% of their exposure in New York City. Our multifamily loans have been underwritten under stringent guidelines on loan-to-value and debt service coverage ratios that are designed to mitigate credit and concentration risk in this loan category. The average current LTV, based on underwriting appraisal value, of our multifamily loans is approximately 55%.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multifamily loans totaled $1.86 billion at June 30, 2026, which comprised 36.2% of our total loan portfolio. During the six months ended June 30, 2026, the multifamily loan portfolio increased by 13.2% from $1.64 billion at December 31, 2025.</w:t>
      </w:r>
    </w:p>
    <w:p>
      <w:pPr>
        <w:pStyle w:val="TextBody"/>
        <w:bidi w:val="0"/>
        <w:spacing w:lineRule="auto" w:line="288" w:before="240" w:after="283"/>
        <w:jc w:val="both"/>
        <w:rPr/>
      </w:pPr>
      <w:r>
        <w:rPr>
          <w:rFonts w:ascii="Times New Roman;serif" w:hAnsi="Times New Roman;serif"/>
          <w:b w:val="false"/>
          <w:i/>
          <w:color w:val="000000"/>
          <w:sz w:val="20"/>
        </w:rPr>
        <w:t xml:space="preserve">CRE. </w:t>
      </w:r>
      <w:r>
        <w:rPr>
          <w:rFonts w:ascii="Times New Roman;serif" w:hAnsi="Times New Roman;serif"/>
          <w:b w:val="false"/>
          <w:color w:val="000000"/>
          <w:sz w:val="20"/>
        </w:rPr>
        <w:t>Our CRE loans are used to purchase or refinance office buildings, retail centers, industrial facilities, medical facilities and mixed-used buildings. CRE loans have 55% of their exposure in New York City. Our CRE loans have been underwritten under stringent guidelines on loan-to-value and debt service coverage ratios that are designed to mitigate credit and concentration risk in this loan category. The average current LTV, based on underwriting appraisal value, of our CRE loans is approximately 44%.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CRE loans totaled $436.1 million at June 30, 2026, which comprised 8.5% of our total loan portfolio. During the six months ended June 30, 2026, the CRE loan portfolio increased by 20.1% from $363.3 million at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Retail loan portfolio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retail loan portfolio comprised 29.7% of our total loan portfolio at June 30, 2026 and 32.1% of our loan portfolio at December 31, 2025. The major categories of our retail loan portfolio are discussed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Residential real estate lending</w:t>
      </w:r>
      <w:r>
        <w:rPr>
          <w:rFonts w:ascii="Times New Roman;serif" w:hAnsi="Times New Roman;serif"/>
          <w:b w:val="false"/>
          <w:i/>
          <w:color w:val="000000"/>
          <w:sz w:val="22"/>
        </w:rPr>
        <w:t>.</w:t>
      </w:r>
      <w:r>
        <w:rPr>
          <w:color w:val="000000"/>
        </w:rPr>
        <w:t> </w:t>
      </w:r>
      <w:r>
        <w:rPr>
          <w:rFonts w:ascii="Times New Roman;serif" w:hAnsi="Times New Roman;serif"/>
          <w:b w:val="false"/>
          <w:color w:val="000000"/>
          <w:sz w:val="20"/>
        </w:rPr>
        <w:t xml:space="preserve">Our portfolio of originated one-to-four family real estate loans to individuals is based primarily in our geographic markets, but also a minority of residential loans are to individuals outside our geographic markets, some of which are affinity mortgage programs we have developed for members of certain commercial customers, such as the Service Employees International Union and American Federation of Teachers. Our residential loans are primarily closed-end mortgage loans, secured by a first lien on one-to-four family dwellings primarily in our geographic footprint. The dwellings are typically residential structures consisting of principal residences, second or vacation homes and investment properties, with property types including single family homes, two-to-four unit homes, condominiums, and cooperative apartments. Our residential 1-4 family mortgage loans are residential mortgages that are primarily secured by single-family homes, which can be owner occupied or investor owned. Beginning in February 2026, in order to maintain strong client relationships, the Company entered into a marketing services agreement with Embrace Home Loans to refer its customers for residential loans services, while advancing its broader strategic focus.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residential real estate lending loans totaled $1.20 billion at June 30, 2026, which decreased by 3.1% from $1.24 billion at December 31, 2025. The residential real estate portfolio comprised 78.5% of our retail loan portfolio and 23.3% of our total loan portfolio, and is 99% first mortgage loans and 1% second mortgage loans.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6"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val="false"/>
          <w:i/>
          <w:color w:val="000000"/>
          <w:sz w:val="20"/>
        </w:rPr>
        <w:t xml:space="preserve">Consumer solar. </w:t>
      </w:r>
      <w:r>
        <w:rPr>
          <w:rFonts w:ascii="Times New Roman;serif" w:hAnsi="Times New Roman;serif"/>
          <w:b w:val="false"/>
          <w:color w:val="000000"/>
          <w:sz w:val="20"/>
        </w:rPr>
        <w:t xml:space="preserve">Our consumer solar portfolio is comprised of purchased residential solar loans, secured by Uniform Commercial Code financing statements. Our consumer solar portfolio is fully acquired and is in run-off mode. Our consumer solar loans totaled $303.5 million at June 30, 2026, which comprised 5.9% of our total loan portfolio, compared to $325.2 million, or 6.6% of our total loan portfolio, at December 31, 2025. </w:t>
      </w:r>
    </w:p>
    <w:p>
      <w:pPr>
        <w:pStyle w:val="TextBody"/>
        <w:bidi w:val="0"/>
        <w:spacing w:lineRule="auto" w:line="288" w:before="240" w:after="283"/>
        <w:jc w:val="both"/>
        <w:rPr/>
      </w:pPr>
      <w:r>
        <w:rPr>
          <w:rFonts w:ascii="Times New Roman;serif" w:hAnsi="Times New Roman;serif"/>
          <w:b w:val="false"/>
          <w:i/>
          <w:color w:val="000000"/>
          <w:sz w:val="20"/>
        </w:rPr>
        <w:t xml:space="preserve">Consumer and other. </w:t>
      </w:r>
      <w:r>
        <w:rPr>
          <w:rFonts w:ascii="Times New Roman;serif" w:hAnsi="Times New Roman;serif"/>
          <w:b w:val="false"/>
          <w:color w:val="000000"/>
          <w:sz w:val="20"/>
        </w:rPr>
        <w:t xml:space="preserve">Our consumer and other portfolio is comprised of purchased student loans, unsecured consumer loans and overdraft lines. Our consumer and other loans totaled $24.5 million at June 30, 2026, which comprised 0.5% of our total loan portfolio, compared to $27.7 million, or 0.5% of our total loan portfolio, at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7"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Maturities of Loans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the following table is based on the contractual maturities of individual loans, including loans that may be subject to renewal at their contractual maturity. Renewal of these loans is subject to review and credit approval, as well as modification of terms upon maturity. Actual repayments of loans may differ from the maturities reflected below because borrowers have the right to prepay obligations with or without prepayment penalties. The following tables summarize the loan maturity distribution by type and related interest rate characteristics at June 30, 2026:</w:t>
      </w:r>
    </w:p>
    <w:tbl>
      <w:tblPr>
        <w:tblW w:w="10205" w:type="dxa"/>
        <w:jc w:val="left"/>
        <w:tblInd w:w="0" w:type="dxa"/>
        <w:tblLayout w:type="fixed"/>
        <w:tblCellMar>
          <w:top w:w="28" w:type="dxa"/>
          <w:left w:w="28" w:type="dxa"/>
          <w:bottom w:w="28" w:type="dxa"/>
          <w:right w:w="28" w:type="dxa"/>
        </w:tblCellMar>
      </w:tblPr>
      <w:tblGrid>
        <w:gridCol w:w="124"/>
        <w:gridCol w:w="628"/>
        <w:gridCol w:w="576"/>
        <w:gridCol w:w="539"/>
        <w:gridCol w:w="109"/>
        <w:gridCol w:w="109"/>
        <w:gridCol w:w="220"/>
        <w:gridCol w:w="864"/>
        <w:gridCol w:w="113"/>
        <w:gridCol w:w="109"/>
        <w:gridCol w:w="109"/>
        <w:gridCol w:w="109"/>
        <w:gridCol w:w="214"/>
        <w:gridCol w:w="992"/>
        <w:gridCol w:w="110"/>
        <w:gridCol w:w="109"/>
        <w:gridCol w:w="109"/>
        <w:gridCol w:w="109"/>
        <w:gridCol w:w="305"/>
        <w:gridCol w:w="1194"/>
        <w:gridCol w:w="157"/>
        <w:gridCol w:w="109"/>
        <w:gridCol w:w="109"/>
        <w:gridCol w:w="109"/>
        <w:gridCol w:w="211"/>
        <w:gridCol w:w="976"/>
        <w:gridCol w:w="109"/>
        <w:gridCol w:w="109"/>
        <w:gridCol w:w="109"/>
        <w:gridCol w:w="109"/>
        <w:gridCol w:w="211"/>
        <w:gridCol w:w="976"/>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After one but</w:t>
              <w:br/>
              <w:t>within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After five years but within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After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1,307,075 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1,861,575 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solar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and 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Total Loans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587,155 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2,212,950 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826,438 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5,149,085 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loans held for investment with maturity due after June 30, 2027:</w:t>
      </w:r>
    </w:p>
    <w:p>
      <w:pPr>
        <w:pStyle w:val="TextBody"/>
        <w:bidi w:val="0"/>
        <w:spacing w:before="0" w:after="0"/>
        <w:jc w:val="left"/>
        <w:rPr/>
      </w:pPr>
      <w:r>
        <w:rPr/>
      </w:r>
    </w:p>
    <w:tbl>
      <w:tblPr>
        <w:tblW w:w="8353" w:type="dxa"/>
        <w:jc w:val="left"/>
        <w:tblInd w:w="0" w:type="dxa"/>
        <w:tblLayout w:type="fixed"/>
        <w:tblCellMar>
          <w:top w:w="28" w:type="dxa"/>
          <w:left w:w="28" w:type="dxa"/>
          <w:bottom w:w="28" w:type="dxa"/>
          <w:right w:w="28" w:type="dxa"/>
        </w:tblCellMar>
      </w:tblPr>
      <w:tblGrid>
        <w:gridCol w:w="124"/>
        <w:gridCol w:w="1008"/>
        <w:gridCol w:w="1008"/>
        <w:gridCol w:w="1013"/>
        <w:gridCol w:w="109"/>
        <w:gridCol w:w="109"/>
        <w:gridCol w:w="109"/>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Fixed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Retail Portfolio: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solar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and 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3,596,404 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4,561,930 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8"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the allowance at a level we believe is sufficient to absorb current expected credit losses in our loan portfolio.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presents, by loan type, the changes in the allowance for credit losses for the three and six months ended June 30, 2026 and June 30, 2025:</w:t>
      </w:r>
    </w:p>
    <w:tbl>
      <w:tblPr>
        <w:tblW w:w="8849" w:type="dxa"/>
        <w:jc w:val="left"/>
        <w:tblInd w:w="0" w:type="dxa"/>
        <w:tblLayout w:type="fixed"/>
        <w:tblCellMar>
          <w:top w:w="28" w:type="dxa"/>
          <w:left w:w="28" w:type="dxa"/>
          <w:bottom w:w="28" w:type="dxa"/>
          <w:right w:w="28" w:type="dxa"/>
        </w:tblCellMar>
      </w:tblPr>
      <w:tblGrid>
        <w:gridCol w:w="1326"/>
        <w:gridCol w:w="1163"/>
        <w:gridCol w:w="117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charge-offs: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portfolio:</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Commercial and industrial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Multifamily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Commercial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Construction and land development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portfolio:</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Residential real estate lending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solar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Consumer and other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loan charge-offs </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loans previously charged-off:</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portfolio:</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Commercial and industrial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Multifamily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Commercial real estate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Construction and land development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portfolio:</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Residential real estate lending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solar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Consumer and other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loan recoveries </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charge-offs </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credit losses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end of period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pPr>
      <w:r>
        <w:rPr>
          <w:rFonts w:ascii="Times New Roman;serif" w:hAnsi="Times New Roman;serif"/>
          <w:b w:val="false"/>
          <w:color w:val="000000"/>
          <w:sz w:val="20"/>
        </w:rPr>
        <w:t xml:space="preserve">The allowance for credit losses on loans increased </w:t>
      </w:r>
      <w:r>
        <w:rPr>
          <w:rFonts w:ascii="Times New Roman;serif" w:hAnsi="Times New Roman;serif"/>
          <w:b w:val="false"/>
          <w:color w:val="000000"/>
          <w:sz w:val="20"/>
          <w:shd w:fill="FFFFFF" w:val="clear"/>
        </w:rPr>
        <w:t>$11.4 million</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color w:val="000000"/>
          <w:sz w:val="20"/>
          <w:shd w:fill="FFFFFF" w:val="clear"/>
        </w:rPr>
        <w:t>$68.9 million</w:t>
      </w:r>
      <w:r>
        <w:rPr>
          <w:color w:val="000000"/>
        </w:rPr>
        <w:t xml:space="preserve"> </w:t>
      </w:r>
      <w:r>
        <w:rPr>
          <w:rFonts w:ascii="Times New Roman;serif" w:hAnsi="Times New Roman;serif"/>
          <w:b w:val="false"/>
          <w:color w:val="000000"/>
          <w:sz w:val="20"/>
        </w:rPr>
        <w:t xml:space="preserve">at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from </w:t>
      </w:r>
      <w:r>
        <w:rPr>
          <w:rFonts w:ascii="Times New Roman;serif" w:hAnsi="Times New Roman;serif"/>
          <w:b w:val="false"/>
          <w:color w:val="000000"/>
          <w:sz w:val="20"/>
          <w:shd w:fill="FFFFFF" w:val="clear"/>
        </w:rPr>
        <w:t xml:space="preserve">$57.6 million </w:t>
      </w:r>
      <w:r>
        <w:rPr>
          <w:rFonts w:ascii="Times New Roman;serif" w:hAnsi="Times New Roman;serif"/>
          <w:b w:val="false"/>
          <w:color w:val="000000"/>
          <w:sz w:val="20"/>
        </w:rPr>
        <w:t>at December 31, 2025, primarily due to increases in reserves of $10.3 million for a single borrower relationship that moved to nonaccrual status during the three months ended March 31, 2026. The ratio of allowance to total loans was 1.34% at June 30, 2026 and 1.16% at December 31, 2025.</w:t>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allowance for credit losses on held-to-maturity securities was $0.8 million, compared to $0.7 million at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9"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Allocation of Allowance for Credit Losses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allocation of the allowance for credit losses on loans and the percentage of the total amount of loans in each loan category listed as of the dates indicated: </w:t>
      </w:r>
    </w:p>
    <w:tbl>
      <w:tblPr>
        <w:tblW w:w="9662" w:type="dxa"/>
        <w:jc w:val="left"/>
        <w:tblInd w:w="0" w:type="dxa"/>
        <w:tblLayout w:type="fixed"/>
        <w:tblCellMar>
          <w:top w:w="28" w:type="dxa"/>
          <w:left w:w="28" w:type="dxa"/>
          <w:bottom w:w="28" w:type="dxa"/>
          <w:right w:w="28" w:type="dxa"/>
        </w:tblCellMar>
      </w:tblPr>
      <w:tblGrid>
        <w:gridCol w:w="1304"/>
        <w:gridCol w:w="1147"/>
        <w:gridCol w:w="1148"/>
        <w:gridCol w:w="211"/>
        <w:gridCol w:w="721"/>
        <w:gridCol w:w="109"/>
        <w:gridCol w:w="109"/>
        <w:gridCol w:w="109"/>
        <w:gridCol w:w="109"/>
        <w:gridCol w:w="318"/>
        <w:gridCol w:w="318"/>
        <w:gridCol w:w="803"/>
        <w:gridCol w:w="109"/>
        <w:gridCol w:w="109"/>
        <w:gridCol w:w="109"/>
        <w:gridCol w:w="223"/>
        <w:gridCol w:w="762"/>
        <w:gridCol w:w="115"/>
        <w:gridCol w:w="115"/>
        <w:gridCol w:w="115"/>
        <w:gridCol w:w="115"/>
        <w:gridCol w:w="301"/>
        <w:gridCol w:w="301"/>
        <w:gridCol w:w="882"/>
      </w:tblGrid>
      <w:tr>
        <w:trPr/>
        <w:tc>
          <w:tcPr>
            <w:tcW w:w="130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December 31, 2025</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 loans</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Portfolio:</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commercial portfolio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Retail Portfolio:</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lending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solar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retail portfolio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allowance for credit losses on loans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57,586 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allocation of the allowance for credit losses on securities and the percentage of the total amount of held-to-maturity securities in each security category listed as of the dates indicated: </w:t>
      </w:r>
    </w:p>
    <w:tbl>
      <w:tblPr>
        <w:tblW w:w="10205" w:type="dxa"/>
        <w:jc w:val="left"/>
        <w:tblInd w:w="0" w:type="dxa"/>
        <w:tblLayout w:type="fixed"/>
        <w:tblCellMar>
          <w:top w:w="28" w:type="dxa"/>
          <w:left w:w="28" w:type="dxa"/>
          <w:bottom w:w="28" w:type="dxa"/>
          <w:right w:w="28" w:type="dxa"/>
        </w:tblCellMar>
      </w:tblPr>
      <w:tblGrid>
        <w:gridCol w:w="978"/>
        <w:gridCol w:w="841"/>
        <w:gridCol w:w="808"/>
        <w:gridCol w:w="211"/>
        <w:gridCol w:w="466"/>
        <w:gridCol w:w="109"/>
        <w:gridCol w:w="109"/>
        <w:gridCol w:w="109"/>
        <w:gridCol w:w="109"/>
        <w:gridCol w:w="539"/>
        <w:gridCol w:w="539"/>
        <w:gridCol w:w="1345"/>
        <w:gridCol w:w="109"/>
        <w:gridCol w:w="109"/>
        <w:gridCol w:w="109"/>
        <w:gridCol w:w="235"/>
        <w:gridCol w:w="520"/>
        <w:gridCol w:w="121"/>
        <w:gridCol w:w="121"/>
        <w:gridCol w:w="121"/>
        <w:gridCol w:w="121"/>
        <w:gridCol w:w="502"/>
        <w:gridCol w:w="502"/>
        <w:gridCol w:w="1472"/>
      </w:tblGrid>
      <w:tr>
        <w:trPr/>
        <w:tc>
          <w:tcPr>
            <w:tcW w:w="97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December 31, 2025</w:t>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 held-to-maturity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of total held-to-maturity securities</w:t>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Traditional securities: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certificates &amp; CMOs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Non-GSE certificates &amp; CMOs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traditional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PACE assessments: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PACE assessments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PACE assessments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PACE portfolio</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4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allowance for credit losses on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i/>
          <w:color w:val="000000"/>
          <w:sz w:val="20"/>
        </w:rPr>
      </w:pPr>
      <w:r>
        <w:rPr>
          <w:rFonts w:ascii="Times New Roman;serif" w:hAnsi="Times New Roman;serif"/>
          <w:b/>
          <w:i/>
          <w:color w:val="000000"/>
          <w:sz w:val="20"/>
        </w:rPr>
        <w:t>Nonperforming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Nonperforming assets include all loans categorized as nonaccrual,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70"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Loans are returned to accrual status when principal and interest amounts contractually due are brought current and future payments are reasonably assured.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nonperforming assets as of the dates indicated:</w:t>
      </w:r>
    </w:p>
    <w:tbl>
      <w:tblPr>
        <w:tblW w:w="8069" w:type="dxa"/>
        <w:jc w:val="left"/>
        <w:tblInd w:w="0" w:type="dxa"/>
        <w:tblLayout w:type="fixed"/>
        <w:tblCellMar>
          <w:top w:w="28" w:type="dxa"/>
          <w:left w:w="28" w:type="dxa"/>
          <w:bottom w:w="28" w:type="dxa"/>
          <w:right w:w="28" w:type="dxa"/>
        </w:tblCellMar>
      </w:tblPr>
      <w:tblGrid>
        <w:gridCol w:w="1690"/>
        <w:gridCol w:w="1485"/>
        <w:gridCol w:w="1489"/>
        <w:gridCol w:w="211"/>
        <w:gridCol w:w="826"/>
        <w:gridCol w:w="271"/>
        <w:gridCol w:w="109"/>
        <w:gridCol w:w="109"/>
        <w:gridCol w:w="109"/>
        <w:gridCol w:w="299"/>
        <w:gridCol w:w="1023"/>
        <w:gridCol w:w="448"/>
      </w:tblGrid>
      <w:tr>
        <w:trPr/>
        <w:tc>
          <w:tcPr>
            <w:tcW w:w="169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90 days past due and accruing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held for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 Commercial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22,108 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 Retail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102,692 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28,651 </w:t>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Nonaccrual loans: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Commercial and industrial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Multifamily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Commercial real estate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Construction and land development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commercial portfolio</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22,108 </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Residential real estate lending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Consumer solar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Consumer and other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retail portfolio</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nonaccrual loans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27,715 </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assets to total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assets to total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Nonaccrual loans to total loans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loans to nonaccrual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207.78 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loans to total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 to average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Nonperforming assets totaled $102.7 million, or 1.09% of period-end total assets at June 30, 2026, an increase of $74.0 million, compared with $28.7 million, or 0.32% of period-end total assets at December 31, 2025. The increase in nonperforming assets at June 30, 2026 compared to December 31, 2025 assets was primarily driven by $73.9 million increase in multifamily nonaccrual loans and $0.5 million increase in residential real estate nonaccrual loans, offset by a $2.3 million decrease in construction nonaccrual loans and a $0.5 million decrease in commercial and industrial nonaccrual loans. The increase in multifamily nonaccrual loans was primarily due to $78.0 million of multifamily loans to a single-borrower that moved to nonaccrual status after the borrower indicated an expected default during the three months ended March, 31, 2026.</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Potential problem loans are loans which management has doubts as to the ability of the borrowers to comply with the present loan repayment terms. Potential problem loans are performing loans and include our special mention and substandard-accruing commercial loans and/or retail loans 30-89 days past due. Potential problem loans are not included in the nonperforming assets table above and totaled $65.0 million, or 0.7% of total assets, at June 30, 2026, and $99.8 million, or 1.1% of total assets, at December 31,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Resell Agreements</w:t>
      </w:r>
    </w:p>
    <w:p>
      <w:pPr>
        <w:pStyle w:val="TextBody"/>
        <w:bidi w:val="0"/>
        <w:spacing w:lineRule="auto" w:line="288" w:before="240" w:after="283"/>
        <w:jc w:val="both"/>
        <w:rPr/>
      </w:pPr>
      <w:r>
        <w:rPr>
          <w:rFonts w:ascii="Times New Roman;serif" w:hAnsi="Times New Roman;serif"/>
          <w:b w:val="false"/>
          <w:color w:val="000000"/>
          <w:sz w:val="20"/>
          <w:shd w:fill="FFFFFF" w:val="clear"/>
        </w:rPr>
        <w:t>As of June 30, 2026, w</w:t>
      </w:r>
      <w:r>
        <w:rPr>
          <w:rFonts w:ascii="Times New Roman;serif" w:hAnsi="Times New Roman;serif"/>
          <w:b w:val="false"/>
          <w:color w:val="000000"/>
          <w:sz w:val="20"/>
        </w:rPr>
        <w:t xml:space="preserve">e entered into $59.3 million of short term investments of resell agreements backed by government guaranteed loans and other loans, with a weighted average interest rate of 5.84%.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we</w:t>
      </w:r>
      <w:r>
        <w:rPr>
          <w:color w:val="000000"/>
        </w:rPr>
        <w:t xml:space="preserve"> </w:t>
      </w:r>
      <w:r>
        <w:rPr>
          <w:rFonts w:ascii="Times New Roman;serif" w:hAnsi="Times New Roman;serif"/>
          <w:b w:val="false"/>
          <w:color w:val="000000"/>
          <w:sz w:val="20"/>
        </w:rPr>
        <w:t xml:space="preserve">entered into $48.7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71"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million of short term investments of resell agreements backed by government guaranteed loans and other loans, with a weighted interest rate of 6.00%.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Deferred Tax Asset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had a deferred tax asset, net of deferred tax liabilities, of $33.3 million at June 30, 2026 and $30.8 million at December 31, 2025. As of June 30, 2026, our deferred tax assets were fully realizable with no valuation allowance held against the balance. Our management concluded that it was more-likely-than-not that the entire amount will be realized.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will evaluate the recoverability of our net deferred tax asset on a periodic basis and record decreases (increases) as a deferred tax provision (benefit) in the Consolidated Statements of Income as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Deposits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Deposits represent our primary source of funds. We are focused on growing our core deposits through relationship-based banking with our business and consumer clients. Total deposits were $8.46 billion at June 30, 2026, compared to $7.95 billion at December 31, 2025. We believe that our strong deposit franchise is attributable to our mission-based strategy of developing and maintaining relationships with our clients who share similar values and through maintaining a high level of service.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gather deposits through each of our offices or branches across New York City, Washington, D.C., northern California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ICS accounts, Certificate of Deposit Account Registry Service accounts, and brokered certificates of deposit. We bank politically active customers, such as campaigns, political action committees ("PACs"), and state and national party committees, which we refer to as political deposits. These deposits exhibit seasonality based on election cycles. As of June 30, 2026 and December 31, 2025, we had approximately $2.08 billion and $1.73 billion, respectively, in political deposits on- and off-balance sheet which are primarily in demand deposits.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Additionally, we utilize a custodial deposit transference structure through the IntraFi ICS network for certain deposit programs whereby we, acting as custodian of account holder funds, place a portion of such account holder funds that are not needed to support near term settlement at one or more third-party banks insured by the FDIC (each, a "Program Bank"). Accounts opened at Program Banks are established in our name as custodian, for the benefit of our account holders. We remain the issuer of all accounts under the applicable account holder agreements and have sole custodial control and transaction authority over the accounts opened at Program Banks. We maintain the records of each account holder's deposits maintained at Program Banks. As of June 30, 2026 and December 31, 2025, these off-balance sheet deposits totaled $1.03 billion and $1.05 billion, respectively. In return for record keeping services at Program Banks, the Company receives a servicing fee. For the three and six months ended June 30, 2026, the Company recognized $2.3 million and $5.2 million in servicing fee income compared to $102.2 thousand and $110.8 thousand for the three and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estimated uninsured deposits at June 30, 2026 and December 31, 2025 were $4.84 billion and $4.61 billion,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Maturities of time certificates of deposit and other time deposits of $250,000 or more outstanding at June 30, 2026 are summarized as follows:</w:t>
      </w:r>
    </w:p>
    <w:tbl>
      <w:tblPr>
        <w:tblW w:w="5667" w:type="dxa"/>
        <w:jc w:val="left"/>
        <w:tblInd w:w="0" w:type="dxa"/>
        <w:tblLayout w:type="fixed"/>
        <w:tblCellMar>
          <w:top w:w="28" w:type="dxa"/>
          <w:left w:w="28" w:type="dxa"/>
          <w:bottom w:w="28" w:type="dxa"/>
          <w:right w:w="28" w:type="dxa"/>
        </w:tblCellMar>
      </w:tblPr>
      <w:tblGrid>
        <w:gridCol w:w="1307"/>
        <w:gridCol w:w="1152"/>
        <w:gridCol w:w="1155"/>
        <w:gridCol w:w="399"/>
        <w:gridCol w:w="1363"/>
        <w:gridCol w:w="291"/>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6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Maturities as of June 30, 2026</w:t>
            </w:r>
          </w:p>
        </w:tc>
      </w:tr>
      <w:tr>
        <w:trPr/>
        <w:tc>
          <w:tcPr>
            <w:tcW w:w="36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2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Within three months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After three but within six months </w:t>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After six months but within twelve months </w:t>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After twelve months </w:t>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57,898 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Interest Rate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simulation models incorporate various assumptions, which we believe are reasonable but which may have a significant impact on results such as: (1) the timing of changes in interest rates, (2) shifts or rotations in the yield curve, (3) loan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155"/>
                <wp:effectExtent l="0" t="0" r="0" b="0"/>
                <wp:wrapNone/>
                <wp:docPr id="72" name="Frame7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val="false"/>
          <w:color w:val="000000"/>
          <w:sz w:val="20"/>
        </w:rPr>
        <w:t>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Company's policies, the Company may enter into derivative transactions to hedge against interest rate risk. The impact of existing derivative contracts are included in the simulation analysis below.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Potential changes to our net interest income and economic value of equity in hypothetical rising and declining rate scenarios calculated as of June 30, 2026 are presented in the following table. The projections assume immediate, parallel shifts downward of the yield curve of 100, 200, 300 and 400 basis points and immediate, parallel shifts upward of the yield curve of 100, 200 and 300 basis points.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tbl>
      <w:tblPr>
        <w:tblW w:w="10205" w:type="dxa"/>
        <w:jc w:val="left"/>
        <w:tblInd w:w="0" w:type="dxa"/>
        <w:tblLayout w:type="fixed"/>
        <w:tblCellMar>
          <w:top w:w="28" w:type="dxa"/>
          <w:left w:w="28" w:type="dxa"/>
          <w:bottom w:w="28" w:type="dxa"/>
          <w:right w:w="28" w:type="dxa"/>
        </w:tblCellMar>
      </w:tblPr>
      <w:tblGrid>
        <w:gridCol w:w="124"/>
        <w:gridCol w:w="1087"/>
        <w:gridCol w:w="1004"/>
        <w:gridCol w:w="1009"/>
        <w:gridCol w:w="109"/>
        <w:gridCol w:w="109"/>
        <w:gridCol w:w="109"/>
        <w:gridCol w:w="458"/>
        <w:gridCol w:w="458"/>
        <w:gridCol w:w="459"/>
        <w:gridCol w:w="126"/>
        <w:gridCol w:w="126"/>
        <w:gridCol w:w="126"/>
        <w:gridCol w:w="471"/>
        <w:gridCol w:w="465"/>
        <w:gridCol w:w="467"/>
        <w:gridCol w:w="126"/>
        <w:gridCol w:w="126"/>
        <w:gridCol w:w="126"/>
        <w:gridCol w:w="416"/>
        <w:gridCol w:w="416"/>
        <w:gridCol w:w="418"/>
        <w:gridCol w:w="126"/>
        <w:gridCol w:w="126"/>
        <w:gridCol w:w="126"/>
        <w:gridCol w:w="433"/>
        <w:gridCol w:w="433"/>
        <w:gridCol w:w="626"/>
      </w:tblGrid>
      <w:tr>
        <w:trPr/>
        <w:tc>
          <w:tcPr>
            <w:tcW w:w="12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Market Interest Rates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Increase (Decrease) in: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Immediate Shift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Economic Value of</w:t>
              <w:br/>
              <w:t>Equity</w:t>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Economic Value of</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Equity ($ in thousands)</w:t>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1 Net Interest</w:t>
              <w:br/>
              <w:t>Income</w:t>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Year 1 Net Interest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Income ($ 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(336,459)</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(28,671)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(198,376)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(13,189)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(77,119)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(3,443)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(16,207)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(4,787)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(155,575)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(17,719)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(415,645)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(33,515)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(823,734)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(54,929)</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Liquidity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 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1155"/>
                <wp:effectExtent l="0" t="0" r="0" b="0"/>
                <wp:wrapNone/>
                <wp:docPr id="73" name="Frame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and loan portfolios and deposits. The complexity of liquidity management increases due to the varying levels of management control that can be exerted over different elements of the balance sheet. For example, the timing of maturities of our investment portfolio is fairly predictable and subject to a high degree of control when we make investment decisions. Net deposit inflows and outflows, however, are far less predictable and are not subject to the same degree of certainty.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24 months without the support of dividends from subsidiaries and assuming access to the wholesale markets is maintained. The Company maintains sufficient liquidity to meet its capital and debt service obligations for 12 months under adverse conditions without the support of dividends from subsidiaries or access to the wholesale markets.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FHLBNY advances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securitization of loans or available for sale PACE assessments, the ability to acquire additional national market non-core deposits, borrowings through the Federal Reserve’s discount window and the issuance of debt or equity securities. We believe that the sources of available liquidity are adequate to meet our current and reasonably foreseeable future liquidity needs.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At June 30, 2026, our cash and equivalents, which consist of cash and amounts due from banks and interest-bearing deposits in other financial institutions, amounted to $167.8 million, or 1.8% of total assets, compared to $291.2 million, or 3.3% of total assets at December 31, 2025. The $123.4 million, or 42.4%, decrease is due to normal business activity, including strategic investment securities purchases. Our available for sale securities at June 30, 2026 were $2.24 billion, or 23.8% of total assets, compared to $1.78 billion, or 20.1% of total assets at December 31, 2025. Available for sale securities with an aggregate fair value of $1.49 billion and $1.15 billion at June 30, 2026 and December 31, 2025, respectively, were pledged to secure outstanding advances, letters of credit, provide additional borrowing potential, and collateralize municipal deposits. Additionally, as of June 30, 2026 and December 31, 2025, mortgage loans with an unpaid principal balance of $2.15 billion and $2.33 billion respectively, were pledged to the FHLBNY to secure outstanding advances, letters of credit and to provide additional borrowing potential.</w:t>
      </w:r>
    </w:p>
    <w:p>
      <w:pPr>
        <w:pStyle w:val="TextBody"/>
        <w:bidi w:val="0"/>
        <w:spacing w:lineRule="auto" w:line="288" w:before="159" w:after="283"/>
        <w:jc w:val="both"/>
        <w:rPr/>
      </w:pPr>
      <w:r>
        <w:rPr>
          <w:rFonts w:ascii="Times New Roman;serif" w:hAnsi="Times New Roman;serif"/>
          <w:b w:val="false"/>
          <w:color w:val="000000"/>
          <w:sz w:val="20"/>
          <w:shd w:fill="FFFFFF" w:val="clear"/>
        </w:rPr>
        <w:t xml:space="preserve">The liability portion of the balance sheet serves as our primary source of liquidity. Over the long term, we plan to meet our future cash needs through the generation of deposits. Customer deposits have historically provided a sizeable source of relatively stable and low-cost funds. We are also a member of the FHLBNY, from which we can borrow for leverage or liquidity purposes. The FHLBNY requires that securities and qualifying </w:t>
      </w:r>
      <w:r>
        <w:rPr>
          <w:rFonts w:ascii="Times New Roman;serif" w:hAnsi="Times New Roman;serif"/>
          <w:b w:val="false"/>
          <w:color w:val="000000"/>
          <w:sz w:val="20"/>
        </w:rPr>
        <w:t>loans be pledged to secure any advances. At June 30, 2026, we had $5.9 million in advances from the FHLBNY and a remaining credit availability of $1.98 billion. In addition, we maintain additional borrowing capacity of approximately $1.09 billion with the Federal Reserve’s discount window that is secured by certain securities from our portfolio which are not pledged for othe</w:t>
      </w:r>
      <w:r>
        <w:rPr>
          <w:rFonts w:ascii="Times New Roman;serif" w:hAnsi="Times New Roman;serif"/>
          <w:b w:val="false"/>
          <w:color w:val="000000"/>
          <w:sz w:val="20"/>
          <w:shd w:fill="FFFFFF" w:val="clear"/>
        </w:rPr>
        <w:t xml:space="preserve">r purposes. </w:t>
      </w:r>
    </w:p>
    <w:p>
      <w:pPr>
        <w:pStyle w:val="TextBody"/>
        <w:bidi w:val="0"/>
        <w:spacing w:lineRule="auto" w:line="288" w:before="240" w:after="283"/>
        <w:jc w:val="both"/>
        <w:rPr/>
      </w:pPr>
      <w:r>
        <w:rPr>
          <w:rFonts w:ascii="Times New Roman;serif" w:hAnsi="Times New Roman;serif"/>
          <w:b w:val="false"/>
          <w:color w:val="000000"/>
          <w:sz w:val="20"/>
        </w:rPr>
        <w:t xml:space="preserve">As of June 30, 2026, we also had $63.8 million in subordinated debt, net of issuance costs. </w:t>
      </w:r>
      <w:r>
        <w:rPr>
          <w:rFonts w:ascii="Times New Roman;serif" w:hAnsi="Times New Roman;serif"/>
          <w:b w:val="false"/>
          <w:color w:val="000000"/>
          <w:sz w:val="20"/>
          <w:shd w:fill="FFFFFF" w:val="clear"/>
        </w:rPr>
        <w:t xml:space="preserve">Our cash, off-balance sheet deposits, and borrowing capacity totaled </w:t>
      </w:r>
      <w:r>
        <w:rPr>
          <w:rFonts w:ascii="Times New Roman;serif" w:hAnsi="Times New Roman;serif"/>
          <w:b w:val="false"/>
          <w:color w:val="000000"/>
          <w:sz w:val="20"/>
        </w:rPr>
        <w:t>$4.26 billion</w:t>
      </w:r>
      <w:r>
        <w:rPr>
          <w:color w:val="000000"/>
          <w:shd w:fill="FFFFFF" w:val="clear"/>
        </w:rPr>
        <w:t xml:space="preserve"> </w:t>
      </w:r>
      <w:r>
        <w:rPr>
          <w:rFonts w:ascii="Times New Roman;serif" w:hAnsi="Times New Roman;serif"/>
          <w:b w:val="false"/>
          <w:color w:val="000000"/>
          <w:sz w:val="20"/>
          <w:shd w:fill="FFFFFF" w:val="clear"/>
        </w:rPr>
        <w:t xml:space="preserve">of immediately available funds, in addition to unpledged securities with two-day availability of </w:t>
      </w:r>
      <w:r>
        <w:rPr>
          <w:rFonts w:ascii="Times New Roman;serif" w:hAnsi="Times New Roman;serif"/>
          <w:b w:val="false"/>
          <w:color w:val="000000"/>
          <w:sz w:val="20"/>
        </w:rPr>
        <w:t>$571.0 million</w:t>
      </w:r>
      <w:r>
        <w:rPr>
          <w:color w:val="000000"/>
          <w:shd w:fill="FFFFFF" w:val="clear"/>
        </w:rPr>
        <w:t xml:space="preserve"> </w:t>
      </w:r>
      <w:r>
        <w:rPr>
          <w:rFonts w:ascii="Times New Roman;serif" w:hAnsi="Times New Roman;serif"/>
          <w:b w:val="false"/>
          <w:color w:val="000000"/>
          <w:sz w:val="20"/>
          <w:shd w:fill="FFFFFF" w:val="clear"/>
        </w:rPr>
        <w:t xml:space="preserve">for total liquidity within two-days of </w:t>
      </w:r>
      <w:r>
        <w:rPr>
          <w:rFonts w:ascii="Times New Roman;serif" w:hAnsi="Times New Roman;serif"/>
          <w:b w:val="false"/>
          <w:color w:val="000000"/>
          <w:sz w:val="20"/>
        </w:rPr>
        <w:t>$4.83 billion</w:t>
      </w:r>
      <w:r>
        <w:rPr>
          <w:rFonts w:ascii="Times New Roman;serif" w:hAnsi="Times New Roman;serif"/>
          <w:b w:val="false"/>
          <w:color w:val="000000"/>
          <w:sz w:val="20"/>
          <w:shd w:fill="FFFFFF" w:val="clear"/>
        </w:rPr>
        <w:t xml:space="preserve">, which provided coverage for </w:t>
      </w:r>
      <w:r>
        <w:rPr>
          <w:rFonts w:ascii="Times New Roman;serif" w:hAnsi="Times New Roman;serif"/>
          <w:b w:val="false"/>
          <w:color w:val="000000"/>
          <w:sz w:val="20"/>
        </w:rPr>
        <w:t>100%</w:t>
      </w:r>
      <w:r>
        <w:rPr>
          <w:color w:val="000000"/>
          <w:shd w:fill="FFFFFF" w:val="clear"/>
        </w:rPr>
        <w:t xml:space="preserve"> </w:t>
      </w:r>
      <w:r>
        <w:rPr>
          <w:rFonts w:ascii="Times New Roman;serif" w:hAnsi="Times New Roman;serif"/>
          <w:b w:val="false"/>
          <w:color w:val="000000"/>
          <w:sz w:val="20"/>
          <w:shd w:fill="FFFFFF" w:val="clear"/>
        </w:rPr>
        <w:t>of total uninsured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Capital Resources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stockholders’ equity at June 30, 2026 was $835.0 million, compared to $794.5 million at December 31, 2025, an increase of $40.5 million. The increase was primarily driven by $60.0 million of net income, offset by $10.3 million in dividends declared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155"/>
                <wp:effectExtent l="0" t="0" r="0" b="0"/>
                <wp:wrapNone/>
                <wp:docPr id="74"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0.34 per outstanding share, a $8.7 million increase in accumulated other comprehensive loss due to the tax effected mark-to-market adjustment on our securities portfolio, and $2.8 million of common stock repurchases.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buffer is equal to 2.5% of risk-weighted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regulatory capital ratios for the Bank and the Company at the dates indicated:</w:t>
      </w:r>
    </w:p>
    <w:tbl>
      <w:tblPr>
        <w:tblW w:w="10205" w:type="dxa"/>
        <w:jc w:val="left"/>
        <w:tblInd w:w="0" w:type="dxa"/>
        <w:tblLayout w:type="fixed"/>
        <w:tblCellMar>
          <w:top w:w="28" w:type="dxa"/>
          <w:left w:w="28" w:type="dxa"/>
          <w:bottom w:w="28" w:type="dxa"/>
          <w:right w:w="28" w:type="dxa"/>
        </w:tblCellMar>
      </w:tblPr>
      <w:tblGrid>
        <w:gridCol w:w="124"/>
        <w:gridCol w:w="765"/>
        <w:gridCol w:w="765"/>
        <w:gridCol w:w="733"/>
        <w:gridCol w:w="211"/>
        <w:gridCol w:w="826"/>
        <w:gridCol w:w="109"/>
        <w:gridCol w:w="109"/>
        <w:gridCol w:w="109"/>
        <w:gridCol w:w="109"/>
        <w:gridCol w:w="308"/>
        <w:gridCol w:w="308"/>
        <w:gridCol w:w="317"/>
        <w:gridCol w:w="109"/>
        <w:gridCol w:w="109"/>
        <w:gridCol w:w="109"/>
        <w:gridCol w:w="211"/>
        <w:gridCol w:w="826"/>
        <w:gridCol w:w="109"/>
        <w:gridCol w:w="109"/>
        <w:gridCol w:w="109"/>
        <w:gridCol w:w="109"/>
        <w:gridCol w:w="255"/>
        <w:gridCol w:w="256"/>
        <w:gridCol w:w="317"/>
        <w:gridCol w:w="109"/>
        <w:gridCol w:w="109"/>
        <w:gridCol w:w="109"/>
        <w:gridCol w:w="211"/>
        <w:gridCol w:w="826"/>
        <w:gridCol w:w="109"/>
        <w:gridCol w:w="109"/>
        <w:gridCol w:w="109"/>
        <w:gridCol w:w="109"/>
        <w:gridCol w:w="308"/>
        <w:gridCol w:w="308"/>
        <w:gridCol w:w="368"/>
      </w:tblGrid>
      <w:tr>
        <w:trPr/>
        <w:tc>
          <w:tcPr>
            <w:tcW w:w="1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For Capital</w:t>
              <w:br/>
              <w:t>Adequacy Purposes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 Be Considered</w:t>
              <w:br/>
              <w:t>Well Capitalized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capital to risk weighted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Tier 1 capital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Tier 1 capital to average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Common equity tier 1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Bank:</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capital to risk weighted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Tier 1 capital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Tier 1 capital to average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Common equity tier 1 to risk 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capital to risk weighted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Tier 1 capital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Tier 1 capital to average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Common equity tier 1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Bank: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capital to risk weighted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Tier 1 capital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Tier 1 capital to average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Common equity tier 1 to risk 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Amounts are shown exclusive of the capital conservation buffer of 2.50%.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Bank was categorized as “well capitalized” under the prompt corrective action measures and met the capital conservation buffer requirements.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75"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entered into contractual obligations in the normal course of business that involve elements of credit risk, interest rate risk and liquidity risk. The following table summarizes these relations by contractual maturity date as of June 30, 2026:</w:t>
      </w:r>
    </w:p>
    <w:tbl>
      <w:tblPr>
        <w:tblW w:w="9793" w:type="dxa"/>
        <w:jc w:val="left"/>
        <w:tblInd w:w="0" w:type="dxa"/>
        <w:tblLayout w:type="fixed"/>
        <w:tblCellMar>
          <w:top w:w="28" w:type="dxa"/>
          <w:left w:w="28" w:type="dxa"/>
          <w:bottom w:w="28" w:type="dxa"/>
          <w:right w:w="28" w:type="dxa"/>
        </w:tblCellMar>
      </w:tblPr>
      <w:tblGrid>
        <w:gridCol w:w="124"/>
        <w:gridCol w:w="109"/>
        <w:gridCol w:w="649"/>
        <w:gridCol w:w="649"/>
        <w:gridCol w:w="652"/>
        <w:gridCol w:w="211"/>
        <w:gridCol w:w="826"/>
        <w:gridCol w:w="109"/>
        <w:gridCol w:w="109"/>
        <w:gridCol w:w="109"/>
        <w:gridCol w:w="109"/>
        <w:gridCol w:w="273"/>
        <w:gridCol w:w="1071"/>
        <w:gridCol w:w="141"/>
        <w:gridCol w:w="109"/>
        <w:gridCol w:w="109"/>
        <w:gridCol w:w="109"/>
        <w:gridCol w:w="211"/>
        <w:gridCol w:w="721"/>
        <w:gridCol w:w="109"/>
        <w:gridCol w:w="109"/>
        <w:gridCol w:w="109"/>
        <w:gridCol w:w="109"/>
        <w:gridCol w:w="211"/>
        <w:gridCol w:w="616"/>
        <w:gridCol w:w="109"/>
        <w:gridCol w:w="109"/>
        <w:gridCol w:w="109"/>
        <w:gridCol w:w="109"/>
        <w:gridCol w:w="329"/>
        <w:gridCol w:w="1125"/>
        <w:gridCol w:w="2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FHLBNY Advances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Subordinated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156,302 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64,274 </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April 2025, the Company entered into a fifteen-year lease agreement, following a sixteen-month base rent abatement period, for the Company's headquarters. The base rent amount for the premises commences at $6.2 million per annum and is escalated by approximately 9% on the fifth anniversary of rent commencement and by an additional approximately 8% on the tenth anniversary of rent commencement. The lease is not set to commence until the Company moves to the new premises later in 2026.</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Investment Obligations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 party to agreements with Pace Funding Group LLC and Allectrify PBC for the purchase of PACE assessment securities, with commitments extending through December 2026 and June 2028, respectively. As of June 30, 2026, the estimated remaining commitments under these agreements were $77.2 million and $79.5 million, respectively.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immaterial.</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funded $2.4 million to Greenskies Clean Energy LLC as a solar tax equity investment. As part of this investment agreement, the Company committed to additional fundings of $5.6 million which is recognized as a liability on the balance sheet given this future event is unconditional and legally binding.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155"/>
                <wp:effectExtent l="0" t="0" r="0" b="0"/>
                <wp:wrapNone/>
                <wp:docPr id="76"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16"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 from that presented in the 2025 Annual Report. Our interest rate sensitivity position at June 30, 2026 is set forth in the table labeled “Evaluation of Interest Rate Risk” in Management’s Discussion and Analysis of Financial Condition and Results of Operation of this Quarterly Report on Form 10-Q and incorporated herein by this reference.</w:t>
      </w:r>
    </w:p>
    <w:p>
      <w:pPr>
        <w:pStyle w:val="TextBody"/>
        <w:bidi w:val="0"/>
        <w:spacing w:before="216"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our principal executive officer and principal financial officer, we have evaluated the effectiveness of our disclosure controls and procedures (as defined in Exchange Act Rule 13a-15(e)), as of June 30, 2026. Based on such evaluations, our principal executive officer and principal financial officer concluded that, as of such date, our disclosure controls and procedures were effective.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change in our internal control over financial reporting (as such term is defined in Exchange Act Rule 13a-15(f)) that occurred during the quarter ended June 30, 2026 that materially affected, or is reasonably likely to materially affect, our internal control over financial reporting.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1155"/>
                <wp:effectExtent l="0" t="0" r="0" b="0"/>
                <wp:wrapNone/>
                <wp:docPr id="77" name="Frame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operations, either individually or in the aggregate.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hanging="360"/>
        <w:jc w:val="left"/>
        <w:rPr/>
      </w:pPr>
      <w:r>
        <w:rPr/>
      </w:r>
    </w:p>
    <w:p>
      <w:pPr>
        <w:pStyle w:val="TextBody"/>
        <w:bidi w:val="0"/>
        <w:spacing w:lineRule="auto" w:line="288" w:before="0" w:after="0"/>
        <w:jc w:val="both"/>
        <w:rPr/>
      </w:pPr>
      <w:r>
        <w:rPr>
          <w:rFonts w:ascii="Times New Roman;serif" w:hAnsi="Times New Roman;serif"/>
          <w:b w:val="false"/>
          <w:color w:val="000000"/>
          <w:sz w:val="20"/>
        </w:rPr>
        <w:t>Investing in shares of our common stock involves certain risks, including those identified and described in Item 1A. of our Annual Report on Form 10-K for the fiscal year ended December 31, 2025, as filed with the SEC on March 5, 2026, as well as cautionary statements contained in this report, including those under the caption “</w:t>
      </w:r>
      <w:r>
        <w:rPr>
          <w:rFonts w:ascii="Times New Roman;serif" w:hAnsi="Times New Roman;serif"/>
          <w:b w:val="false"/>
          <w:i/>
          <w:color w:val="000000"/>
          <w:sz w:val="20"/>
        </w:rPr>
        <w:t>Cautionary Note Regarding Forward-Looking Statements</w:t>
      </w:r>
      <w:r>
        <w:rPr>
          <w:rFonts w:ascii="Times New Roman;serif" w:hAnsi="Times New Roman;serif"/>
          <w:b w:val="false"/>
          <w:color w:val="000000"/>
          <w:sz w:val="20"/>
        </w:rPr>
        <w:t>,” risks and matters described elsewhere in this report and in our other filings with the SEC.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our Annual Report on Form 10-K for the fiscal year ended December 31, 2025.</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regarding purchases of our common stock during the three months ended June 30, 2026 by or on behalf of the Company or any “affiliate purchaser” as defined in Rule 10b-18(a)(3) under the Exchange Act: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81"/>
        <w:gridCol w:w="422"/>
        <w:gridCol w:w="425"/>
        <w:gridCol w:w="109"/>
        <w:gridCol w:w="109"/>
        <w:gridCol w:w="109"/>
        <w:gridCol w:w="452"/>
        <w:gridCol w:w="452"/>
        <w:gridCol w:w="453"/>
        <w:gridCol w:w="116"/>
        <w:gridCol w:w="116"/>
        <w:gridCol w:w="116"/>
        <w:gridCol w:w="116"/>
        <w:gridCol w:w="116"/>
        <w:gridCol w:w="272"/>
        <w:gridCol w:w="814"/>
        <w:gridCol w:w="140"/>
        <w:gridCol w:w="116"/>
        <w:gridCol w:w="116"/>
        <w:gridCol w:w="116"/>
        <w:gridCol w:w="116"/>
        <w:gridCol w:w="689"/>
        <w:gridCol w:w="689"/>
        <w:gridCol w:w="691"/>
        <w:gridCol w:w="109"/>
        <w:gridCol w:w="109"/>
        <w:gridCol w:w="109"/>
        <w:gridCol w:w="109"/>
        <w:gridCol w:w="350"/>
        <w:gridCol w:w="1798"/>
        <w:gridCol w:w="270"/>
      </w:tblGrid>
      <w:tr>
        <w:trPr/>
        <w:tc>
          <w:tcPr>
            <w:tcW w:w="4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c>
        <w:tc>
          <w:tcPr>
            <w:tcW w:w="4923" w:type="dxa"/>
            <w:gridSpan w:val="10"/>
            <w:tcBorders/>
          </w:tcPr>
          <w:p>
            <w:pPr>
              <w:pStyle w:val="TableContents"/>
              <w:bidi w:val="0"/>
              <w:spacing w:before="0" w:after="283"/>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 (Settlement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w:t>
            </w:r>
            <w:r>
              <w:rPr>
                <w:color w:val="000000"/>
              </w:rPr>
              <w:t xml:space="preserve"> </w:t>
            </w:r>
            <w:r>
              <w:rPr>
                <w:rFonts w:ascii="Times New Roman;serif" w:hAnsi="Times New Roman;serif"/>
                <w:b/>
                <w:color w:val="000000"/>
                <w:sz w:val="13"/>
              </w:rPr>
              <w:t>(1)</w:t>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Approximate dollar value that may yet be purchased under plans or programs</w:t>
            </w:r>
            <w:r>
              <w:rPr>
                <w:color w:val="000000"/>
              </w:rPr>
              <w:t xml:space="preserve"> </w:t>
            </w:r>
            <w:r>
              <w:rPr>
                <w:rFonts w:ascii="Times New Roman;serif" w:hAnsi="Times New Roman;serif"/>
                <w:b/>
                <w:color w:val="000000"/>
                <w:sz w:val="13"/>
              </w:rPr>
              <w:t>(2)</w:t>
            </w:r>
            <w:r>
              <w:rPr>
                <w:color w:val="000000"/>
              </w:rPr>
              <w:t xml:space="preserve"> </w:t>
            </w:r>
          </w:p>
        </w:tc>
      </w:tr>
      <w:tr>
        <w:trPr/>
        <w:tc>
          <w:tcPr>
            <w:tcW w:w="13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through April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8,618,181 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through May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8,618,181 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through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9,958</w:t>
            </w:r>
            <w:r>
              <w:rPr>
                <w:color w:val="000000"/>
              </w:rPr>
              <w:t> </w:t>
            </w:r>
          </w:p>
        </w:tc>
        <w:tc>
          <w:tcPr>
            <w:tcW w:w="4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39.25</w:t>
            </w:r>
            <w:r>
              <w:rPr>
                <w:color w:val="000000"/>
              </w:rPr>
              <w:t>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Includes 9,958 shares withheld for taxes related to the vesting of stock awards. There were no shares repurchased during the quarter pursuant to the share repurchase program described in Note (2).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(2) Effective March 10, 2025, our Board of Directors authorized a new share repurchase program that allows the Company to repurchase up to $40 million of its common stock (the "2025 Share Repurchase Program"). The authorization did not require us to acquire any specified number of shares and can be suspended or discontinued without prior notice. As of June 9, 2026, $8.6 million was available for share repurchases under the 2025 Share Repurchase Program. On June 9, 2026, our Board of Directors authorized the repurchase of up to an additional $31.4 million under the 2025 Share Repurchase Program.</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1155"/>
                <wp:effectExtent l="0" t="0" r="0" b="0"/>
                <wp:wrapNone/>
                <wp:docPr id="78"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11, 2026, Edgar Romney Jr., Executive Vice President, Chief Strategy and Administrative Officer, adopted a Rule 10b5-1 trading arrangement that is intended to satisfy the affirmative defense of Rule 10b5-1(c) for the sale of up to 5,992 shares of the Company’s common stock, with such transactions to occur during sale periods beginning on or after September 10, 2026, and ending on the earlier of August 31, 2027, or the date on which all shares authorized for sale have been sold in conformance with the terms of the arrangement.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11, 2026, Jason M. Darby, Senior Executive Vice President and Chief Financial Officer, adopted a Rule 10b5-1 trading arrangement that is intended to satisfy the affirmative defense of Rule 10b5-1(c) for the sale of up to 19,995 shares of the Company’s common stock , with such transactions to occur during sale periods beginning on or after September 10, 2026, and ending on the earlier of March 31, 2027, or the date on which all shares authorized for sale have been sold in conformance with the terms of the arrangement.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9, 2026, Sean Searby, Executive Vice President, Chief Information and Operations Officer, adopted a Rule 10b5-1 trading arrangement that is intended to satisfy the affirmative defense of Rule 10b5-1(c) for the sale of up to 16,005 shares of the Company’s common stock, net of shares to be withheld for taxes upon the vesting of underlying stock awards, with such transactions to occur during sale periods beginning on or after September 15, 2026 and ending on the earlier of July 30, 2027, or the date on which all shares authorized for sale have been sold in conformance with the terms of the arrangement. This trading arrangement was subsequently modified on June 11, 2026 to correct a typographical error in the date of the Tranche 6 sale period. The amendment updates Tranche 6 of the arrangement, covering 1,026 shares, to provide that sales of such shares shall occur during the sale period beginning on April 15, 2027, and ending on the earlier of July 30, 2027, or the date on which all 1,026 shares subject to Tranche 6 have been sold.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8, 2026, Sam D. Brown, Senior Executive Vice President, Chief Banking Officer, adopted a Rule 10b5-1 trading arrangement that is intended to satisfy the affirmative defense of Rule 10b5-1(c) for the sale of up to 51,943 shares of the Company’s common stock, with such transactions to occur during sale periods beginning on or after September 7, 2026, and ending on the earlier of August 31, 2027, or the date on which all shares authorized for sale have been sold in conformance with the terms of the arrangement.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8, 2026, Mandy Tenner, Executive Vice President, Chief Legal Officer, adopted a Rule 10b5-1 trading arrangement that is intended to satisfy the affirmative defense of Rule 10b5-1(c) for the sale of up to 14,976 shares of the Company’s common stock, with such transactions to occur during sale periods beginning on or after September 7, 2026, and ending on the earlier of August 31, 2027, or the date on which all shares authorized for sale have been sold in conformance with the terms of the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1155"/>
                <wp:effectExtent l="0" t="0" r="0" b="0"/>
                <wp:wrapNone/>
                <wp:docPr id="79"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7"/>
        <w:gridCol w:w="252"/>
        <w:gridCol w:w="253"/>
        <w:gridCol w:w="109"/>
        <w:gridCol w:w="109"/>
        <w:gridCol w:w="109"/>
        <w:gridCol w:w="2839"/>
        <w:gridCol w:w="2578"/>
        <w:gridCol w:w="3669"/>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FF"/>
                  <w:sz w:val="20"/>
                  <w:u w:val="single"/>
                </w:rPr>
                <w:t>Certificate of Incorporation of Amalgamated Financial Corp. (incorporated by reference to Exhibit 3.1 to Amalgamated Financial Corp.’s Current Report on Form 8-K filed with the SEC on March 1, 2021).</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Bylaws of Amalgamated Financial Corp. (incorporated by reference to Exhibit 3.1 to Amalgamated Financial Corp.’s Current Report on Form 8-K filed with the SEC on April 8, 2024).</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Item 601(b)(4)(iii)(A), other instruments that define the rights of holders of the long-term indebtedness of Amalgamated Financial Corp. and its subsidiaries that does not exceed 10% of its consolidated assets have not been filed; however, Amalgamated Financial Corp. agrees to furnish a copy of any such agreement to the SEC upon request.</w:t>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06_amal-ex311.htm">
              <w:r>
                <w:rPr>
                  <w:rStyle w:val="InternetLink"/>
                  <w:rFonts w:ascii="Times New Roman;serif" w:hAnsi="Times New Roman;serif"/>
                  <w:b w:val="false"/>
                  <w:color w:val="0000FF"/>
                  <w:sz w:val="20"/>
                  <w:u w:val="single"/>
                </w:rPr>
                <w:t>Rule 13a-14(a) Certification of the Chief Executive Officer</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06_amal-ex312.htm">
              <w:r>
                <w:rPr>
                  <w:rStyle w:val="InternetLink"/>
                  <w:rFonts w:ascii="Times New Roman;serif" w:hAnsi="Times New Roman;serif"/>
                  <w:b w:val="false"/>
                  <w:color w:val="0000FF"/>
                  <w:sz w:val="20"/>
                  <w:u w:val="single"/>
                </w:rPr>
                <w:t>Rule 13a-14(a) Certification of the Chief Financial Officer</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06_amal-ex321.htm">
              <w:r>
                <w:rPr>
                  <w:rStyle w:val="InternetLink"/>
                  <w:rFonts w:ascii="Times New Roman;serif" w:hAnsi="Times New Roman;serif"/>
                  <w:b w:val="false"/>
                  <w:color w:val="0000FF"/>
                  <w:sz w:val="20"/>
                  <w:u w:val="single"/>
                </w:rPr>
                <w:t>Section 1350 Certifications</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Interactive data files for the Quarterly Report on Form 10-Q of Amalgamated Financial Corp. for the quarter ended June 30, 2026, formatted in iXBRL (Inline eXtensible Business Reporting Language): (i) Consolidated Statements of Financial Condition at June 30, 2026 and December 31, 2025, (ii) Consolidated Statements of Income for the quarters ended June 30, 2026 and 2025, (iii) Consolidated Statements of Comprehensive Income for the quarters ended June 30, 2026 and 2025, (iv) Consolidated Statements of Changes in Shareholders’ Equity for the quarters ended June 30, 2026 and 2025, (v) Consolidated Statements of Cash Flows for the quarters ended June 30, 2026 and 2025 and (vi) Notes to Consolidated Financial Statements (unaudited).</w:t>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cover page of Amalgamated Financial Corp.’s Form 10-Q Report for the quarter ended June 30, 2026, formatted in iXBRL (included with the Exhibit 101 attachments). </w:t>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155"/>
                <wp:effectExtent l="0" t="0" r="0" b="0"/>
                <wp:wrapNone/>
                <wp:docPr id="80" name="Frame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0"/>
                        <w:jc w:val="center"/>
                        <w:rPr/>
                      </w:pPr>
                      <w:r>
                        <w:rPr/>
                      </w:r>
                    </w:p>
                  </w:txbxContent>
                </v:textbox>
                <w10:wrap type="none"/>
              </v:rect>
            </w:pict>
          </mc:Fallback>
        </mc:AlternateContent>
      </w:r>
    </w:p>
    <w:p>
      <w:pPr>
        <w:pStyle w:val="TextBody"/>
        <w:bidi w:val="0"/>
        <w:spacing w:before="0" w:after="60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AMALGAMATED FINANCIAL CORP.</w:t>
      </w:r>
    </w:p>
    <w:tbl>
      <w:tblPr>
        <w:tblW w:w="5305" w:type="dxa"/>
        <w:jc w:val="right"/>
        <w:tblInd w:w="0" w:type="dxa"/>
        <w:tblLayout w:type="fixed"/>
        <w:tblCellMar>
          <w:top w:w="28" w:type="dxa"/>
          <w:left w:w="28" w:type="dxa"/>
          <w:bottom w:w="28" w:type="dxa"/>
          <w:right w:w="28" w:type="dxa"/>
        </w:tblCellMar>
      </w:tblPr>
      <w:tblGrid>
        <w:gridCol w:w="493"/>
        <w:gridCol w:w="435"/>
        <w:gridCol w:w="437"/>
        <w:gridCol w:w="134"/>
        <w:gridCol w:w="134"/>
        <w:gridCol w:w="136"/>
        <w:gridCol w:w="1053"/>
        <w:gridCol w:w="1053"/>
        <w:gridCol w:w="1058"/>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Priscilla Sims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Priscilla Sims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Darby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Darby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Leslie Veluswamy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Leslie Veluswamy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1155"/>
                <wp:effectExtent l="0" t="0" r="0" b="0"/>
                <wp:wrapNone/>
                <wp:docPr id="81"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Rule 13a-14(a) Certification of the Chief Executive Officer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Priscilla Sims Brown,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Amalgamated Financial Corp.;</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tbl>
      <w:tblPr>
        <w:tblW w:w="4992" w:type="dxa"/>
        <w:jc w:val="right"/>
        <w:tblInd w:w="0" w:type="dxa"/>
        <w:tblLayout w:type="fixed"/>
        <w:tblCellMar>
          <w:top w:w="28" w:type="dxa"/>
          <w:left w:w="28" w:type="dxa"/>
          <w:bottom w:w="28" w:type="dxa"/>
          <w:right w:w="28" w:type="dxa"/>
        </w:tblCellMar>
      </w:tblPr>
      <w:tblGrid>
        <w:gridCol w:w="868"/>
        <w:gridCol w:w="762"/>
        <w:gridCol w:w="762"/>
        <w:gridCol w:w="762"/>
        <w:gridCol w:w="762"/>
        <w:gridCol w:w="1076"/>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9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Priscilla Sims Brown</w:t>
            </w:r>
          </w:p>
        </w:tc>
      </w:tr>
      <w:tr>
        <w:trPr/>
        <w:tc>
          <w:tcPr>
            <w:tcW w:w="499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Priscilla Sims Brown,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pPr>
      <w:r>
        <w:rPr>
          <w:rFonts w:ascii="Times New Roman;serif" w:hAnsi="Times New Roman;serif"/>
          <w:b/>
          <w:color w:val="000000"/>
          <w:sz w:val="20"/>
        </w:rPr>
        <w:t>Rule 13a-14(a)</w:t>
      </w:r>
      <w:r>
        <w:rPr>
          <w:color w:val="000000"/>
        </w:rPr>
        <w:t xml:space="preserve"> </w:t>
      </w:r>
      <w:r>
        <w:rPr>
          <w:rFonts w:ascii="Times New Roman;serif" w:hAnsi="Times New Roman;serif"/>
          <w:b/>
          <w:color w:val="000000"/>
          <w:sz w:val="20"/>
        </w:rPr>
        <w:t>Certification of the Chief Financial Officer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Jason Darby,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Amalgamated Financial Corp.;</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August 4, 2026</w:t>
      </w:r>
    </w:p>
    <w:tbl>
      <w:tblPr>
        <w:tblW w:w="3105" w:type="dxa"/>
        <w:jc w:val="right"/>
        <w:tblInd w:w="0" w:type="dxa"/>
        <w:tblLayout w:type="fixed"/>
        <w:tblCellMar>
          <w:top w:w="28" w:type="dxa"/>
          <w:left w:w="28" w:type="dxa"/>
          <w:bottom w:w="28" w:type="dxa"/>
          <w:right w:w="28" w:type="dxa"/>
        </w:tblCellMar>
      </w:tblPr>
      <w:tblGrid>
        <w:gridCol w:w="991"/>
        <w:gridCol w:w="873"/>
        <w:gridCol w:w="1241"/>
      </w:tblGrid>
      <w:tr>
        <w:trPr/>
        <w:tc>
          <w:tcPr>
            <w:tcW w:w="99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Jason Darby</w:t>
            </w:r>
          </w:p>
        </w:tc>
      </w:tr>
      <w:tr>
        <w:trPr/>
        <w:tc>
          <w:tcPr>
            <w:tcW w:w="3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Jason Darby,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240" w:after="283"/>
        <w:jc w:val="center"/>
        <w:rPr/>
      </w:pPr>
      <w:r>
        <w:rPr>
          <w:rFonts w:ascii="Times New Roman;serif" w:hAnsi="Times New Roman;serif"/>
          <w:b/>
          <w:color w:val="000000"/>
          <w:sz w:val="20"/>
        </w:rPr>
        <w:t>Rule 13a-14(a)</w:t>
      </w:r>
      <w:r>
        <w:rPr>
          <w:color w:val="000000"/>
        </w:rPr>
        <w:t xml:space="preserve"> </w:t>
      </w:r>
      <w:r>
        <w:rPr>
          <w:rFonts w:ascii="Times New Roman;serif" w:hAnsi="Times New Roman;serif"/>
          <w:b/>
          <w:color w:val="000000"/>
          <w:sz w:val="20"/>
        </w:rPr>
        <w:t>Certification of the Chief Accounting Officer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Leslie Veluswamy,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Amalgamated Financial Corp.;</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August 4, 2026</w:t>
      </w:r>
    </w:p>
    <w:tbl>
      <w:tblPr>
        <w:tblW w:w="3795" w:type="dxa"/>
        <w:jc w:val="right"/>
        <w:tblInd w:w="0" w:type="dxa"/>
        <w:tblLayout w:type="fixed"/>
        <w:tblCellMar>
          <w:top w:w="28" w:type="dxa"/>
          <w:left w:w="28" w:type="dxa"/>
          <w:bottom w:w="28" w:type="dxa"/>
          <w:right w:w="28" w:type="dxa"/>
        </w:tblCellMar>
      </w:tblPr>
      <w:tblGrid>
        <w:gridCol w:w="1213"/>
        <w:gridCol w:w="1066"/>
        <w:gridCol w:w="1516"/>
      </w:tblGrid>
      <w:tr>
        <w:trPr/>
        <w:tc>
          <w:tcPr>
            <w:tcW w:w="121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Leslie Veluswamy</w:t>
            </w:r>
          </w:p>
        </w:tc>
      </w:tr>
      <w:tr>
        <w:trPr/>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Leslie Veluswamy,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Amalgamated Financial Corp. (the “Company”) on Form 10-Q for the period ended June 30, 2026 as filed with the U.S. Securities and Exchange Commission on the date hereof (the “Report”), the undersigned officers each certify, pursuant to 18 U.S.C. Section 1350, as adopted pursuant to Section 906 of the Sarbanes-Oxley Act of 2002 that, to his knowledge: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551" w:type="dxa"/>
        <w:jc w:val="right"/>
        <w:tblInd w:w="0" w:type="dxa"/>
        <w:tblLayout w:type="fixed"/>
        <w:tblCellMar>
          <w:top w:w="28" w:type="dxa"/>
          <w:left w:w="28" w:type="dxa"/>
          <w:bottom w:w="28" w:type="dxa"/>
          <w:right w:w="28" w:type="dxa"/>
        </w:tblCellMar>
      </w:tblPr>
      <w:tblGrid>
        <w:gridCol w:w="1149"/>
        <w:gridCol w:w="1010"/>
        <w:gridCol w:w="1020"/>
        <w:gridCol w:w="109"/>
        <w:gridCol w:w="109"/>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Priscilla Sims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Priscilla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Jason Darby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Darby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hanging="72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3608/000119312521062425/d132716dex31.htm" TargetMode="External"/><Relationship Id="rId3" Type="http://schemas.openxmlformats.org/officeDocument/2006/relationships/hyperlink" Target="https://www.sec.gov/Archives/edgar/data/1823608/000182360824000098/bylawsofamalgamatedfinan.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32892</Words>
  <Characters>179925</Characters>
  <CharactersWithSpaces>210561</CharactersWithSpaces>
  <Paragraphs>7391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