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30"/>
              <w:spacing w:after="0"/>
              <w:rPr>
                <w:sz w:val="20"/>
                <w:szCs w:val="20"/>
                <w:color w:val="auto"/>
              </w:rPr>
            </w:pPr>
            <w:r>
              <w:rPr>
                <w:rFonts w:ascii="Times New Roman" w:cs="Times New Roman" w:eastAsia="Times New Roman" w:hAnsi="Times New Roman"/>
                <w:sz w:val="18"/>
                <w:szCs w:val="18"/>
                <w:color w:val="auto"/>
              </w:rPr>
              <w:t>For the quarterly period ended June 30, 2025</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August 4, 2025, the registrant had 30,109,078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June 30, 2025 and December 31,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and Six Months Ended June 30, 2025 and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June 30, 2025 and 2024</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 Months Ended June 30, 2025 and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June 30, 2025 and 2024</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74</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75</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2">
            <w:col w:w="10120" w:space="72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“should,” “would,” “believe,” “contemplate,” “expect,” “estimate,” “continue,” “in the future,” “may” and “intend,”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w:t>
      </w:r>
    </w:p>
    <w:p>
      <w:pPr>
        <w:spacing w:after="0" w:line="108" w:lineRule="exact"/>
        <w:rPr>
          <w:sz w:val="20"/>
          <w:szCs w:val="20"/>
          <w:color w:val="auto"/>
        </w:rPr>
      </w:pPr>
    </w:p>
    <w:p>
      <w:pPr>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core markets, which may have an adverse impact on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deposits, including an increase in uninsured deposits;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sufficient liquidity to meet deposit and debt obligations as they come due, which may require that the Company sell investment securities at a loss, negatively impacting net income, earnings and capital;</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stock price and the value of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the Company’s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implementation by the current presidential administration of a regulatory reform agenda that is significantly different from that of the prior presidential administration, impacting the rule making, supervision, examination and enforcement of the banking regulation agencies;</w:t>
      </w:r>
    </w:p>
    <w:p>
      <w:pPr>
        <w:ind w:left="660" w:hanging="328"/>
        <w:spacing w:after="0" w:line="250" w:lineRule="auto"/>
        <w:tabs>
          <w:tab w:leader="none" w:pos="6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and other global political factors beyond the Company’s control, including the imposition of tariffs, which raise economic uncertainty, potentially leading to slower growth and a decrease in loan demand;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the Company’s loan portfolio, including any concentration in industries or sectors that may experience unanticipated or anticipated adverse conditions greater than other industries or sectors in the national or local economies in which the Company operates;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the Company makes and policies that the Company implements in establishing the allowance for credit losses;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the Company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privacy concerns, and exposure from the use of “big data” techniques, machine learning, and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the Company’s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the Company and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the Company operates;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the business and the businesses that the Company finances;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the Company’s shares through the Company’s common stock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https://www.sec.gov.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167,017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1,713,077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1,477,047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178,247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152,011</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1,891,324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1,629,058</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$47 and $49, respectively</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529,418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542,246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$657 and $655, respectively</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1,037,220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1,043,959</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1,566,638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1,586,205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fees and costs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4,714,344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4,655,346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4,612,838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108,465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108,026</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35,858</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8,621,338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7,733,272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7,180,605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314,409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7,867,354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7,549,238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contingencies and off balance sheet risk (see Note 11)</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30,983,139 and 30,809,484 shares issued, respectively, and</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30,412,241 and 30,670,982 shares outstanding, respectively)</w:t>
            </w:r>
          </w:p>
        </w:tc>
        <w:tc>
          <w:tcPr>
            <w:tcW w:w="24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290,256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288,656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522,405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480,144</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(570,898 and 138,502 shares,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753,984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707,654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8,621,338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116,566</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103,245</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87,368</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195,895</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r>
      <w:tr>
        <w:trPr>
          <w:trHeight w:val="229"/>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58,666</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137,229</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223"/>
        </w:trPr>
        <w:tc>
          <w:tcPr>
            <w:tcW w:w="5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132,480</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loans and changes in fair value on loans held-for-sale,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23"/>
        </w:trPr>
        <w:tc>
          <w:tcPr>
            <w:tcW w:w="5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77,664</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74,303</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20,301</w:t>
            </w:r>
          </w:p>
        </w:tc>
      </w:tr>
      <w:tr>
        <w:trPr>
          <w:trHeight w:val="223"/>
        </w:trPr>
        <w:tc>
          <w:tcPr>
            <w:tcW w:w="5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5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5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benefits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on securities available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176"/>
        </w:trPr>
        <w:tc>
          <w:tcPr>
            <w:tcW w:w="5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3"/>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(losses) on cash flow hedges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r>
      <w:tr>
        <w:trPr>
          <w:trHeight w:val="23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66,427</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20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0" w:type="dxa"/>
            <w:vAlign w:val="bottom"/>
          </w:tcPr>
          <w:p>
            <w:pPr>
              <w:spacing w:after="0"/>
              <w:rPr>
                <w:sz w:val="16"/>
                <w:szCs w:val="16"/>
                <w:color w:val="auto"/>
              </w:rPr>
            </w:pPr>
          </w:p>
        </w:tc>
        <w:tc>
          <w:tcPr>
            <w:tcW w:w="2340" w:type="dxa"/>
            <w:vAlign w:val="bottom"/>
            <w:gridSpan w:val="2"/>
            <w:vMerge w:val="restart"/>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9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9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25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1"/>
                <w:szCs w:val="21"/>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20" w:type="dxa"/>
            <w:vAlign w:val="bottom"/>
          </w:tcPr>
          <w:p>
            <w:pPr>
              <w:spacing w:after="0"/>
              <w:rPr>
                <w:sz w:val="21"/>
                <w:szCs w:val="21"/>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234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30,696,940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Equity</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 stock, $0.14 per</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 vesting, net of</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30,412,241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290,256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522,405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753,984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2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4</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0" w:type="dxa"/>
            <w:vAlign w:val="bottom"/>
          </w:tcPr>
          <w:p>
            <w:pPr>
              <w:spacing w:after="0"/>
              <w:rPr>
                <w:sz w:val="16"/>
                <w:szCs w:val="16"/>
                <w:color w:val="auto"/>
              </w:rPr>
            </w:pPr>
          </w:p>
        </w:tc>
        <w:tc>
          <w:tcPr>
            <w:tcW w:w="2340" w:type="dxa"/>
            <w:vAlign w:val="bottom"/>
            <w:gridSpan w:val="2"/>
            <w:vMerge w:val="restart"/>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9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9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8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25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2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9"/>
                <w:szCs w:val="19"/>
                <w:color w:val="auto"/>
              </w:rPr>
            </w:pPr>
          </w:p>
        </w:tc>
        <w:tc>
          <w:tcPr>
            <w:tcW w:w="234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30,670,982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$480,144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Equity</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 stock, $0.28 per</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 net of</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 vesting, net of</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30,412,241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522,405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(16,005)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753,984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30,510,393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616,938</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Equity Program</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$0.12 per share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30,630,386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286,021</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435,202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0" w:type="dxa"/>
            <w:vAlign w:val="bottom"/>
          </w:tcPr>
          <w:p>
            <w:pPr>
              <w:spacing w:after="0"/>
              <w:rPr>
                <w:sz w:val="16"/>
                <w:szCs w:val="16"/>
                <w:color w:val="auto"/>
              </w:rPr>
            </w:pPr>
          </w:p>
        </w:tc>
        <w:tc>
          <w:tcPr>
            <w:tcW w:w="10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30,428,359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Equity Program</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$0.22 per share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30,630,386</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286,021</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435,202</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645,979</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54,002</w:t>
            </w:r>
          </w:p>
        </w:tc>
      </w:tr>
      <w:tr>
        <w:trPr>
          <w:trHeight w:val="229"/>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 and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sale of loans and change in fair value on loans held-for-sale,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death benefits of bank-owned life insurance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originated as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accrued interest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59,280</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(66,241)</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originated as held for investment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(515,673)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119,755</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resell agreements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(87,461)</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equity method investments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owned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(293,217)</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437,000</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r>
      <w:tr>
        <w:trPr>
          <w:trHeight w:val="495"/>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201,360</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0" w:type="dxa"/>
            <w:vAlign w:val="bottom"/>
          </w:tcPr>
          <w:p>
            <w:pPr>
              <w:spacing w:after="0"/>
              <w:rPr>
                <w:sz w:val="1"/>
                <w:szCs w:val="1"/>
                <w:color w:val="auto"/>
              </w:rPr>
            </w:pPr>
          </w:p>
        </w:tc>
      </w:tr>
      <w:tr>
        <w:trPr>
          <w:trHeight w:val="221"/>
        </w:trPr>
        <w:tc>
          <w:tcPr>
            <w:tcW w:w="8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171,066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57,993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non-cash activities: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held for investment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six months ended June 30, 2025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2024 (the “2024 Annual Report”). A more detailed description of our accounting policies is included in the 2024 Annual Report, which remain significantly unchanged.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2023-02, Investments - Equity Method and Joint Ventures (Topic 323) - Accounting for Investments in Tax Credit Structures Using the Proportional Amortization Method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2023, the FASB issued ASU 2023-02, Investments - Equity Method and Joint Ventures (Topic 323): Accounting for Investments in Tax Credit Structures Using the Proportional Amortization Method, which is intended to expand the use of the proportional amortization method of accounting, previously allowed only for investments in low-income housing tax credit structures, to equity investments in other tax credit structures that meet certain criteria. The proportional amortization method results in the tax credit investment being amortized in proportion to the allocation of tax credits and other tax benefits in each period, and net presentation within the income tax line item. This expansion to other investments simplifies the accounting for reporting entities and can provide users with a better understanding of these investments. The Company adopted the standard for the year ended December 31, 2024. The adoption did not impact the existing equity investments in tax structures.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adopted the standard for the year ended December 31, 2024 and for interim reporting periods beginning with the quarter ended March 31, 2025. The adoption resulted in a disclosure requirement but did not result in a material impact on the Company’s Consolidated Financial Statements. (See Note 15).</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1"/>
          <w:szCs w:val="21"/>
          <w:b w:val="1"/>
          <w:bCs w:val="1"/>
          <w:color w:val="auto"/>
        </w:rPr>
        <w:t>Notes to Consolidated Financial Statements (unaudited)</w:t>
      </w:r>
    </w:p>
    <w:p>
      <w:pPr>
        <w:sectPr>
          <w:pgSz w:w="11900" w:h="16838" w:orient="portrait"/>
          <w:cols w:equalWidth="0" w:num="1">
            <w:col w:w="11140"/>
          </w:cols>
          <w:pgMar w:left="320" w:top="6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Unaccreted</w:t>
            </w:r>
          </w:p>
        </w:tc>
        <w:tc>
          <w:tcPr>
            <w:tcW w:w="140" w:type="dxa"/>
            <w:vAlign w:val="bottom"/>
          </w:tcPr>
          <w:p>
            <w:pPr>
              <w:spacing w:after="0"/>
              <w:rPr>
                <w:sz w:val="16"/>
                <w:szCs w:val="16"/>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20" w:type="dxa"/>
            <w:vAlign w:val="bottom"/>
            <w:gridSpan w:val="3"/>
            <w:vMerge w:val="continue"/>
          </w:tcPr>
          <w:p>
            <w:pPr>
              <w:spacing w:after="0"/>
              <w:rPr>
                <w:sz w:val="14"/>
                <w:szCs w:val="14"/>
                <w:color w:val="auto"/>
              </w:rPr>
            </w:pPr>
          </w:p>
        </w:tc>
        <w:tc>
          <w:tcPr>
            <w:tcW w:w="15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sale</w:t>
            </w:r>
          </w:p>
        </w:tc>
        <w:tc>
          <w:tcPr>
            <w:tcW w:w="220" w:type="dxa"/>
            <w:vAlign w:val="bottom"/>
          </w:tcPr>
          <w:p>
            <w:pPr>
              <w:spacing w:after="0"/>
              <w:rPr>
                <w:sz w:val="7"/>
                <w:szCs w:val="7"/>
                <w:color w:val="auto"/>
              </w:rPr>
            </w:pPr>
          </w:p>
        </w:tc>
        <w:tc>
          <w:tcPr>
            <w:tcW w:w="132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4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(losses) on cash flow</w:t>
            </w: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benefits plans</w:t>
            </w: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54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transferred to held-</w:t>
            </w:r>
          </w:p>
        </w:tc>
        <w:tc>
          <w:tcPr>
            <w:tcW w:w="140" w:type="dxa"/>
            <w:vAlign w:val="bottom"/>
          </w:tcPr>
          <w:p>
            <w:pPr>
              <w:spacing w:after="0"/>
              <w:rPr>
                <w:sz w:val="11"/>
                <w:szCs w:val="11"/>
                <w:color w:val="auto"/>
              </w:rPr>
            </w:pPr>
          </w:p>
        </w:tc>
        <w:tc>
          <w:tcPr>
            <w:tcW w:w="1300" w:type="dxa"/>
            <w:vAlign w:val="bottom"/>
            <w:vMerge w:val="restart"/>
          </w:tcPr>
          <w:p>
            <w:pPr>
              <w:jc w:val="right"/>
              <w:ind w:right="392"/>
              <w:spacing w:after="0" w:line="162" w:lineRule="exact"/>
              <w:rPr>
                <w:sz w:val="20"/>
                <w:szCs w:val="20"/>
                <w:color w:val="auto"/>
              </w:rPr>
            </w:pPr>
            <w:r>
              <w:rPr>
                <w:rFonts w:ascii="Times New Roman" w:cs="Times New Roman" w:eastAsia="Times New Roman" w:hAnsi="Times New Roman"/>
                <w:sz w:val="16"/>
                <w:szCs w:val="16"/>
                <w:b w:val="1"/>
                <w:bCs w:val="1"/>
                <w:color w:val="auto"/>
              </w:rPr>
              <w:t>hedges</w:t>
            </w:r>
          </w:p>
        </w:tc>
        <w:tc>
          <w:tcPr>
            <w:tcW w:w="0" w:type="dxa"/>
            <w:vAlign w:val="bottom"/>
          </w:tcPr>
          <w:p>
            <w:pPr>
              <w:spacing w:after="0"/>
              <w:rPr>
                <w:sz w:val="1"/>
                <w:szCs w:val="1"/>
                <w:color w:val="auto"/>
              </w:rPr>
            </w:pPr>
          </w:p>
        </w:tc>
      </w:tr>
      <w:tr>
        <w:trPr>
          <w:trHeight w:val="31"/>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to-maturity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637"/>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(62,844)</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08914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08914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0891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0891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08914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Total Accumulated</w:t>
      </w:r>
    </w:p>
    <w:p>
      <w:pPr>
        <w:jc w:val="center"/>
        <w:ind w:right="-13"/>
        <w:spacing w:after="0" w:line="211" w:lineRule="auto"/>
        <w:rPr>
          <w:sz w:val="20"/>
          <w:szCs w:val="20"/>
          <w:color w:val="auto"/>
        </w:rPr>
      </w:pPr>
      <w:r>
        <w:rPr>
          <w:rFonts w:ascii="Times New Roman" w:cs="Times New Roman" w:eastAsia="Times New Roman" w:hAnsi="Times New Roman"/>
          <w:sz w:val="16"/>
          <w:szCs w:val="16"/>
          <w:b w:val="1"/>
          <w:bCs w:val="1"/>
          <w:color w:val="auto"/>
        </w:rPr>
        <w:t>Other</w:t>
      </w:r>
    </w:p>
    <w:p>
      <w:pPr>
        <w:jc w:val="center"/>
        <w:ind w:right="-13"/>
        <w:spacing w:after="0" w:line="211" w:lineRule="auto"/>
        <w:rPr>
          <w:sz w:val="20"/>
          <w:szCs w:val="20"/>
          <w:color w:val="auto"/>
        </w:rPr>
      </w:pPr>
      <w:r>
        <w:rPr>
          <w:rFonts w:ascii="Times New Roman" w:cs="Times New Roman" w:eastAsia="Times New Roman" w:hAnsi="Times New Roman"/>
          <w:sz w:val="16"/>
          <w:szCs w:val="16"/>
          <w:b w:val="1"/>
          <w:bCs w:val="1"/>
          <w:color w:val="auto"/>
        </w:rPr>
        <w:t>Comprehensive</w:t>
      </w: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917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73" w:lineRule="exact"/>
        <w:rPr>
          <w:sz w:val="20"/>
          <w:szCs w:val="20"/>
          <w:color w:val="auto"/>
        </w:rPr>
      </w:pPr>
    </w:p>
    <w:p>
      <w:pPr>
        <w:ind w:left="794" w:hanging="794"/>
        <w:spacing w:after="0"/>
        <w:tabs>
          <w:tab w:leader="none" w:pos="7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(58,637)</w:t>
      </w:r>
    </w:p>
    <w:p>
      <w:pPr>
        <w:spacing w:after="0" w:line="38" w:lineRule="exact"/>
        <w:rPr>
          <w:rFonts w:ascii="Times New Roman" w:cs="Times New Roman" w:eastAsia="Times New Roman" w:hAnsi="Times New Roman"/>
          <w:sz w:val="17"/>
          <w:szCs w:val="17"/>
          <w:color w:val="auto"/>
        </w:rPr>
      </w:pPr>
    </w:p>
    <w:p>
      <w:pPr>
        <w:ind w:left="85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21,406</w:t>
      </w:r>
    </w:p>
    <w:p>
      <w:pPr>
        <w:spacing w:after="0" w:line="22" w:lineRule="exact"/>
        <w:rPr>
          <w:rFonts w:ascii="Times New Roman" w:cs="Times New Roman" w:eastAsia="Times New Roman" w:hAnsi="Times New Roman"/>
          <w:sz w:val="17"/>
          <w:szCs w:val="17"/>
          <w:color w:val="auto"/>
        </w:rPr>
      </w:pPr>
    </w:p>
    <w:p>
      <w:pPr>
        <w:ind w:left="87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17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3" w:lineRule="exact"/>
        <w:rPr>
          <w:sz w:val="20"/>
          <w:szCs w:val="20"/>
          <w:color w:val="auto"/>
        </w:rPr>
      </w:pPr>
    </w:p>
    <w:p>
      <w:pPr>
        <w:ind w:left="794" w:hanging="794"/>
        <w:spacing w:after="0"/>
        <w:tabs>
          <w:tab w:leader="none" w:pos="7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(42,982)</w:t>
      </w:r>
    </w:p>
    <w:p>
      <w:pPr>
        <w:spacing w:after="0" w:line="200" w:lineRule="exact"/>
        <w:rPr>
          <w:sz w:val="20"/>
          <w:szCs w:val="20"/>
          <w:color w:val="auto"/>
        </w:rPr>
      </w:pPr>
    </w:p>
    <w:p>
      <w:pPr>
        <w:spacing w:after="0" w:line="266" w:lineRule="exact"/>
        <w:rPr>
          <w:sz w:val="20"/>
          <w:szCs w:val="20"/>
          <w:color w:val="auto"/>
        </w:rPr>
      </w:pPr>
    </w:p>
    <w:p>
      <w:pPr>
        <w:ind w:left="794" w:hanging="794"/>
        <w:spacing w:after="0"/>
        <w:tabs>
          <w:tab w:leader="none" w:pos="7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(86,004)</w:t>
      </w:r>
    </w:p>
    <w:p>
      <w:pPr>
        <w:spacing w:after="0" w:line="38" w:lineRule="exact"/>
        <w:rPr>
          <w:rFonts w:ascii="Times New Roman" w:cs="Times New Roman" w:eastAsia="Times New Roman" w:hAnsi="Times New Roman"/>
          <w:sz w:val="17"/>
          <w:szCs w:val="17"/>
          <w:color w:val="auto"/>
        </w:rPr>
      </w:pPr>
    </w:p>
    <w:p>
      <w:pPr>
        <w:ind w:left="85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17,095</w:t>
      </w:r>
    </w:p>
    <w:p>
      <w:pPr>
        <w:spacing w:after="0" w:line="22" w:lineRule="exact"/>
        <w:rPr>
          <w:rFonts w:ascii="Times New Roman" w:cs="Times New Roman" w:eastAsia="Times New Roman" w:hAnsi="Times New Roman"/>
          <w:sz w:val="17"/>
          <w:szCs w:val="17"/>
          <w:color w:val="auto"/>
        </w:rPr>
      </w:pPr>
    </w:p>
    <w:p>
      <w:pPr>
        <w:ind w:left="87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(4,670)</w:t>
      </w:r>
    </w:p>
    <w:p>
      <w:pPr>
        <w:spacing w:after="0" w:line="43" w:lineRule="exact"/>
        <w:rPr>
          <w:sz w:val="20"/>
          <w:szCs w:val="20"/>
          <w:color w:val="auto"/>
        </w:rPr>
      </w:pPr>
    </w:p>
    <w:p>
      <w:pPr>
        <w:ind w:left="794" w:hanging="794"/>
        <w:spacing w:after="0"/>
        <w:tabs>
          <w:tab w:leader="none" w:pos="7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17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9620" w:space="126"/>
            <w:col w:w="1394"/>
          </w:cols>
          <w:pgMar w:left="320" w:top="63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38" w:right="4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7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53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obligation for postretirement benefits and for prior service</w:t>
            </w:r>
          </w:p>
        </w:tc>
        <w:tc>
          <w:tcPr>
            <w:tcW w:w="1020" w:type="dxa"/>
            <w:vAlign w:val="bottom"/>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1020" w:type="dxa"/>
            <w:vAlign w:val="bottom"/>
          </w:tcPr>
          <w:p>
            <w:pPr>
              <w:jc w:val="right"/>
              <w:ind w:right="8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5"/>
                <w:szCs w:val="15"/>
                <w:color w:val="auto"/>
              </w:rPr>
            </w:pPr>
          </w:p>
        </w:tc>
        <w:tc>
          <w:tcPr>
            <w:tcW w:w="28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5"/>
                <w:szCs w:val="15"/>
                <w:color w:val="auto"/>
              </w:rPr>
            </w:pPr>
          </w:p>
        </w:tc>
        <w:tc>
          <w:tcPr>
            <w:tcW w:w="3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Reclassification adjustment for prior service expense included in</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w:t>
            </w:r>
          </w:p>
        </w:tc>
        <w:tc>
          <w:tcPr>
            <w:tcW w:w="10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 and for other benefits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w:t>
            </w:r>
          </w:p>
        </w:tc>
        <w:tc>
          <w:tcPr>
            <w:tcW w:w="10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 and for other benefits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on available for sale securities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loss on sale of securities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 for sale securities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securities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36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June 30, 2025 are as follows: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certificates &amp;</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637,994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283,371</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Asset-Backed Securities ("ABS")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672,594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1,713,077</w:t>
            </w:r>
          </w:p>
        </w:tc>
        <w:tc>
          <w:tcPr>
            <w:tcW w:w="0" w:type="dxa"/>
            <w:vAlign w:val="bottom"/>
          </w:tcPr>
          <w:p>
            <w:pPr>
              <w:spacing w:after="0"/>
              <w:rPr>
                <w:sz w:val="1"/>
                <w:szCs w:val="1"/>
                <w:color w:val="auto"/>
              </w:rPr>
            </w:pPr>
          </w:p>
        </w:tc>
      </w:tr>
      <w:tr>
        <w:trPr>
          <w:trHeight w:val="209"/>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1,938,119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1,891,324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201,454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53,728</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493,038</w:t>
            </w:r>
          </w:p>
        </w:tc>
        <w:tc>
          <w:tcPr>
            <w:tcW w:w="0" w:type="dxa"/>
            <w:vAlign w:val="bottom"/>
          </w:tcPr>
          <w:p>
            <w:pPr>
              <w:spacing w:after="0"/>
              <w:rPr>
                <w:sz w:val="1"/>
                <w:szCs w:val="1"/>
                <w:color w:val="auto"/>
              </w:rPr>
            </w:pPr>
          </w:p>
        </w:tc>
      </w:tr>
      <w:tr>
        <w:trPr>
          <w:trHeight w:val="20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245,099</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699,738</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944,837</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1,567,342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1,437,875</w:t>
            </w:r>
          </w:p>
        </w:tc>
        <w:tc>
          <w:tcPr>
            <w:tcW w:w="0" w:type="dxa"/>
            <w:vAlign w:val="bottom"/>
          </w:tcPr>
          <w:p>
            <w:pPr>
              <w:spacing w:after="0"/>
              <w:rPr>
                <w:sz w:val="1"/>
                <w:szCs w:val="1"/>
                <w:color w:val="auto"/>
              </w:rPr>
            </w:pPr>
          </w:p>
        </w:tc>
      </w:tr>
      <w:tr>
        <w:trPr>
          <w:trHeight w:val="217"/>
        </w:trPr>
        <w:tc>
          <w:tcPr>
            <w:tcW w:w="5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available for sale securities with a fair value of $1.29 billion and held-to-maturity securities with a fair value of $465.0 million were pledged. The majority of the securities were pledged to the FHLBNY to secure outstanding advances,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letters of credit and to provide additional borrowing potential. In addition, securities were pledged to provide capacity to borrow from the Federal Reserve Bank and to collateralize municipal deposits.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537,313</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1,477,047</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67,857</w:t>
            </w: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499,564</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702,195</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1,044,614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933,156</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1,432,720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six months ended June 30, 2025, or the three or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June 30, 2025.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674,001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1,013,922</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969,959</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1,201,519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0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59"/>
        </w:trPr>
        <w:tc>
          <w:tcPr>
            <w:tcW w:w="438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held-to-maturity securities during the three or six months ended June 30, 2025 or the three or six months ended June 30,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June 30, 2025 and December 31, 2024,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June 30, 2025 and December 31, 2024,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266,920</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344,099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June 30, 2025,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June 30, 2025,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June 30, 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are either explicitly or implicitly guaranteed by the U.S. government, and are highly rated by major rating agencies and have a long history of no credit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these securities were rated investment grade by at least one nationally recognized statistical rating organization with only $11 million rated below investment grade. All issues were current as to their interest payments. There have been no significant losses on PACE assessments that we have invested in given the low loan-to-value position and the superior lien position on the property. Management considers that the temporary impairment of these investments as of June 30, 2025 is primarily due to an increase in interest rates and spreads since the time these investments were purchased.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$32.6 million and $38.7 million at June 30, 2025 and December 31, 2024, respectively, was included in other assets in the consolidated balance sheet and excluded from the amortized cost and estimated fair value totals in the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June 30, 2025:</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six months ended June 30, 2025:</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six months ended 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$196.0 million at June 30, 2025 and $198.5 million at December 31, 2024. Due to these loans being fully guaranteed by the United States government, no allowance for credit losses is recorded in relation to these loans at June 30, 2025 and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June 30,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9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60-89 Days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1,196,804</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1,406,193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3,045,395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1,292,013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345,604</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31,332</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24,806</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1,644,143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1,668,949</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4,659,008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4,714,344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4,629,861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table above is an $8.2 million multifamily loan that was in the process of being refinanced at December 31, 2024, and has been included as 30-89 days past due as it was past the maturity date. This loan was subsequently refinanced and is performing in accordance with the updated terms.</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presents information regarding loan modifications granted to borrowers experiencing financial difficulty during the three and six months ended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5"/>
                <w:szCs w:val="15"/>
                <w:color w:val="auto"/>
              </w:rPr>
            </w:pPr>
          </w:p>
        </w:tc>
        <w:tc>
          <w:tcPr>
            <w:tcW w:w="88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8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5"/>
                <w:szCs w:val="15"/>
                <w:color w:val="auto"/>
              </w:rPr>
            </w:pPr>
          </w:p>
        </w:tc>
        <w:tc>
          <w:tcPr>
            <w:tcW w:w="88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0" w:type="dxa"/>
            <w:vAlign w:val="bottom"/>
          </w:tcPr>
          <w:p>
            <w:pPr>
              <w:spacing w:after="0"/>
              <w:rPr>
                <w:sz w:val="1"/>
                <w:szCs w:val="1"/>
                <w:color w:val="auto"/>
              </w:rPr>
            </w:pPr>
          </w:p>
        </w:tc>
      </w:tr>
      <w:tr>
        <w:trPr>
          <w:trHeight w:val="144"/>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40" w:type="dxa"/>
            <w:vAlign w:val="bottom"/>
          </w:tcPr>
          <w:p>
            <w:pPr>
              <w:spacing w:after="0"/>
              <w:rPr>
                <w:sz w:val="12"/>
                <w:szCs w:val="12"/>
                <w:color w:val="auto"/>
              </w:rPr>
            </w:pPr>
          </w:p>
        </w:tc>
        <w:tc>
          <w:tcPr>
            <w:tcW w:w="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Delay</w:t>
            </w: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40" w:type="dxa"/>
            <w:vAlign w:val="bottom"/>
          </w:tcPr>
          <w:p>
            <w:pPr>
              <w:spacing w:after="0"/>
              <w:rPr>
                <w:sz w:val="12"/>
                <w:szCs w:val="12"/>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has committed to lend an additional amount of $1.5 million to the one commercial and industrial borrower noted in the table above.</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and six months ended June 30,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39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7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six months ended June 30,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3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4020" w:type="dxa"/>
            <w:vAlign w:val="bottom"/>
            <w:tcBorders>
              <w:top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c>
          <w:tcPr>
            <w:tcW w:w="4020" w:type="dxa"/>
            <w:vAlign w:val="bottom"/>
          </w:tcPr>
          <w:p>
            <w:pPr>
              <w:jc w:val="center"/>
              <w:ind w:lef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 Extension and</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3860" w:type="dxa"/>
            <w:vAlign w:val="bottom"/>
            <w:vMerge w:val="continue"/>
          </w:tcPr>
          <w:p>
            <w:pPr>
              <w:spacing w:after="0"/>
              <w:rPr>
                <w:sz w:val="21"/>
                <w:szCs w:val="21"/>
                <w:color w:val="auto"/>
              </w:rPr>
            </w:pPr>
          </w:p>
        </w:tc>
        <w:tc>
          <w:tcPr>
            <w:tcW w:w="40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Payment Delay</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six months ended June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3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4020" w:type="dxa"/>
            <w:vAlign w:val="bottom"/>
            <w:tcBorders>
              <w:top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c>
          <w:tcPr>
            <w:tcW w:w="4020" w:type="dxa"/>
            <w:vAlign w:val="bottom"/>
          </w:tcPr>
          <w:p>
            <w:pPr>
              <w:jc w:val="center"/>
              <w:ind w:lef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 Extension and</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3860" w:type="dxa"/>
            <w:vAlign w:val="bottom"/>
            <w:vMerge w:val="continue"/>
          </w:tcPr>
          <w:p>
            <w:pPr>
              <w:spacing w:after="0"/>
              <w:rPr>
                <w:sz w:val="21"/>
                <w:szCs w:val="21"/>
                <w:color w:val="auto"/>
              </w:rPr>
            </w:pPr>
          </w:p>
        </w:tc>
        <w:tc>
          <w:tcPr>
            <w:tcW w:w="40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Payment Delay</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4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4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twelve months ended June 30, 2025, eight loan modifications were made to borrowers experiencing financial difficulty. One CRE loan of $14.0 million that was modified during this period had a payment default of $41.1 thousand during the three and six months ended June 30,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twelve months ended June 30, 2024, eight loan modifications were made to borrowers experiencing financial difficulty. One loan that was modified during this period had a payment default during the three and six months ended June 30, 2024.</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w:t>
      </w:r>
    </w:p>
    <w:p>
      <w:pPr>
        <w:spacing w:after="0" w:line="1" w:lineRule="exact"/>
        <w:rPr>
          <w:sz w:val="20"/>
          <w:szCs w:val="20"/>
          <w:color w:val="auto"/>
        </w:rPr>
      </w:pPr>
    </w:p>
    <w:p>
      <w:pPr>
        <w:jc w:val="both"/>
        <w:ind w:firstLine="8"/>
        <w:spacing w:after="0" w:line="255" w:lineRule="auto"/>
        <w:tabs>
          <w:tab w:leader="none" w:pos="3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 (risk rating 1 through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 (risk rating 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 (risk rating 10).</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June 30, 2025:</w:t>
      </w:r>
    </w:p>
    <w:p>
      <w:pPr>
        <w:spacing w:after="0" w:line="28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29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300" w:type="dxa"/>
            <w:vAlign w:val="bottom"/>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2021 &amp; Prior  Revolving loans</w:t>
            </w:r>
          </w:p>
        </w:tc>
        <w:tc>
          <w:tcPr>
            <w:tcW w:w="1300" w:type="dxa"/>
            <w:vAlign w:val="bottom"/>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Term</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8914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125,088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316,515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136,158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379,485</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99,811</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1,132,938</w:t>
            </w:r>
          </w:p>
        </w:tc>
      </w:tr>
      <w:tr>
        <w:trPr>
          <w:trHeight w:val="23"/>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16,397</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13,646</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36,292</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16,392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11,182</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126,112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324,872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81,575</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158,104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403,846</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102,295</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1,196,804</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1,971</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224,697</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343,165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478,824</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1,391,023</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11,336</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224,697</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349,819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487,340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1,406,193</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211,168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418,175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215,061</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422,068</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9,224</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11,106</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20,330</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68,864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122,845</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368,418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691,687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1,288,200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3,813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68,864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122,845</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370,230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693,688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1,292,013</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22,889</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229,595</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342,651</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2,953</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231,374</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345,604</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4,617</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11,163</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17,413</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31,128</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11,223</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17,531</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31,332</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260,444</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742,034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489,445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989,479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2,008,172</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123,765</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4,613,339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13,646</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40,126</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49,697</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8,152</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11,182</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261,468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750,391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495,219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1,021,071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2,048,840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137,355</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4,714,344</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7,015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2024:</w:t>
      </w:r>
    </w:p>
    <w:p>
      <w:pPr>
        <w:spacing w:after="0" w:line="2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331,879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146,475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218,078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1,113,225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332,131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203,668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231,481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451,981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1,343,024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1,351,604</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411,387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20,683</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382,888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1,312,011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384,379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444,622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1,313,617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94,240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362,927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365,516</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764,761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1,039,472</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1,423,125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167,319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4,582,246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1,061,024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707,459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1,450,334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June 30, 2025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57,676</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June 30, 2024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six months ended June 30, 2025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six months ended June 30, 2024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June 30, 2025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8"/>
                <w:szCs w:val="18"/>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38"/>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June 30,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9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mortgage loans with an unpaid principal balance of $2.40 billion and $2.45 billion, respectively, were pledged to the FHLBNY to secure outstanding advances and letters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$1.6 million and $1.9 million of loans to related parties and affiliates as of June 30, 2025 and December 31, 2024,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Loans Held for Sale ("LHFS") on the Consolidated Statements of Financial Condition was $2.5 million and $37.6 million, respectively. Included in LHFS were certain non-performing loans of $0.5 million and $4.9 million as of June 30, 2025 and December 31, 2024, respectively. Included in LHFS balance at December 31, 2024 was a pool of $36.6 million residential loans that were sold in the quarter ended March 31,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2,810,489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177,494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4,216,318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3,564,423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330,892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198,079</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7,733,272</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7,180,605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as of June 30, 2025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120,547</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71,148</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9"/>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198,079</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$52.7 million as of June 30, 2025 and $48.5 million as of December 31,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Federal Deposit Insurance Corporation ("FDIC") insurance to bank customers with balances in excess of FDIC insurance limits. CDARS deposits totaled approximately $57.0 million and $104.9 million as of June 30, 2025 and December 31, 2024, respectively, and are included in Time deposits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$63.9 million as of June 30, 2025 and $71.2 million as of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$61.6 million and $62.6 million as of June 30, 2025 and December 31, 2024,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Secured Overnight Financing Rate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subordinated debt was $63.7 million. Interest expense on subordinated debt for the three months ended June 30, 2025 and 2024 was $0.5 million and $0.6 million, respectively. Interest expense on subordinated debt for the six months ended June 30, 2025 and 2024 was $1.1 million and $1.2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did not repurchase any subordinated notes. During the three and six months ended June 30, 2024, subordinated notes with a par value of $2.5 million were repurchased for cash paid of $2.1 million. Gains on repurchases of subordinated debt for the three and six months ended June 30, 2024 were $0.4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FHLBNY Advances and Other Borrowings</w:t>
      </w:r>
    </w:p>
    <w:p>
      <w:pPr>
        <w:spacing w:after="0" w:line="2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to collateral capacity. As of June 30, 2025, the value of the other eligible assets had an estimated market value net of haircut totaling $2.18 billion (comprised of securities of $507.5 million and mortgage loans of $1.67 billion). As of December 31, 2024, the value of the other eligible assets had an estimated market value net of haircut totaling $2.04 billion (comprised of securities of $379.6 million and mortgage loans of $1.66 billion). The fair value of assets pledged to the FHLBNY is required to be not less than 110% of the outstanding advances. There were $11.7 million outstanding FHLB advances as of June 30, 2025 and $250.7 million in outstanding FHLBNY advances as of December 31, 2024. As of June 30, 2025 and December 31, 2024, we had $11.7 million and $10.7 million, respectively, of FHLBNY advances through the 0% Development Advance Program that provides members with subsidized funding in the form of interest rate credits to assist in originating loans or purchasing loans or investments that meet one of the eligibility criteria. As of June 30, 2025, we had $6.0 million of FHLBNY advances due in October 2025, and $5.7 million of FHLBNY advances due in June 2026. The Company pledged PACE assessments which qualified under the Climate Development Advance and therefore will receive interest rate credits and will not incur any interest expense related to the current outstanding advances. For the three months ended June 30, 2025 and 2024, interest expense on FHLBNY advances was $0.1 million and zero, respectively. For the six months ended June 30, 2025 and 2024, interest expense on FHLBNY advances was $0.7 million and zero, respectively.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June 30, 2025, and December 31, 2024 there were no outstanding balances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On March 11, 2024, BTFP ceased extending new borrowings, and as such, there was no outstanding borrowings for the three and six ended June 30, 2025, and 2024. For the three months ended June 30, 2025 and 2024, interest expense related to these borrowings was zero and $0.3 million, respectively. For the six months ended June 30, 2025, and 2024, interest expense on borrowings was zero and $2.7 million,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unvested restricted stock units are not considered participating securities as they do not receive dividend distributions until satisfaction of the related vesting requirements. For the three months ended June 30, 2025 and June 30, 2024, we had 24,579 and 584 anti-dilutive shares, respectively. For the six months ended June 30, 2025 and June 30, 2024, we had 6,856 and 5,276 anti-dilutive shares, respectively. Anti-dilutive shares were not included in computing diluted earnings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60" w:type="dxa"/>
            <w:vAlign w:val="bottom"/>
          </w:tcPr>
          <w:p>
            <w:pPr>
              <w:spacing w:after="0"/>
              <w:rPr>
                <w:sz w:val="17"/>
                <w:szCs w:val="17"/>
                <w:color w:val="auto"/>
              </w:rPr>
            </w:pPr>
          </w:p>
        </w:tc>
        <w:tc>
          <w:tcPr>
            <w:tcW w:w="22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8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627,667 shares were available for issuance as of June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June 30, 2025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June 30,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$12.00 to $14.65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three and six months ended June 30, 2025 or for the three and six months ended June 30, 2024 as all options had been fully expensed as of December 31, 2020. The fair value of all awards outstanding as of June 30, 2025 and December 31, 2024 was $0.9 million and $2.1 million, respectively. No cash was received for options exercised in the three and six months ended June 30, 2025 or for the three and six months ended June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22,273 shares and 85,759 shares for options exercised in the six months ended June 30, 2025 and June 30,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These awards are subject to a time-based vesting schedule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for the six months ended June 30, 2025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297,817</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(131,413)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June 30,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was $8.8 million of total unrecognized compensation cost related to the non-vested RSUs. The weighted average period to recognize unrecognized compensation is 1.6 years. The Company repurchased 41,979 shares and 8,778 shares for RSUs vested during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Performance-based restricted stock units ("PSUs") represent an obligation to deliver shares to an employee at a future date if certain vesting conditions are met. These awards are subject to the satisfaction of performance conditions or the satisfaction of market conditions,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PSUs are granted at target shares. The minimum and maximum awards that are achievable are 0% and 150%, respectively, of the target shares granted.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PSUs for the six months ended June 30,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Addition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June 30,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250,828</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reserved an additional 125,414 shares for issuance upon vesting of PSUs assuming the Company achieves the maximum share payout.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was $7.8 million of total unrecognized compensation cost related to the non-vested PSUs. The weighted average period to recognize unrecognized compensation is 1.6 years. The Company repurchased 27,942 shares and 45,301 shares for PSUs vested during the six months ended June 30, 2025 and 2024,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awarded 25,418 additional shares related to the performance achievement of corporate goals above target at a weighted average fair value of $8.84 per share. Included in these awards was 12,851 shares with a grant date fair market value of $17.48, and 12,567 shares that were based on market-conditions in which the achievement of the goal did not result in additional expense to the Company. Compensation expense attributable to the vesting of the performance shares was $0.2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59,415 PSUs at target achievement of the Company's corporate goals at a weighted average fair value of $36.78 per share which vest subject to the achievement of the Company’s corporate goals. The corporate goals are based on the achievement of a target increase in Tangible Book Value, adjusted for certain factors, and the Company's relative total shareholder return compared to a group of peer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Bonus Deferral And Stock Purchase Plan ("BDSPP") provides for a bonus deferral opportunity with matching benefits to certain executives. Under the BDSPP, deferred restricted stock units ("DSUs") represent an obligation to deliver shares to an employee at a future date if certain vesting conditions are met. The plan allows for participating executives to defer up to 100% of their annual incentive plan bonus in the form of deferred restricted stock units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These awards do not provide dividend equivalent rights from the date of grant and do not provide voting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DSUs for the six months ended June 30, 2025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bonus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match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June 30,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was $0.5 million of total unrecognized compensation cost related to the non-vested DSUs. The weighted average period to recognize unrecognized compensation is 1.2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attributable to employee RSUs, PSUs, and DSUs was $1.6 million and $2.9 million for the three and six months ended June 30, 2025, and $1.4 million and $2.3 million for the three and six months ended June 30, 2024. Compensation expense attributable to director RSUs was $0.2 million and $0.3 million for the three and six months ended June 30, 2025 and $0.1 million and $0.3 million for the three and six months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As of June 30, 2025, there were 381,388 shares available for the purchase under ESPP. The expense related to the discount on purchased shares for the three months ended June 30, 2025 and June 30, 2024 was $27.8 thousand and $30.9 thousand, respectively, and is recorded within compensation and employee benefits expense on the Consolidated Statements of Income. The expense for the six months ended June 30, 2025 and June 30, 2024 was $69.1 thousand and $67.6 thousand, respectively.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637,994</w:t>
            </w: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283,371</w:t>
            </w: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672,594</w:t>
            </w: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96,585</w:t>
            </w: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22,533</w:t>
            </w:r>
          </w:p>
        </w:tc>
      </w:tr>
      <w:tr>
        <w:trPr>
          <w:trHeight w:val="22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178,247</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0"/>
        </w:trPr>
        <w:tc>
          <w:tcPr>
            <w:tcW w:w="53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1,893,089</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56"/>
        </w:trPr>
        <w:tc>
          <w:tcPr>
            <w:tcW w:w="5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1,631,226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six months ended June 30, 2025 and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Pr>
          <w:p>
            <w:pPr>
              <w:spacing w:after="0"/>
              <w:rPr>
                <w:sz w:val="19"/>
                <w:szCs w:val="19"/>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 (losses) included in other comprehensive income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June 30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June 30, 2025 and 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(19.9%)</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7.0%-25.0% (18.9%)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648"/>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2024.</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171,067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944,837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1,437,875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4,655,346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4,479,947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57,040</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55,509</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7,535,193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197,516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1,432,720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4,352,266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61,172</w:t>
            </w:r>
          </w:p>
        </w:tc>
        <w:tc>
          <w:tcPr>
            <w:tcW w:w="0" w:type="dxa"/>
            <w:vAlign w:val="bottom"/>
          </w:tcPr>
          <w:p>
            <w:pPr>
              <w:spacing w:after="0"/>
              <w:rPr>
                <w:sz w:val="1"/>
                <w:szCs w:val="1"/>
                <w:color w:val="auto"/>
              </w:rPr>
            </w:pP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250,709</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DERIVATIVES AND HEDGING ACTIVITIES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June 30, 2025, the Company had one interest rate swap with a notional value of $100.0 million and two interest rate option contracts with a floor with a notional value of $165.0 million,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outstanding notional balances and the fair value of the Company’s derivative assets as of June 30, 2025 and December 31,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20" w:type="dxa"/>
            <w:vAlign w:val="bottom"/>
          </w:tcPr>
          <w:p>
            <w:pPr>
              <w:spacing w:after="0"/>
              <w:rPr>
                <w:sz w:val="20"/>
                <w:szCs w:val="20"/>
                <w:color w:val="auto"/>
              </w:rPr>
            </w:pPr>
          </w:p>
        </w:tc>
        <w:tc>
          <w:tcPr>
            <w:tcW w:w="24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3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180" w:type="dxa"/>
            <w:vAlign w:val="bottom"/>
          </w:tcPr>
          <w:p>
            <w:pPr>
              <w:spacing w:after="0"/>
              <w:rPr>
                <w:sz w:val="13"/>
                <w:szCs w:val="13"/>
                <w:color w:val="auto"/>
              </w:rPr>
            </w:pP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Assets)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six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vMerge w:val="continue"/>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vMerge w:val="continue"/>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$29.1 thousand will be reclassified as a reduction in interest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terminate any derivatives during the three and six months ended June 30, 2025 and 2024, respectively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0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other comprehensive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reclassified from other comprehensive income into interest income</w:t>
            </w:r>
          </w:p>
        </w:tc>
        <w:tc>
          <w:tcPr>
            <w:tcW w:w="220" w:type="dxa"/>
            <w:vAlign w:val="bottom"/>
          </w:tcPr>
          <w:p>
            <w:pPr>
              <w:spacing w:after="0"/>
              <w:rPr>
                <w:sz w:val="20"/>
                <w:szCs w:val="20"/>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900"/>
        </w:trPr>
        <w:tc>
          <w:tcPr>
            <w:tcW w:w="66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8"/>
        </w:trPr>
        <w:tc>
          <w:tcPr>
            <w:tcW w:w="6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700" w:type="dxa"/>
            <w:vAlign w:val="bottom"/>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442,761</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above table are extensions of credit to related parties and affiliates. As of June 30, 2025, the Company had $70.0 million of lines of credit and $0.3 million of standby letters of credit to related parties and affiliates. As of December 31, 2024, the Company had $70.0 million of lines of credit and $0.3 million of standby letters of credit to related parties and affiliates.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$4.7 million as of June 30, 2025, compared to an allowance of $4.1 million as of December 31, 2024. The provision of credit losses related to off balance sheet credit commitments was $0.1 million and $0.5 million for the three and six months ended June 30, 2025, and $1.4 million and $2.1 million for the three and six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June 30, 2025, the estimated remaining commitments under these agreements were $201.4 million and $250.0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Variable Interest Entities projects, we also have commitments to provide financing, which are included in Note 14 in this report.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June 30, 2025.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quarter,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company is expected to move to the new premises in mid 2026.</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ROU lease asset was $11.4 million and operating lease liability was $15.4 million. As of December 31, 2024, the ROU lease asset was $14.2 million and operating lease liability was $19.7 million.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18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7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59"/>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expiration dates ranged from 0.3 to 5.8 years for June 30, 2025, and from 1.3 to 3.5 years for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June 30, 2025 and June 30, 2024 was 1.8 years and 2.6 years,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3.37% and 3.13% at June 30, 2025 and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June 30, 2025:</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5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 of June 30, 2025</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3660" w:type="dxa"/>
            <w:vAlign w:val="bottom"/>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36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66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6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66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660" w:type="dxa"/>
            <w:vAlign w:val="bottom"/>
          </w:tcPr>
          <w:p>
            <w:pPr>
              <w:spacing w:after="0"/>
              <w:rPr>
                <w:sz w:val="19"/>
                <w:szCs w:val="19"/>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3660" w:type="dxa"/>
            <w:vAlign w:val="bottom"/>
          </w:tcPr>
          <w:p>
            <w:pPr>
              <w:spacing w:after="0"/>
              <w:rPr>
                <w:sz w:val="21"/>
                <w:szCs w:val="2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86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tcPr>
          <w:p>
            <w:pPr>
              <w:spacing w:after="0"/>
              <w:rPr>
                <w:sz w:val="24"/>
                <w:szCs w:val="24"/>
                <w:color w:val="auto"/>
              </w:rPr>
            </w:pPr>
          </w:p>
        </w:tc>
      </w:tr>
      <w:tr>
        <w:trPr>
          <w:trHeight w:val="358"/>
        </w:trPr>
        <w:tc>
          <w:tcPr>
            <w:tcW w:w="5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2025 and estimates and assumptions that the Company believes most appropriate for the analysis. Based on the qualitative analysis performed in accordance with ASC 350, the Company determined it more likely than not that goodwill was not impaired as of June 30, 2025. During the three and six months ended June 30, 2025,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$7.9 million and $7.6 million as of June 30, 2025 and December 31, 2024, respectively. At June 30, 2025 and December 31, 2024, the carrying amount of the core deposit intangible was $1.2 million and $1.5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$0.1 million and $0.2 million for the three months ended June 30, 2025 and June 30, 2024, respectively, and $0.3 million and $0.4 million for the six months ended June 30, 2025 and June 30,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June 30, 2025, the Company's maximum exposure to loss is $50.3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48,654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1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3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59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1" w:name="page52"/>
    <w:bookmarkEnd w:id="51"/>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June 30, 2025, as compared to December 31, 2024, and our results of operations for the three and six month periods ended June 30, 2025 and June 30, 2024.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2024 (the “2024 Annual Report”), filed with the Securities and Exchange Commission on March 6, 2025. Historical results of operations and the percentage relationships among any amounts included, and any trends that may appear, may not indicate results of operations for any future periods.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38% of our equity as of June 30, 2025. As of June 30, 2025, our total assets were $8.62 billion, our total loans, net of allowance for credit losses were $4.66 billion, our total deposits were $7.73 billion, and our stockholders' equity was $754.0 million. As of June 30, 2025, our trust business held $36.50 billion in assets under custody and $15.63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2024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significant accounting policies, or the estimates made pursuant to those policies as described in our 2024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President Trump signed into law the legislation formally titled “An Act to Provide for Reconciliation Pursuant to Title II of H. Con. Res. 14” and commonly referred to as the One Big Beautiful Bill (the "Act”). The Company is currently evaluating income tax implications of the Act. The Company does not expect the Act to have a material impact on the Company’s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results are made using qualitative factors. These factors include: (1) borrowers' financial condition; (2) borrowers' ability to pay; (3) nature and volume of financial assets; (4) value of the underlying collateral; (5) lending policies and procedures; (6) quality of the loan review system; (7) the experience, ability, and depth of staff; (8) regulatory and legal environment; (9) changes in market conditions; and (10) changes in economic conditions.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borrowers,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 Improvements to Income Tax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2023, the FASB issued ASU 2023-09, Income Taxes (Topic 740): Improvements to Income Tax Disclosures, which is intended to enhance the transparency of income tax disclosures, primarily related to the rate reconciliation and income taxes paid information. 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 The Company has not adopted the standard yet.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for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technology fees and other miscellaneous operating costs.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second quarter of 2025 was $26.0 million, or $0.84 per diluted share, compared to $26.8 million, or $0.87 per diluted share, for the second quarter of 2024. The $0.8 million decrease was primarily due to a $1.7 million increase in provision for credit losses, $1.4 million increase in interest expense, $1.2 million decrease in non-interest income, a $1.1 million increase in non-interest expense, and a $0.4 million increase in income tax expense, offset by a $5.1 million increase in interest and dividend income.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six months ended June 30, 2025 was $51.0 million, or $1.65 per diluted share, compared to $54.0 million, or $1.75 per diluted share, for the six months ended June 30, 2024. The $3.0 million decrease was primarily due to a $5.1 million decrease in non-interest income, a $4.5 million increase in non-interest expense, a $2.6 million increase in interest expense, and a $0.8 million increase in provision for credit losses, offset by a $8.9 million increase in interest and dividend income, and a $1.1 million decrease in income tax expense.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subordinated debt, Federal Home Loan Bank of New York ("FHLBNY") advances, federal funds purchased and other borrowings. To evaluate net interest income, we measure and monitor (i) yields on our loans, investments,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10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3,361,812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3,308,881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4,659,667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4,406,843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8,052,067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8,445,679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4,457,620</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3,729,858</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4,676,455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4,096,509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4,201,069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2,895,845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3,390,941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7,704,244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7,652,992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741,435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8,445,679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3,483,869</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3,850,998</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line="20" w:lineRule="exact"/>
              <w:rPr>
                <w:sz w:val="1"/>
                <w:szCs w:val="1"/>
                <w:color w:val="auto"/>
              </w:rPr>
            </w:pPr>
          </w:p>
        </w:tc>
      </w:tr>
      <w:tr>
        <w:trPr>
          <w:trHeight w:val="176"/>
        </w:trPr>
        <w:tc>
          <w:tcPr>
            <w:tcW w:w="38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7,572,300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7,487,450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funding / total cost of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7,648,041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7,592,010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2Q2025 and 2Q2024 of $200 and $0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$72.9 million for the second quarter of 2025, compared to $69.2 million for the second quarter of 2024. The $3.7 million increase, or 5.4% increase from the second quarter of 2024 was primarily attributable to higher yields and average balances on interest-earning assets, and lower costs on interest bearing liabilities, partially offset by higher average balances on interest-bearing liabilities.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Net interest spread was 2.44% for the three months ended June 30, 2025, compared to 2.09% for the same period in 2024, an increase of 35 basis points. Our net interest margin was 3.55% for the second quarter of 2025, an increase of 9 basis points from 3.46% in the second quarter of 2024. This was largely due to increases in yields and average balances on interest-bearing assets, partially offset by an increase in total cost of funds.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5.07% for the three months ended June 30, 2025, compared to 4.94% for the same period in 2024, an increase of 13 basis points. This increase was driven primarily by the current rate environment resulting in increased yields across securities and loan portfolios.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2.63% for the three months ended June 30, 2025, a decrease of 22 basis points from the same period in 2024, which was primarily due to an increase in average balance of deposits, particularly in savings, NOW, money market deposits and time deposits. Non-interest-bearing deposits represented 38.2% of average deposits for the three months ended June 30, 2025, compared to 45.3% for the three months ended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80" w:type="dxa"/>
            <w:vAlign w:val="bottom"/>
          </w:tcPr>
          <w:p>
            <w:pPr>
              <w:jc w:val="right"/>
              <w:ind w:right="111"/>
              <w:spacing w:after="0" w:line="18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Income /</w:t>
            </w:r>
          </w:p>
        </w:tc>
        <w:tc>
          <w:tcPr>
            <w:tcW w:w="1160" w:type="dxa"/>
            <w:vAlign w:val="bottom"/>
            <w:gridSpan w:val="2"/>
          </w:tcPr>
          <w:p>
            <w:pPr>
              <w:jc w:val="center"/>
              <w:ind w:right="4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Yield /</w:t>
            </w:r>
          </w:p>
        </w:tc>
        <w:tc>
          <w:tcPr>
            <w:tcW w:w="160" w:type="dxa"/>
            <w:vAlign w:val="bottom"/>
          </w:tcPr>
          <w:p>
            <w:pPr>
              <w:spacing w:after="0"/>
              <w:rPr>
                <w:sz w:val="16"/>
                <w:szCs w:val="16"/>
                <w:color w:val="auto"/>
              </w:rPr>
            </w:pPr>
          </w:p>
        </w:tc>
        <w:tc>
          <w:tcPr>
            <w:tcW w:w="880" w:type="dxa"/>
            <w:vAlign w:val="bottom"/>
          </w:tcPr>
          <w:p>
            <w:pPr>
              <w:jc w:val="right"/>
              <w:ind w:right="91"/>
              <w:spacing w:after="0" w:line="18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Income /</w:t>
            </w:r>
          </w:p>
        </w:tc>
        <w:tc>
          <w:tcPr>
            <w:tcW w:w="960" w:type="dxa"/>
            <w:vAlign w:val="bottom"/>
          </w:tcPr>
          <w:p>
            <w:pPr>
              <w:jc w:val="right"/>
              <w:ind w:right="250"/>
              <w:spacing w:after="0" w:line="184" w:lineRule="exact"/>
              <w:rPr>
                <w:sz w:val="20"/>
                <w:szCs w:val="20"/>
                <w:color w:val="auto"/>
              </w:rPr>
            </w:pPr>
            <w:r>
              <w:rPr>
                <w:rFonts w:ascii="Times New Roman" w:cs="Times New Roman" w:eastAsia="Times New Roman" w:hAnsi="Times New Roman"/>
                <w:sz w:val="18"/>
                <w:szCs w:val="18"/>
                <w:b w:val="1"/>
                <w:bCs w:val="1"/>
                <w:color w:val="auto"/>
              </w:rPr>
              <w:t>Yield /</w:t>
            </w:r>
          </w:p>
        </w:tc>
        <w:tc>
          <w:tcPr>
            <w:tcW w:w="0" w:type="dxa"/>
            <w:vAlign w:val="bottom"/>
          </w:tcPr>
          <w:p>
            <w:pPr>
              <w:spacing w:after="0"/>
              <w:rPr>
                <w:sz w:val="1"/>
                <w:szCs w:val="1"/>
                <w:color w:val="auto"/>
              </w:rPr>
            </w:pPr>
          </w:p>
        </w:tc>
      </w:tr>
      <w:tr>
        <w:trPr>
          <w:trHeight w:val="112"/>
        </w:trPr>
        <w:tc>
          <w:tcPr>
            <w:tcW w:w="3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9"/>
                <w:szCs w:val="9"/>
                <w:color w:val="auto"/>
              </w:rPr>
            </w:pPr>
          </w:p>
        </w:tc>
        <w:tc>
          <w:tcPr>
            <w:tcW w:w="88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141,756</w:t>
            </w: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209,547</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3,291,591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3,239,619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4,677,367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116,566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4,398,665</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8,152,171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7,948,645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29"/>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212,245</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221,924</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8,369,751</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8,176,289</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4,350,797</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3,660,704</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4,576,518</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4,033,172</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196,326</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4,681,397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4,229,498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2,898,439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3,264,590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7,637,791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7,564,397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731,960</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611,892</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8,369,751</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8,176,289</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3,470,774</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3,719,147</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line="20" w:lineRule="exact"/>
              <w:rPr>
                <w:sz w:val="1"/>
                <w:szCs w:val="1"/>
                <w:color w:val="auto"/>
              </w:rPr>
            </w:pPr>
          </w:p>
        </w:tc>
      </w:tr>
      <w:tr>
        <w:trPr>
          <w:trHeight w:val="177"/>
        </w:trPr>
        <w:tc>
          <w:tcPr>
            <w:tcW w:w="37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deposits / total cost of deposits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7,474,957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7,297,762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funding / total cost of funds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7,579,836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7,494,088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June YTD 2025 and June YTD 2024 of $200 and $18 thousand, respectively.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$143.5 million for the six months ended June 30, 2025, compared to $137.2 million for the same period in 2024. The $6.3 million increase, or 5.4% increase was primarily attributable to higher yields and average balances on interest-earning assets, partially offset by higher average balances on interest-bearing liabilities.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Net interest spread was 2.43% for the six months ended June 30, 2025, compared to 2.17% for the same period in 2024, an increase of 26 basis points. Our net interest margin was 3.55% for the six months ended June 30, 2025, an increase of 8 basis points from 3.47% in the same period of 2024. This was largely due to increases in yields and average balances on interest-bearing assets, partially offset by an increase in total cost of funds.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average earning assets was 5.07% for the six months ended June 30, 2025, compared to 4.96% for the same period in 2024, an increase of 11 basis points. This increase was driven primarily by the current rate environment resulting in increased yields across securities and loan portfolios.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2.64% for the six months ended June 30, 2025, a decrease of 15 basis points from the same period in 2024, which was primarily due to an increase in average balances of deposits, particularly in savings, NOW, money market deposits and time deposits. Non-interest-bearing deposits represented 38.8% of average deposits for the three months ended June 30, 2025, compared to 44.7% for the three months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2300" w:type="dxa"/>
            <w:vAlign w:val="bottom"/>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June 30, 2025 over June 30, 2024</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June 30, 2025 over June 30, 2024</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18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Changes Due</w:t>
            </w: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2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18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Changes Due</w:t>
            </w:r>
          </w:p>
        </w:tc>
        <w:tc>
          <w:tcPr>
            <w:tcW w:w="120" w:type="dxa"/>
            <w:vAlign w:val="bottom"/>
          </w:tcPr>
          <w:p>
            <w:pPr>
              <w:spacing w:after="0"/>
              <w:rPr>
                <w:sz w:val="13"/>
                <w:szCs w:val="13"/>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Net Change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6"/>
              </w:rPr>
              <w:t>To</w:t>
            </w: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6"/>
              </w:rPr>
              <w:t>To</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establish an allowance for credit losses through a provision for credit losses charged as an expense in our Consolidated Statements of Income.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credit losses totaled an expense of $4.9 million for the second quarter of 2025 compared to an expense of $3.2 million for the same period in 2024. Overall, the provision for credit losses during the second quarter of 2025 was primarily driven by a $2.3 million increase in reserve for one syndicated commercial and industrial loan as well as the macroeconomic forecasts used in the Current Expected Credit Losses ("CECL") model, primarily related to the consumer solar loan portfolio, which can be volatile.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credit losses totaled an expense of $5.5 million for the six months ended June 30, 2025 compared to an expense of $4.7 million for the same period in 2024. Overall, the provision for credit losses during the six months was primarily driven by increases in charge offs on consumer solar and other C&amp;I loans and increases in specific reserves, offset by decreases in unfunded commitments.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changes in fair value on loans held-for-sale, income or losses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8"/>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 of securities and other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loans and changes in fair value on loans held-for-sale,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19,487</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$8.0 million for the second quarter of 2025, compared to $9.3 million for the second quarter in 2024. The decrease of $1.2 million in the second quarter of 2025 compared to the corresponding quarter in 2024 was primarily due to a a $4.7 million decrease in service charges on deposit accounts primarily due to decreases in Insured Cash Sweep ("ICS") One-Way Sell income, offset by a $1.7 million decrease in losses on sale of securities and other assets, a $1.6 million increase in income equity investments, and a $0.2 million increase in trust department fees. Our Trust Department fees were $3.9 million in the second quarter of 2025, and $3.7 million in the same period in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was $14.4 million for the six months ended June 30, 2025, compared to $19.5 million for the six months ended June 30, 2024. The decrease of $5.1 million was primarily due to a $7.5 million decrease in service charges on deposit accounts primarily due to decreases in Insured Cash Sweep ("ICS") One-Way Sell income and a $3.0 million decrease in income from equity investments, offset by a $3.8 million decrease in losses on sale of securities, a $0.8 million increase in gain on sale of loans and changes in fair value on loans held-for-sale, a $0.6 million increase in trust department fees, and a $0.2 million increase in bank-owed life insurance income. Our Trust Department fees were $8.1 million in the six months of 2025, and $7.5 million in the same period in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technology, office maintenance and depreciation, amortization of intangible assets, advertising and promotion, federal deposit insurance premiums,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23"/>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77,664</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second quarter of 2025 was $40.6 million, an increase of $1.1 million from $39.5 million for the second quarter of 2024. The increase was driven by a $1.0 million increase in professional fees, a $0.7 million increase in technology expense, a $0.2 million increase in compensation and benefits expense, a $0.1 million increase in occupancy and depreciation expense and a $0.1 million increase in other expenses, partially offset by a $0.8 million decrease in advertising and promotion expense and a $0.2 million decrease in federal deposit insurance premiums expense.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six months ended June 30, 2025 was $82.2 million, an increase of $4.5 million from $77.7 million for the six months ended June 30, 2024. The increase was driven by a $3.3 million increase in professional fees, a $1.7 million increase in technology expense, a $1.2 million increase in compensation and benefits expense, and a $0.5 million increase in occupancy, partially offset by a $1.9 million decrease in advertising and promotion expense, a $0.3 million decrease in federal deposit insurance premiums expense, and a $0.1 million decrease in amortization of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$9.5 million for the second quarter of 2025, compared to $9.0 million for the second quarter of 2024. Our effective tax rate for the second quarter of 2025 was 26.7% compared to 25.2% for the second quarter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$19.2 million for the six months ended June 30, 2025, compared to $20.3 million for the same period in of 2024. Our effective tax rate for the six months ended June 30, 2025 was 27.3% compared to 27.3%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$8.62 billion at June 30, 2025, compared to $8.26 billion at December 31, 2024. Notable changes within individual balance sheet line items include a $552.7 million increase in deposits, a $242.7 million increase in securities, a $110.3 million increase in cash, a $42.5 million increase in loans receivable, net, a $33.3 million increase in resell agreements, and a $239.0 million decrease in borrowings.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CMOs. We invest in non-GSE securities, including property assessed clean energy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June 30, 2025 or at December 31, 2024.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we had available for sale securities of $1.89 billion and $1.63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held-to-maturity securities portfolio primarily consisted of PACE assessments, tax-exempt municipal securities, GSE commercial and residential certificates and other debt. We carry these securities at amortized cost. We had held-to-maturity securities of $1.57 billion at June 30, 2025, and $1.59 billion at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we purchased a total of $508.5 million securities consisting of both available for sale and held-to-maturity, and sold available for sale securities resulting in proceeds of $56.1 million and a net realized loss of $1.7 million as part of normal and ongoing balance sheet management. During the six months ended June 30, 2024 we purchased a total of $568.5 million securities consisting of both available for sale and held-to-maturity, and sold available for sale securities resulting in proceeds of $219.2 million and a net realized loss of $5.5 million as part of routine and ongoing balance sheet management.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$20.0 million at June 30, 2025 and $27.0 million at December 31, 2024, and is excluded from the estimate of credit losses, as accrued interest receivable is reversed for securities placed on nonaccrual status. The allowance for credit losses for held-to-maturity securities at June 30, 2025 was $0.7 million compared to $0.7 million at December 31, 2024. The provision for credit losses for held-to-maturity securities was an expense of $3.0 thousand for the three months ended June 30, 2025 and an immaterial recovery for the six months ended June 30, 2025, compared to a recovery of $2.0 thousand and $13.0 thousand for the three and six months ended June 30,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recovery).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$12.6 million at June 30, 2025 and $11.7 million at December 31, 2024, and is excluded from the estimate of credit losses, as accrued interest receivable is reversed for securities placed on nonaccrual status.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top w:val="single" w:sz="8" w:color="auto"/>
            </w:tcBorders>
          </w:tcPr>
          <w:p>
            <w:pPr>
              <w:jc w:val="center"/>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3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Total held-to-maturity</w:t>
            </w: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3,215,967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Contractual Maturity as of June 30, 2025</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3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GSE certificates &amp; CMOs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59,167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590,820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173,592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492,020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6"/>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272,354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33,244</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715,041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504,898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2,900,491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3" w:name="page64"/>
    <w:bookmarkEnd w:id="63"/>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June 30,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8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Credit Ratings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gridSpan w:val="3"/>
            <w:vMerge w:val="restart"/>
          </w:tcPr>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6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740" w:type="dxa"/>
            <w:vAlign w:val="bottom"/>
            <w:vMerge w:val="continue"/>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AAA</w:t>
            </w:r>
          </w:p>
        </w:tc>
        <w:tc>
          <w:tcPr>
            <w:tcW w:w="7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 AA</w:t>
            </w:r>
          </w:p>
        </w:tc>
        <w:tc>
          <w:tcPr>
            <w:tcW w:w="6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6"/>
              </w:rPr>
              <w:t>% A</w:t>
            </w: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Floating</w:t>
            </w:r>
          </w:p>
        </w:tc>
        <w:tc>
          <w:tcPr>
            <w:tcW w:w="8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Collateralized Loan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("CLO")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558,159</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40" w:type="dxa"/>
            <w:vAlign w:val="bottom"/>
            <w:tcBorders>
              <w:right w:val="single" w:sz="8" w:color="auto"/>
            </w:tcBorders>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186,404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75,938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879,405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PACE assessments. All non-agency securities, composed of non-agency commercial mortgage-backed securities, collateralized loan obligations, non-agency mortgage-backed securities, and asset-backed securities, are senior tranche and approximately 80% carry AAA credit ratings and 20% carry A credit ratings or higher, with only $11 million rated below investment grade. Approximately 76% of this portfolio is classified as “available for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Lending related income is the most important component of our net interest income and is the main driver of our results of operations. Total loans, net of deferred origination fees and costs, and allowance for credit losses, were $4.66 billion as of June 30, 2025 compared to $4.61 billion as of December 31, 2024. Within our commercial loan portfolio, our primary focus has been on C&amp;I, multifamily and CRE lending. We intend to focus any organic growth in our loan portfolio on these lending areas as part of our strategic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June 30, 2025 and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40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Pr>
          <w:p>
            <w:pPr>
              <w:spacing w:after="0"/>
              <w:rPr>
                <w:sz w:val="20"/>
                <w:szCs w:val="20"/>
                <w:color w:val="auto"/>
              </w:rPr>
            </w:pPr>
          </w:p>
        </w:tc>
        <w:tc>
          <w:tcPr>
            <w:tcW w:w="32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1,196,804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1,406,193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3,045,395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1,292,013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1,668,949</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4,714,344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4,655,346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loan portfolio comprised 64.6% of our total loan portfolio at June 30, 2025 and 63.3% of our total loan portfolio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categories of our commercial loan portfolio are discussed below:</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either the lead bank or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June 30, 2025 by exposure was $4.5 million with a median size of $1.1 million. Our lending strategy focuses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C&amp;I loans totaled $1.20 billion at June 30, 2025, which comprised 25.4% of our total loan portfolio. During the six months ended June 30, 2025, the C&amp;I loan portfolio increased by 1.8% from $1.18 billion at December 31,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60% of their exposure in New York City. Our multifamily loans have been underwritten under stringent guidelines on loan-to-value and debt service coverage ratios that are designed to mitigate credit and concentration risk in this loan category. The average current LTV of our multifamily loans is approximately 54%.</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$1.41 billion at June 30, 2025, which comprised 29.8% of our total loan portfolio. During the six months ended June 30, 2025, the multifamily loan portfolio increased by 4.0% from $1.35 billion at December 31,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have 69% of their exposure in New York City. Our CRE loans have been underwritten under stringent guidelines on loan-to-value and debt service coverage ratios that are designed to mitigate credit and concentration risk in this loan category. The average current LTV of our CRE loans is approximately 42%.</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 loans totaled $422.1 million at June 30, 2025, which comprised 9.0% of our total loan portfolio. During the six months ended June 30, 2025, the CRE loan portfolio increased by 2.6% from $411.4 million at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35.4% of our total loan portfolio at June 30, 2025 and 36.7% of our loan portfolio at December 31, 2024.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Our residential real estate lending portfolio is 99% first mortgage loans and 1% second mortgage loans. These loans are either originated by our loan officers or purchased from other originators with the servicing retained by the originator. For loans not serviced by the originator, loan servicing is outsourced to a third-party subservicer engaged by the Bank. As of June 30, 2025, the majority of our residential 1-4 family mortgage loans were originated by our loan officers. Our residential real estate lending loans totaled $1.29 billion at June 30, 2025, which comprised 77.4% of our retail loan portfolio and 27.4% of our total loan portfolio. As of June 30, 2025, our residential real estate lending loans decreased by 1.6% from $1.31 billion at December 31, 2024.</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portfolio is fully acquired and is in run-off mode. Our consumer solar loans totaled $345.6 million at June 30, 2025, which comprised 7.3% of our total loan portfolio, compared to $365.5 million, or 7.8% of our total loan portfolio, at December 31,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and other loans totaled $31.3 million at June 30, 2025, which comprised 0.7% of our total loan portfolio, compared to $34.6 million, or 0.8% of our total loan portfolio, at December 31, 2024.</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June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1,196,804</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1,406,193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422,068</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1,292,013</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4,714,344</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June 30, 2026: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584,241</w:t>
            </w:r>
          </w:p>
        </w:tc>
        <w:tc>
          <w:tcPr>
            <w:tcW w:w="120" w:type="dxa"/>
            <w:vAlign w:val="bottom"/>
          </w:tcPr>
          <w:p>
            <w:pPr>
              <w:spacing w:after="0"/>
              <w:rPr>
                <w:sz w:val="19"/>
                <w:szCs w:val="19"/>
                <w:color w:val="auto"/>
              </w:rPr>
            </w:pP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349,590</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933,831</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1,182,340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1,213,701</w:t>
            </w: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319,398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325,659</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752,492</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1,291,950</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345,539</w:t>
            </w:r>
          </w:p>
        </w:tc>
      </w:tr>
      <w:tr>
        <w:trPr>
          <w:trHeight w:val="230"/>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28,995</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30,328</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4,145,130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and six months ended June 30, 2025 and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4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4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the allowance for credit losses on loans increased $1.3 million to $59.0 million at June 30, 2025 from $57.7 million at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allowance to total loans was 1.25% at June 30, 2025 and 1.23% at March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allowance for credit losses on held-to-maturity securities was $0.7 million, compared to $0.7 million at March 31, 2025.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2024</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29"/>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solar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57"/>
        </w:trPr>
        <w:tc>
          <w:tcPr>
            <w:tcW w:w="4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June 30, 2025 and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28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28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35,165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25,870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4,062</w:t>
            </w:r>
          </w:p>
        </w:tc>
      </w:tr>
      <w:tr>
        <w:trPr>
          <w:trHeight w:val="230"/>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11,107</w:t>
            </w:r>
          </w:p>
        </w:tc>
      </w:tr>
      <w:tr>
        <w:trPr>
          <w:trHeight w:val="223"/>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r>
      <w:tr>
        <w:trPr>
          <w:trHeight w:val="250"/>
        </w:trPr>
        <w:tc>
          <w:tcPr>
            <w:tcW w:w="6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28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2,827</w:t>
            </w: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$35.2 million, or 0.41% of period-end total assets at June 30, 2025, an increase of $9.3 million, compared with $25.9 million, or 0.31% of period-end total assets at December 31, 2024. The increase in non-performing assets at June 30, 2025 compared to December 31, 2024 assets was primarily driven by a $11.5 million and a $2.2 million increase in commercial and industrial nonaccrual loans and residential real estate nonaccrual loans, respectively, offset by a $4.4 million decrease in held for sale nonaccrual loans.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 table above and totaled $119.0 million, or 1.4% of total assets, at June 30, 2025, as follows: $90.6 million are commercial loans currently in workout that management expects will be rehabilitated; $10.8 million are commercial loans that are 30-89 days delinquent; $12.3 million are residential real estate loans at 30-89 days delinquent, and $5.8 million are consumer loans at 30-89 days delinquent.</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problem loans are not included in the nonperforming assets table above and totaled $109.4 million, or 1.3% of total assets, at December 31, 2024, as follows: $79.9 million are commercial loans currently in workout that management expects will be rehabilitated; $17.8 million are commercial loans that are 30-89 days delinquent; $6.2 million are residential real estate loans at 30-89 days delinquent and $5.6 million are consumer loans at 30-89 days delinquent.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we entered into $57.0 million of short term investments of resell agreements backed by government guaranteed loans and other loans, with a weighted average interest rate of 6.63%. As of December 31, 2024, we have entered into $23.7 million of short term investments of resell agreements backed by residential mortgage loans, with a weighted interest rate of 6.91%.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$33.7 million at June 30, 2025 and $42.4 million at December 31, 2024. As of June 30, 2025,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$7.73 billion at June 30, 2025, compared to $7.18 billion at December 31, 2024.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PACs ("political action committees"), and state and national party committees, which we refer to as political deposits. These deposits exhibit seasonality based on election cycles. As of June 30, 2025 and December 31, 2024, we had approximately $1.21 billion and $969.6 million, respectively, in political deposits on- and off-balance sheet which are primarily in demand deposits.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network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As of June 30, 2025 and December 31, 2024, these off-balance sheet deposits totaled $41.4 million and $0, respectively. In return for record keeping services at Program Banks, the Company receives a servicing fee. For the three and six months ended June 30, 2025, the Company recognized $102.2 thousand and $110.8 thousand in servicing fee income compared to $4.9 million and $7.8 million for the three and six months ended June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June 30, 2025 and December 31, 2024 were $3.90 billion and $3.71 billion,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June 30, 2025 are summarized as follows:</w:t>
      </w:r>
    </w:p>
    <w:p>
      <w:pPr>
        <w:spacing w:after="0" w:line="2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Maturities as of 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Company's policies, the Company may enter into derivative transactions to hedge against interest rate risk. The impact of existing derivative contracts are included in the simulation analysis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June 30, 2025 are presented in the following table. The projections assume immediate, parallel shifts downward of the yield curve of 100, 200, 300 and 400 basis points and immediate, parallel shifts upward of the yield curve of 100, 200 and 300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860" w:type="dxa"/>
            <w:vAlign w:val="bottom"/>
          </w:tcPr>
          <w:p>
            <w:pPr>
              <w:spacing w:after="0"/>
              <w:rPr>
                <w:sz w:val="18"/>
                <w:szCs w:val="18"/>
                <w:color w:val="auto"/>
              </w:rPr>
            </w:pPr>
          </w:p>
        </w:tc>
        <w:tc>
          <w:tcPr>
            <w:tcW w:w="4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vMerge w:val="continue"/>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Economic Value of</w:t>
            </w: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Year 1 Net Interest</w:t>
            </w:r>
          </w:p>
        </w:tc>
        <w:tc>
          <w:tcPr>
            <w:tcW w:w="0" w:type="dxa"/>
            <w:vAlign w:val="bottom"/>
          </w:tcPr>
          <w:p>
            <w:pPr>
              <w:spacing w:after="0"/>
              <w:rPr>
                <w:sz w:val="1"/>
                <w:szCs w:val="1"/>
                <w:color w:val="auto"/>
              </w:rPr>
            </w:pPr>
          </w:p>
        </w:tc>
      </w:tr>
      <w:tr>
        <w:trPr>
          <w:trHeight w:val="216"/>
        </w:trPr>
        <w:tc>
          <w:tcPr>
            <w:tcW w:w="3240" w:type="dxa"/>
            <w:vAlign w:val="bottom"/>
            <w:gridSpan w:val="2"/>
            <w:vMerge w:val="continue"/>
          </w:tcPr>
          <w:p>
            <w:pPr>
              <w:spacing w:after="0"/>
              <w:rPr>
                <w:sz w:val="18"/>
                <w:szCs w:val="18"/>
                <w:color w:val="auto"/>
              </w:rPr>
            </w:pP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Equity ($ in thousands)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Income ($ 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-14.8%</w:t>
            </w: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(256,732)</w:t>
            </w: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2000" w:type="dxa"/>
            <w:vAlign w:val="bottom"/>
            <w:tcBorders>
              <w:top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(8,661)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(137,670)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(36,453)</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4,331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(50,373)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(11,460)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-10.7%</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(185,713)</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(26,304)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-24.3%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(423,170)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(41,346)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-49.0%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(852,920)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(60,477)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2025, our cash and equivalents, which consist of cash and amounts due from banks and interest-bearing deposits in other financial institutions, amounted to $171.1 million, or 2.0% of total assets, compared to $60.7 million, or 0.7% of total assets at December 31, 2024. The $110.3 million, or 181.6%, increase is due to normal business activity, and strategic investment securities sales, offset by paydowns of borrowings, and strategic investment securities purchases. Our available for sale securities at June 30, 2025 were $1.89 billion, or 21.9% of total assets, compared to $1.63 billion, or 19.7% of total assets at December 31, 2024. Available for sale securities with an aggregate fair value of $1.29 billion at June 30, 2025 were pledged to secure outstanding advances, letters of credit, provide additional borrowing potential, and collateralize municipal deposits. Additionally, mortgage loans with an unpaid principal balance of $2.40 billion and $2.45 billion respectively, were pledged to the FHLBNY to secure outstanding advances, letters of credit and to provide additional borrowing potential.</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June 30, 2025, we had $11.7 million advances from the FHLBNY and a remaining credit availability of $2.17 billion. In addition, we maintain borrowing capacity of approximately $948 million with the Federal Reserve’s discount window that is secured by certain securities from our portfolio which are not pledged for other purposes.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$63.7 million in subordinated debt, net of issuance costs. Our cash, off-balance sheet deposits, and borrowing capacity totaled $3.37 billion of immediately available funds, in addition to unpledged securities with two-day availability of $410.0 million for total liquidity within two-days of $3.78 billion, which provided coverage for 97%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June 30, 2025 was $754.0 million, compared to $707.7 million at December 31, 2024, an increase of $46.3 million. The increase was primarily driven by $51.0 million of net income and a $15.7 million improvement in accumulated other comprehensive loss due to the tax effected mark-to-market on our securities portfolio, offset by $8.8 million in dividends paid at $0.28 per outstanding share, and $13.2 million of common stock repurchases.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buffer is equal to 2.5% of risk-weighted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332,281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339,388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553,790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332,274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443,032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422,551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359,963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540,616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417,637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351,400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As of June 30, 2025,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by contractual maturity date as of June 30,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7"/>
                <w:szCs w:val="17"/>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63,745</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198,079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quarter,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company is expected to move to the new premises in mid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June 30, 2025, the estimated remaining commitments under these agreements were $201.4 million and $250.0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market risk from that presented in the 2024 Annual Report. Our interest rate sensitivity position at June 30, 2025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June 30, 2025.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Exchange Act Rule 13a-15(f)) that occurred during the quarter ended June 30, 2025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2024, as filed with the SEC on March 7, 2025,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June 30, 2025 by or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 through April 30, 2025</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through May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through June 30, 2025</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30"/>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640" w:type="dxa"/>
            <w:vAlign w:val="bottom"/>
            <w:gridSpan w:val="3"/>
          </w:tcPr>
          <w:p>
            <w:pPr>
              <w:jc w:val="right"/>
              <w:ind w:right="28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paid per share </w:t>
            </w:r>
            <w:r>
              <w:rPr>
                <w:rFonts w:ascii="Times New Roman" w:cs="Times New Roman" w:eastAsia="Times New Roman" w:hAnsi="Times New Roman"/>
                <w:sz w:val="23"/>
                <w:szCs w:val="23"/>
                <w:b w:val="1"/>
                <w:bCs w:val="1"/>
                <w:color w:val="auto"/>
                <w:vertAlign w:val="superscript"/>
              </w:rPr>
              <w:t>(3)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112,262</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104,335</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37,170,487</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123,733</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33,425,688</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99,290</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30,394,912</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335,871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29.33</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327,358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-333375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firstLine="8"/>
        <w:spacing w:after="0" w:line="282" w:lineRule="auto"/>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8,513 shares withheld for taxes related to the exercise or vesting of options and stock awards, as well as 327,358 shares repurchased pursuant to the share repurchase program described in Note (2).</w:t>
      </w:r>
    </w:p>
    <w:p>
      <w:pPr>
        <w:spacing w:after="0" w:line="202" w:lineRule="exact"/>
        <w:rPr>
          <w:rFonts w:ascii="Times New Roman" w:cs="Times New Roman" w:eastAsia="Times New Roman" w:hAnsi="Times New Roman"/>
          <w:sz w:val="14"/>
          <w:szCs w:val="14"/>
          <w:color w:val="auto"/>
        </w:rPr>
      </w:pPr>
    </w:p>
    <w:p>
      <w:pPr>
        <w:jc w:val="both"/>
        <w:ind w:firstLine="8"/>
        <w:spacing w:after="0" w:line="261" w:lineRule="auto"/>
        <w:tabs>
          <w:tab w:leader="none" w:pos="20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10, 2025, our Board of Directors authorized a new share repurchase program that allows the Company to repurchase up to $40 million of its common stock (the "2025 Share Repurchase Program"). The authorization did not require us to acquire any specified number of shares and can be suspended or discontinued without prior notice. Under the 2025 Share Repurchase Program, $9.7 million of common stock was purchased during the quarter ended June 30, 2025.</w:t>
      </w:r>
    </w:p>
    <w:p>
      <w:pPr>
        <w:spacing w:after="0" w:line="20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 but excludes the 1% excise tax on stock repurchases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April 29, 2025, Sean Searby, Executive Vice President, Chief Operating Officer, adopted a Rule 10b5-1 trading arrangement that is intended to satisfy the affirmative defense of Rule 10b5-1(c) for the sale of up to 13,000 shares of the Company’s common stock, with such transactions to occur during sale periods beginning on or after August 30, 2025 and ending on the earlier of April 26, 2026 or the date on which all shares authorized for sale have been sold in conformance with the terms of the arrangement.</w:t>
      </w:r>
    </w:p>
    <w:p>
      <w:pPr>
        <w:spacing w:after="0" w:line="208"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color w:val="auto"/>
        </w:rPr>
        <w:t>On April 29, 2025, Jason Darby, Senior Executive Vice President and Chief Financial Officer, terminated a Rule 10b5-1 trading arrangement adopted on December 31, 2024 that was intended to satisfy the affirmative defense of Rule 10b5-1(c) for the sale of up to 4,000 shares of the Company’s common stock, with such transactions to have occurred during sale periods beginning on or after March 31, 2025 and ending on the earlier of January 31, 2026 or the date on which all shares authorized for sale would have been sold in conformance with the terms of the arrangement.</w:t>
      </w:r>
    </w:p>
    <w:p>
      <w:pPr>
        <w:spacing w:after="0" w:line="2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April 29, 2025, Mandy Tenner, Executive Vice President and Chief Legal Officer, terminated a Rule 10b5-1 trading arrangement adopted on November 11, 2024 that was intended to satisfy the affirmative defense of Rule 10b5-1(c) for the sale of up to 25,217 shares of the Company’s common stock, net of shares to be withheld for the exercise price and for taxes upon the exercise or vesting of underlying stock awards, with such transactions to have occurred during sale periods beginning on or after February 15, 2025 and ending on the earlier of November 12, 2025 or the date on which all shares authorized for sale would have been sold in conformance with the terms of the arrangement.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June 30, 2025, formatted in iXBRL (Inline eXtensible Business Reporting Language): (i) Consolidated</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Statements of Financial Condition at June 30, 2025 and December 31, 2024, (ii) Consolidated Statements of Income for the quarters ended June 30, 2025 and 2024, (iii) Consolidated Statements of Comprehensive Income for the quarters ended June 30, 2025 and 2024, (iv) Consolidated Statements of Changes in</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Shareholders’ Equity for the quarters ended June 30, 2025 and 2024, (v) Consolidated Statements of Cash Flows for the quarters ended June 30, 2025 and 2024 and (vi) Notes to Consolidated Financial Statements (unaudited).</w:t>
      </w:r>
    </w:p>
    <w:p>
      <w:pPr>
        <w:spacing w:after="0" w:line="226" w:lineRule="exact"/>
        <w:rPr>
          <w:sz w:val="20"/>
          <w:szCs w:val="20"/>
          <w:color w:val="auto"/>
        </w:rPr>
      </w:pPr>
    </w:p>
    <w:p>
      <w:pPr>
        <w:jc w:val="both"/>
        <w:ind w:right="53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June 30, 2025,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9" w:name="page80"/>
    <w:bookmarkEnd w:id="79"/>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50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6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June 30, 2025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August 5, 2025</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August 5, 2025</w:t>
      </w:r>
    </w:p>
    <w:sectPr>
      <w:pgSz w:w="11900" w:h="16838" w:orient="portrait"/>
      <w:cols w:equalWidth="0" w:num="1">
        <w:col w:w="11100"/>
      </w:cols>
      <w:pgMar w:left="320" w:top="8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Roman"/>
      <w:start w:val="3"/>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4"/>
    </w:lvl>
  </w:abstractNum>
  <w:abstractNum w:abstractNumId="13">
    <w:nsid w:val="519B500D"/>
    <w:multiLevelType w:val="hybridMultilevel"/>
    <w:lvl w:ilvl="0">
      <w:lvlJc w:val="left"/>
      <w:lvlText w:val="%1."/>
      <w:numFmt w:val="decimal"/>
      <w:start w:val="15"/>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18" Type="http://schemas.openxmlformats.org/officeDocument/2006/relationships/hyperlink" Target="https://www.sec.gov/Archives/edgar/data/1823608/000119312521062425/d132716dex31.htm" TargetMode="External"/><Relationship Id="rId119"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2025-08-05T07:37:21Z</dcterms:created>
  <dcterms:modified xsi:type="dcterms:W3CDTF">2025-08-05T07:37:21Z</dcterms:modified>
</cp:coreProperties>
</file>