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b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64" w:before="240" w:after="283"/>
        <w:jc w:val="center"/>
        <w:rPr>
          <w:rFonts w:ascii="Times New Roman;sans-serif" w:hAnsi="Times New Roman;sans-serif"/>
          <w:b/>
          <w:color w:val="000000"/>
          <w:sz w:val="20"/>
        </w:rPr>
      </w:pPr>
      <w:r>
        <w:rPr>
          <w:rFonts w:ascii="Times New Roman;sans-serif" w:hAnsi="Times New Roman;sans-serif"/>
          <w:b/>
          <w:color w:val="000000"/>
          <w:sz w:val="20"/>
        </w:rPr>
        <w:t>FORM 10-K</w:t>
      </w:r>
    </w:p>
    <w:tbl>
      <w:tblPr>
        <w:tblW w:w="5862" w:type="dxa"/>
        <w:jc w:val="left"/>
        <w:tblInd w:w="0" w:type="dxa"/>
        <w:tblLayout w:type="fixed"/>
        <w:tblCellMar>
          <w:top w:w="28" w:type="dxa"/>
          <w:left w:w="28" w:type="dxa"/>
          <w:bottom w:w="28" w:type="dxa"/>
          <w:right w:w="28" w:type="dxa"/>
        </w:tblCellMar>
      </w:tblPr>
      <w:tblGrid>
        <w:gridCol w:w="124"/>
        <w:gridCol w:w="109"/>
        <w:gridCol w:w="109"/>
        <w:gridCol w:w="1617"/>
        <w:gridCol w:w="1617"/>
        <w:gridCol w:w="2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w:t>
              <w:br/>
              <w:t>THE SECURITIES EXCHANGE ACT OF 1934</w:t>
            </w:r>
          </w:p>
        </w:tc>
      </w:tr>
    </w:tbl>
    <w:p>
      <w:pPr>
        <w:pStyle w:val="TextBody"/>
        <w:bidi w:val="0"/>
        <w:spacing w:lineRule="auto" w:line="264"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December 31, 2024</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6732" w:type="dxa"/>
        <w:jc w:val="left"/>
        <w:tblInd w:w="0" w:type="dxa"/>
        <w:tblLayout w:type="fixed"/>
        <w:tblCellMar>
          <w:top w:w="28" w:type="dxa"/>
          <w:left w:w="28" w:type="dxa"/>
          <w:bottom w:w="28" w:type="dxa"/>
          <w:right w:w="28" w:type="dxa"/>
        </w:tblCellMar>
      </w:tblPr>
      <w:tblGrid>
        <w:gridCol w:w="124"/>
        <w:gridCol w:w="109"/>
        <w:gridCol w:w="109"/>
        <w:gridCol w:w="1871"/>
        <w:gridCol w:w="1871"/>
        <w:gridCol w:w="2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w:t>
              <w:br/>
              <w:t>SECURITIES EXCHANGE ACT OF 1934</w:t>
            </w:r>
          </w:p>
        </w:tc>
      </w:tr>
    </w:tbl>
    <w:p>
      <w:pPr>
        <w:pStyle w:val="TextBody"/>
        <w:bidi w:val="0"/>
        <w:spacing w:lineRule="auto" w:line="264" w:before="80" w:after="283"/>
        <w:jc w:val="center"/>
        <w:rPr/>
      </w:pPr>
      <w:r>
        <w:rPr>
          <w:rFonts w:ascii="Times New Roman;sans-serif" w:hAnsi="Times New Roman;sans-serif"/>
          <w:b w:val="false"/>
          <w:color w:val="000000"/>
          <w:sz w:val="20"/>
        </w:rPr>
        <w:t>For transition period from</w:t>
      </w:r>
      <w:r>
        <w:rPr>
          <w:color w:val="000000"/>
          <w:u w:val="single"/>
        </w:rPr>
        <w:t>          </w:t>
      </w:r>
      <w:r>
        <w:rPr>
          <w:rFonts w:ascii="Times New Roman;sans-serif" w:hAnsi="Times New Roman;sans-serif"/>
          <w:b w:val="false"/>
          <w:color w:val="000000"/>
          <w:sz w:val="20"/>
        </w:rPr>
        <w:t>to</w:t>
      </w:r>
      <w:r>
        <w:rPr>
          <w:color w:val="000000"/>
          <w:u w:val="single"/>
        </w:rPr>
        <w:t>          </w:t>
      </w:r>
    </w:p>
    <w:p>
      <w:pPr>
        <w:pStyle w:val="TextBody"/>
        <w:bidi w:val="0"/>
        <w:spacing w:lineRule="auto" w:line="264"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001-40136</w:t>
      </w:r>
    </w:p>
    <w:p>
      <w:pPr>
        <w:pStyle w:val="TextBody"/>
        <w:bidi w:val="0"/>
        <w:spacing w:lineRule="auto" w:line="264" w:before="120" w:after="283"/>
        <w:jc w:val="center"/>
        <w:rPr>
          <w:rFonts w:ascii="Times New Roman;sans-serif" w:hAnsi="Times New Roman;sans-serif"/>
          <w:b/>
          <w:color w:val="000000"/>
          <w:sz w:val="36"/>
        </w:rPr>
      </w:pPr>
      <w:r>
        <w:rPr>
          <w:rFonts w:ascii="Times New Roman;sans-serif" w:hAnsi="Times New Roman;sans-serif"/>
          <w:b/>
          <w:color w:val="000000"/>
          <w:sz w:val="36"/>
        </w:rPr>
        <w:t>Amalgamated Financial Corp.</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85-2757101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64" w:before="2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275 Seventh Avenue, New York, NY     10001</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lineRule="auto" w:line="264"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(212) 255-6200</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64" w:before="16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AMAL</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bidi w:val="0"/>
        <w:spacing w:lineRule="auto" w:line="264" w:before="6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bidi w:val="0"/>
        <w:spacing w:before="6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64" w:before="160" w:after="283"/>
        <w:jc w:val="both"/>
        <w:rPr/>
      </w:pPr>
      <w:r>
        <w:rPr>
          <w:rFonts w:ascii="Times New Roman;sans-serif" w:hAnsi="Times New Roman;sans-serif"/>
          <w:b w:val="false"/>
          <w:color w:val="000000"/>
          <w:sz w:val="20"/>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64" w:before="16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64"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1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64" w:before="16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its internal control over financial reporting under Section 404(b) of the Sarbanes-Oxley Act (15 U.S.C.</w:t>
      </w:r>
    </w:p>
    <w:p>
      <w:pPr>
        <w:pStyle w:val="TextBody"/>
        <w:bidi w:val="0"/>
        <w:spacing w:lineRule="auto" w:line="288" w:before="0" w:after="0"/>
        <w:jc w:val="left"/>
        <w:rPr/>
      </w:pPr>
      <w:r>
        <w:rPr>
          <w:rFonts w:ascii="Times New Roman;sans-serif" w:hAnsi="Times New Roman;sans-serif"/>
          <w:b w:val="false"/>
          <w:color w:val="000000"/>
          <w:sz w:val="20"/>
        </w:rPr>
        <w:t xml:space="preserve">7262(b)) by the registered public accounting firm that prepared or issued its audit report. </w:t>
      </w:r>
      <w:r>
        <w:rPr>
          <w:color w:val="000000"/>
        </w:rPr>
        <w:t>☒</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before="0" w:after="0"/>
        <w:jc w:val="both"/>
        <w:rPr/>
      </w:pPr>
      <w:r>
        <w:rPr/>
      </w:r>
    </w:p>
    <w:p>
      <w:pPr>
        <w:pStyle w:val="TextBody"/>
        <w:bidi w:val="0"/>
        <w:spacing w:lineRule="auto" w:line="264" w:before="160" w:after="283"/>
        <w:jc w:val="both"/>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aggregate market value of the voting stock of the registrant held by non</w:t>
        <w:noBreakHyphen/>
        <w:t>affiliates was approximately $489,176,803 based on the closing sale price of $27.40 per share on June 28, 2024. For purposes of the foregoing calculation only, all directors and named executive officers of the registrant, Workers United have been deemed affiliates. As of March 5, 2025, the registrant had 30,687,354 shares of common stock outstanding at $0.01 par value per share</w:t>
      </w:r>
      <w:r>
        <w:rPr>
          <w:rFonts w:ascii="Times New Roman;sans-serif" w:hAnsi="Times New Roman;sans-serif"/>
          <w:b w:val="false"/>
          <w:color w:val="000000"/>
          <w:sz w:val="16"/>
        </w:rPr>
        <w: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Part III of this Annual Report on Form 10-K is incorporated by reference from the registrant’s definitive proxy statement relating to the 2025 Annual Meeting of Stockholders, which will be filed with the U.S. Securities and Exchange Commission within 120 days after the end of the fiscal year to which this Annual Report on Form 10-K relates.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85"/>
        <w:gridCol w:w="957"/>
        <w:gridCol w:w="963"/>
        <w:gridCol w:w="2350"/>
        <w:gridCol w:w="2183"/>
        <w:gridCol w:w="2198"/>
        <w:gridCol w:w="136"/>
        <w:gridCol w:w="136"/>
        <w:gridCol w:w="197"/>
      </w:tblGrid>
      <w:tr>
        <w:trPr/>
        <w:tc>
          <w:tcPr>
            <w:tcW w:w="108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3">
              <w:r>
                <w:rPr>
                  <w:rStyle w:val="InternetLink"/>
                  <w:rFonts w:ascii="Times New Roman;sans-serif" w:hAnsi="Times New Roman;sans-serif"/>
                  <w:b/>
                  <w:strike w:val="false"/>
                  <w:dstrike w:val="false"/>
                  <w:color w:val="000000"/>
                  <w:sz w:val="20"/>
                  <w:u w:val="none"/>
                  <w:effect w:val="none"/>
                </w:rPr>
                <w:t>Part I.</w:t>
              </w:r>
            </w:hyperlink>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3">
              <w:r>
                <w:rPr>
                  <w:rStyle w:val="InternetLink"/>
                  <w:rFonts w:ascii="Times New Roman;sans-serif" w:hAnsi="Times New Roman;sans-serif"/>
                  <w:b w:val="false"/>
                  <w:color w:val="0000FF"/>
                  <w:sz w:val="20"/>
                  <w:u w:val="single"/>
                </w:rPr>
                <w:t>CAUTIONARY NOTE REGARDING FORWARD-LOOKING STATEMENTS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13">
              <w:r>
                <w:rPr>
                  <w:rStyle w:val="InternetLink"/>
                  <w:rFonts w:ascii="Times New Roman;sans-serif" w:hAnsi="Times New Roman;sans-serif"/>
                  <w:b w:val="false"/>
                  <w:strike w:val="false"/>
                  <w:dstrike w:val="false"/>
                  <w:color w:val="000000"/>
                  <w:sz w:val="20"/>
                  <w:u w:val="none"/>
                  <w:effect w:val="none"/>
                </w:rPr>
                <w:t>1</w:t>
              </w:r>
            </w:hyperlink>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6731"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39">
              <w:r>
                <w:rPr>
                  <w:rStyle w:val="InternetLink"/>
                  <w:rFonts w:ascii="Times New Roman;sans-serif" w:hAnsi="Times New Roman;sans-serif"/>
                  <w:b w:val="false"/>
                  <w:strike w:val="false"/>
                  <w:dstrike w:val="false"/>
                  <w:color w:val="000000"/>
                  <w:sz w:val="20"/>
                  <w:u w:val="none"/>
                  <w:effect w:val="none"/>
                </w:rPr>
                <w:t>Item 1.</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9">
              <w:r>
                <w:rPr>
                  <w:rStyle w:val="InternetLink"/>
                  <w:rFonts w:ascii="Times New Roman;sans-serif" w:hAnsi="Times New Roman;sans-serif"/>
                  <w:b w:val="false"/>
                  <w:color w:val="0000FF"/>
                  <w:sz w:val="20"/>
                  <w:u w:val="single"/>
                </w:rPr>
                <w:t>Business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19">
              <w:r>
                <w:rPr>
                  <w:rStyle w:val="InternetLink"/>
                  <w:rFonts w:ascii="Times New Roman;sans-serif" w:hAnsi="Times New Roman;sans-serif"/>
                  <w:b w:val="false"/>
                  <w:strike w:val="false"/>
                  <w:dstrike w:val="false"/>
                  <w:color w:val="000000"/>
                  <w:sz w:val="20"/>
                  <w:u w:val="none"/>
                  <w:effect w:val="none"/>
                </w:rPr>
                <w:t>3</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42">
              <w:r>
                <w:rPr>
                  <w:rStyle w:val="InternetLink"/>
                  <w:rFonts w:ascii="Times New Roman;sans-serif" w:hAnsi="Times New Roman;sans-serif"/>
                  <w:b w:val="false"/>
                  <w:strike w:val="false"/>
                  <w:dstrike w:val="false"/>
                  <w:color w:val="000000"/>
                  <w:sz w:val="20"/>
                  <w:u w:val="none"/>
                  <w:effect w:val="none"/>
                </w:rPr>
                <w:t>Item 1A.</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73">
              <w:r>
                <w:rPr>
                  <w:rStyle w:val="InternetLink"/>
                  <w:rFonts w:ascii="Times New Roman;sans-serif" w:hAnsi="Times New Roman;sans-serif"/>
                  <w:b w:val="false"/>
                  <w:color w:val="0000FF"/>
                  <w:sz w:val="20"/>
                  <w:u w:val="single"/>
                </w:rPr>
                <w:t>Risk Factors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73">
              <w:r>
                <w:rPr>
                  <w:rStyle w:val="InternetLink"/>
                  <w:rFonts w:ascii="Times New Roman;sans-serif" w:hAnsi="Times New Roman;sans-serif"/>
                  <w:b w:val="false"/>
                  <w:strike w:val="false"/>
                  <w:dstrike w:val="false"/>
                  <w:color w:val="000000"/>
                  <w:sz w:val="20"/>
                  <w:u w:val="none"/>
                  <w:effect w:val="none"/>
                </w:rPr>
                <w:t>30</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45">
              <w:r>
                <w:rPr>
                  <w:rStyle w:val="InternetLink"/>
                  <w:rFonts w:ascii="Times New Roman;sans-serif" w:hAnsi="Times New Roman;sans-serif"/>
                  <w:b w:val="false"/>
                  <w:strike w:val="false"/>
                  <w:dstrike w:val="false"/>
                  <w:color w:val="000000"/>
                  <w:sz w:val="20"/>
                  <w:u w:val="none"/>
                  <w:effect w:val="none"/>
                </w:rPr>
                <w:t>Item 1B.</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76">
              <w:r>
                <w:rPr>
                  <w:rStyle w:val="InternetLink"/>
                  <w:rFonts w:ascii="Times New Roman;sans-serif" w:hAnsi="Times New Roman;sans-serif"/>
                  <w:b w:val="false"/>
                  <w:color w:val="0000FF"/>
                  <w:sz w:val="20"/>
                  <w:u w:val="single"/>
                </w:rPr>
                <w:t>Unresolved Staff Comments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76">
              <w:r>
                <w:rPr>
                  <w:rStyle w:val="InternetLink"/>
                  <w:rFonts w:ascii="Times New Roman;sans-serif" w:hAnsi="Times New Roman;sans-serif"/>
                  <w:b w:val="false"/>
                  <w:strike w:val="false"/>
                  <w:dstrike w:val="false"/>
                  <w:color w:val="000000"/>
                  <w:sz w:val="20"/>
                  <w:u w:val="none"/>
                  <w:effect w:val="none"/>
                </w:rPr>
                <w:t>46</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79">
              <w:r>
                <w:rPr>
                  <w:rStyle w:val="InternetLink"/>
                  <w:rFonts w:ascii="Times New Roman;sans-serif" w:hAnsi="Times New Roman;sans-serif"/>
                  <w:b w:val="false"/>
                  <w:color w:val="0000FF"/>
                  <w:sz w:val="20"/>
                  <w:u w:val="single"/>
                </w:rPr>
                <w:t>Cybersecurity</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79">
              <w:r>
                <w:rPr>
                  <w:rStyle w:val="InternetLink"/>
                  <w:rFonts w:ascii="Times New Roman;sans-serif" w:hAnsi="Times New Roman;sans-serif"/>
                  <w:b w:val="false"/>
                  <w:strike w:val="false"/>
                  <w:dstrike w:val="false"/>
                  <w:color w:val="000000"/>
                  <w:sz w:val="20"/>
                  <w:u w:val="none"/>
                  <w:effect w:val="none"/>
                </w:rPr>
                <w:t>46</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48">
              <w:r>
                <w:rPr>
                  <w:rStyle w:val="InternetLink"/>
                  <w:rFonts w:ascii="Times New Roman;sans-serif" w:hAnsi="Times New Roman;sans-serif"/>
                  <w:b w:val="false"/>
                  <w:strike w:val="false"/>
                  <w:dstrike w:val="false"/>
                  <w:color w:val="000000"/>
                  <w:sz w:val="20"/>
                  <w:u w:val="none"/>
                  <w:effect w:val="none"/>
                </w:rPr>
                <w:t>Item 2.</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82">
              <w:r>
                <w:rPr>
                  <w:rStyle w:val="InternetLink"/>
                  <w:rFonts w:ascii="Times New Roman;sans-serif" w:hAnsi="Times New Roman;sans-serif"/>
                  <w:b w:val="false"/>
                  <w:color w:val="0000FF"/>
                  <w:sz w:val="20"/>
                  <w:u w:val="single"/>
                </w:rPr>
                <w:t>Properties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82">
              <w:r>
                <w:rPr>
                  <w:rStyle w:val="InternetLink"/>
                  <w:rFonts w:ascii="Times New Roman;sans-serif" w:hAnsi="Times New Roman;sans-serif"/>
                  <w:b w:val="false"/>
                  <w:strike w:val="false"/>
                  <w:dstrike w:val="false"/>
                  <w:color w:val="000000"/>
                  <w:sz w:val="20"/>
                  <w:u w:val="none"/>
                  <w:effect w:val="none"/>
                </w:rPr>
                <w:t>48</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51">
              <w:r>
                <w:rPr>
                  <w:rStyle w:val="InternetLink"/>
                  <w:rFonts w:ascii="Times New Roman;sans-serif" w:hAnsi="Times New Roman;sans-serif"/>
                  <w:b w:val="false"/>
                  <w:strike w:val="false"/>
                  <w:dstrike w:val="false"/>
                  <w:color w:val="000000"/>
                  <w:sz w:val="20"/>
                  <w:u w:val="none"/>
                  <w:effect w:val="none"/>
                </w:rPr>
                <w:t>Item 3.</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85">
              <w:r>
                <w:rPr>
                  <w:rStyle w:val="InternetLink"/>
                  <w:rFonts w:ascii="Times New Roman;sans-serif" w:hAnsi="Times New Roman;sans-serif"/>
                  <w:b w:val="false"/>
                  <w:color w:val="0000FF"/>
                  <w:sz w:val="20"/>
                  <w:u w:val="single"/>
                </w:rPr>
                <w:t>Legal Proceedings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85">
              <w:r>
                <w:rPr>
                  <w:rStyle w:val="InternetLink"/>
                  <w:rFonts w:ascii="Times New Roman;sans-serif" w:hAnsi="Times New Roman;sans-serif"/>
                  <w:b w:val="false"/>
                  <w:strike w:val="false"/>
                  <w:dstrike w:val="false"/>
                  <w:color w:val="000000"/>
                  <w:sz w:val="20"/>
                  <w:u w:val="none"/>
                  <w:effect w:val="none"/>
                </w:rPr>
                <w:t>48</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54">
              <w:r>
                <w:rPr>
                  <w:rStyle w:val="InternetLink"/>
                  <w:rFonts w:ascii="Times New Roman;sans-serif" w:hAnsi="Times New Roman;sans-serif"/>
                  <w:b w:val="false"/>
                  <w:strike w:val="false"/>
                  <w:dstrike w:val="false"/>
                  <w:color w:val="000000"/>
                  <w:sz w:val="20"/>
                  <w:u w:val="none"/>
                  <w:effect w:val="none"/>
                </w:rPr>
                <w:t>Item 4.</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88">
              <w:r>
                <w:rPr>
                  <w:rStyle w:val="InternetLink"/>
                  <w:rFonts w:ascii="Times New Roman;sans-serif" w:hAnsi="Times New Roman;sans-serif"/>
                  <w:b w:val="false"/>
                  <w:color w:val="0000FF"/>
                  <w:sz w:val="20"/>
                  <w:u w:val="single"/>
                </w:rPr>
                <w:t>Mine Safety Disclosures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88">
              <w:r>
                <w:rPr>
                  <w:rStyle w:val="InternetLink"/>
                  <w:rFonts w:ascii="Times New Roman;sans-serif" w:hAnsi="Times New Roman;sans-serif"/>
                  <w:b w:val="false"/>
                  <w:strike w:val="false"/>
                  <w:dstrike w:val="false"/>
                  <w:color w:val="000000"/>
                  <w:sz w:val="20"/>
                  <w:u w:val="none"/>
                  <w:effect w:val="none"/>
                </w:rPr>
                <w:t>48</w:t>
              </w:r>
            </w:hyperlink>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57">
              <w:r>
                <w:rPr>
                  <w:rStyle w:val="InternetLink"/>
                  <w:rFonts w:ascii="Times New Roman;sans-serif" w:hAnsi="Times New Roman;sans-serif"/>
                  <w:b/>
                  <w:strike w:val="false"/>
                  <w:dstrike w:val="false"/>
                  <w:color w:val="000000"/>
                  <w:sz w:val="20"/>
                  <w:u w:val="none"/>
                  <w:effect w:val="none"/>
                </w:rPr>
                <w:t>Part II.</w:t>
              </w:r>
            </w:hyperlink>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60">
              <w:r>
                <w:rPr>
                  <w:rStyle w:val="InternetLink"/>
                  <w:rFonts w:ascii="Times New Roman;sans-serif" w:hAnsi="Times New Roman;sans-serif"/>
                  <w:b w:val="false"/>
                  <w:strike w:val="false"/>
                  <w:dstrike w:val="false"/>
                  <w:color w:val="000000"/>
                  <w:sz w:val="20"/>
                  <w:u w:val="none"/>
                  <w:effect w:val="none"/>
                </w:rPr>
                <w:t>Item 5.</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9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94">
              <w:r>
                <w:rPr>
                  <w:rStyle w:val="InternetLink"/>
                  <w:rFonts w:ascii="Times New Roman;sans-serif" w:hAnsi="Times New Roman;sans-serif"/>
                  <w:b w:val="false"/>
                  <w:strike w:val="false"/>
                  <w:dstrike w:val="false"/>
                  <w:color w:val="000000"/>
                  <w:sz w:val="20"/>
                  <w:u w:val="none"/>
                  <w:effect w:val="none"/>
                </w:rPr>
                <w:t>49</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00">
              <w:r>
                <w:rPr>
                  <w:rStyle w:val="InternetLink"/>
                  <w:rFonts w:ascii="Times New Roman;sans-serif" w:hAnsi="Times New Roman;sans-serif"/>
                  <w:b w:val="false"/>
                  <w:color w:val="0000FF"/>
                  <w:sz w:val="20"/>
                  <w:u w:val="single"/>
                </w:rPr>
                <w:t>[Reserved]</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97">
              <w:r>
                <w:rPr>
                  <w:rStyle w:val="InternetLink"/>
                  <w:rFonts w:ascii="Times New Roman;sans-serif" w:hAnsi="Times New Roman;sans-serif"/>
                  <w:b w:val="false"/>
                  <w:strike w:val="false"/>
                  <w:dstrike w:val="false"/>
                  <w:color w:val="000000"/>
                  <w:sz w:val="20"/>
                  <w:u w:val="none"/>
                  <w:effect w:val="none"/>
                </w:rPr>
                <w:t>52</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69">
              <w:r>
                <w:rPr>
                  <w:rStyle w:val="InternetLink"/>
                  <w:rFonts w:ascii="Times New Roman;sans-serif" w:hAnsi="Times New Roman;sans-serif"/>
                  <w:b w:val="false"/>
                  <w:strike w:val="false"/>
                  <w:dstrike w:val="false"/>
                  <w:color w:val="000000"/>
                  <w:sz w:val="20"/>
                  <w:u w:val="none"/>
                  <w:effect w:val="none"/>
                </w:rPr>
                <w:t>Item 7.</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103">
              <w:r>
                <w:rPr>
                  <w:rStyle w:val="InternetLink"/>
                  <w:rFonts w:ascii="Times New Roman;sans-serif" w:hAnsi="Times New Roman;sans-serif"/>
                  <w:b w:val="false"/>
                  <w:strike w:val="false"/>
                  <w:dstrike w:val="false"/>
                  <w:color w:val="000000"/>
                  <w:sz w:val="20"/>
                  <w:u w:val="none"/>
                  <w:effect w:val="none"/>
                </w:rPr>
                <w:t>52</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06">
              <w:r>
                <w:rPr>
                  <w:rStyle w:val="InternetLink"/>
                  <w:rFonts w:ascii="Times New Roman;sans-serif" w:hAnsi="Times New Roman;sans-serif"/>
                  <w:b w:val="false"/>
                  <w:strike w:val="false"/>
                  <w:dstrike w:val="false"/>
                  <w:color w:val="000000"/>
                  <w:sz w:val="20"/>
                  <w:u w:val="none"/>
                  <w:effect w:val="none"/>
                </w:rPr>
                <w:t>Item 7A.</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33">
              <w:r>
                <w:rPr>
                  <w:rStyle w:val="InternetLink"/>
                  <w:rFonts w:ascii="Times New Roman;sans-serif" w:hAnsi="Times New Roman;sans-serif"/>
                  <w:b w:val="false"/>
                  <w:color w:val="0000FF"/>
                  <w:sz w:val="20"/>
                  <w:u w:val="single"/>
                </w:rPr>
                <w:t>Quantitative and Qualitative Disclosures About Market Risk</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133">
              <w:r>
                <w:rPr>
                  <w:rStyle w:val="InternetLink"/>
                  <w:rFonts w:ascii="Times New Roman;sans-serif" w:hAnsi="Times New Roman;sans-serif"/>
                  <w:b w:val="false"/>
                  <w:strike w:val="false"/>
                  <w:dstrike w:val="false"/>
                  <w:color w:val="000000"/>
                  <w:sz w:val="20"/>
                  <w:u w:val="none"/>
                  <w:effect w:val="none"/>
                </w:rPr>
                <w:t>77</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09">
              <w:r>
                <w:rPr>
                  <w:rStyle w:val="InternetLink"/>
                  <w:rFonts w:ascii="Times New Roman;sans-serif" w:hAnsi="Times New Roman;sans-serif"/>
                  <w:b w:val="false"/>
                  <w:strike w:val="false"/>
                  <w:dstrike w:val="false"/>
                  <w:color w:val="000000"/>
                  <w:sz w:val="20"/>
                  <w:u w:val="none"/>
                  <w:effect w:val="none"/>
                </w:rPr>
                <w:t>Item 8.</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136">
              <w:r>
                <w:rPr>
                  <w:rStyle w:val="InternetLink"/>
                  <w:rFonts w:ascii="Times New Roman;sans-serif" w:hAnsi="Times New Roman;sans-serif"/>
                  <w:b w:val="false"/>
                  <w:color w:val="0000FF"/>
                  <w:sz w:val="20"/>
                  <w:u w:val="single"/>
                </w:rPr>
                <w:t>Financial Statements and Supplementary Data</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136">
              <w:r>
                <w:rPr>
                  <w:rStyle w:val="InternetLink"/>
                  <w:rFonts w:ascii="Times New Roman;sans-serif" w:hAnsi="Times New Roman;sans-serif"/>
                  <w:b w:val="false"/>
                  <w:strike w:val="false"/>
                  <w:dstrike w:val="false"/>
                  <w:color w:val="000000"/>
                  <w:sz w:val="20"/>
                  <w:u w:val="none"/>
                  <w:effect w:val="none"/>
                </w:rPr>
                <w:t>79</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22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20">
              <w:r>
                <w:rPr>
                  <w:rStyle w:val="InternetLink"/>
                  <w:rFonts w:ascii="Times New Roman;sans-serif" w:hAnsi="Times New Roman;sans-serif"/>
                  <w:b w:val="false"/>
                  <w:strike w:val="false"/>
                  <w:dstrike w:val="false"/>
                  <w:color w:val="000000"/>
                  <w:sz w:val="20"/>
                  <w:u w:val="none"/>
                  <w:effect w:val="none"/>
                </w:rPr>
                <w:t>145</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223">
              <w:r>
                <w:rPr>
                  <w:rStyle w:val="InternetLink"/>
                  <w:rFonts w:ascii="Times New Roman;sans-serif" w:hAnsi="Times New Roman;sans-serif"/>
                  <w:b w:val="false"/>
                  <w:color w:val="0000FF"/>
                  <w:sz w:val="20"/>
                  <w:u w:val="single"/>
                </w:rPr>
                <w:t>Controls and Procedures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23">
              <w:r>
                <w:rPr>
                  <w:rStyle w:val="InternetLink"/>
                  <w:rFonts w:ascii="Times New Roman;sans-serif" w:hAnsi="Times New Roman;sans-serif"/>
                  <w:b w:val="false"/>
                  <w:strike w:val="false"/>
                  <w:dstrike w:val="false"/>
                  <w:color w:val="000000"/>
                  <w:sz w:val="20"/>
                  <w:u w:val="none"/>
                  <w:effect w:val="none"/>
                </w:rPr>
                <w:t>145</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226">
              <w:r>
                <w:rPr>
                  <w:rStyle w:val="InternetLink"/>
                  <w:rFonts w:ascii="Times New Roman;sans-serif" w:hAnsi="Times New Roman;sans-serif"/>
                  <w:b w:val="false"/>
                  <w:color w:val="0000FF"/>
                  <w:sz w:val="20"/>
                  <w:u w:val="single"/>
                </w:rPr>
                <w:t>Other Information</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26">
              <w:r>
                <w:rPr>
                  <w:rStyle w:val="InternetLink"/>
                  <w:rFonts w:ascii="Times New Roman;sans-serif" w:hAnsi="Times New Roman;sans-serif"/>
                  <w:b w:val="false"/>
                  <w:strike w:val="false"/>
                  <w:dstrike w:val="false"/>
                  <w:color w:val="000000"/>
                  <w:sz w:val="20"/>
                  <w:u w:val="none"/>
                  <w:effect w:val="none"/>
                </w:rPr>
                <w:t>145</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232">
              <w:r>
                <w:rPr>
                  <w:rStyle w:val="InternetLink"/>
                  <w:rFonts w:ascii="Times New Roman;sans-serif" w:hAnsi="Times New Roman;sans-serif"/>
                  <w:b w:val="false"/>
                  <w:strike w:val="false"/>
                  <w:dstrike w:val="false"/>
                  <w:color w:val="000000"/>
                  <w:sz w:val="20"/>
                  <w:u w:val="none"/>
                  <w:effect w:val="none"/>
                </w:rPr>
                <w:t>Item 9C.</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232">
              <w:r>
                <w:rPr>
                  <w:rStyle w:val="InternetLink"/>
                  <w:rFonts w:ascii="Times New Roman;sans-serif" w:hAnsi="Times New Roman;sans-serif"/>
                  <w:b w:val="false"/>
                  <w:color w:val="000080"/>
                  <w:sz w:val="20"/>
                  <w:u w:val="single"/>
                </w:rPr>
                <w:t>Disclosures Regarding Foreign Jurisdiction that Prevent Inspectio</w:t>
              </w:r>
            </w:hyperlink>
            <w:hyperlink w:anchor="iac394f25749c4972acadec6e129385c2_232">
              <w:r>
                <w:rPr>
                  <w:rStyle w:val="InternetLink"/>
                  <w:rFonts w:ascii="Times New Roman;sans-serif" w:hAnsi="Times New Roman;sans-serif"/>
                  <w:b w:val="false"/>
                  <w:color w:val="000080"/>
                  <w:sz w:val="20"/>
                  <w:u w:val="single"/>
                </w:rPr>
                <w:t>ns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394f25749c4972acadec6e129385c2_232">
              <w:r>
                <w:rPr>
                  <w:rStyle w:val="InternetLink"/>
                  <w:rFonts w:ascii="Times New Roman;sans-serif" w:hAnsi="Times New Roman;sans-serif"/>
                  <w:b w:val="false"/>
                  <w:strike w:val="false"/>
                  <w:dstrike w:val="false"/>
                  <w:color w:val="000000"/>
                  <w:sz w:val="20"/>
                  <w:u w:val="none"/>
                  <w:effect w:val="none"/>
                </w:rPr>
                <w:t>146</w:t>
              </w:r>
            </w:hyperlink>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Directors, Executive Officers and Corporate Governance</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38">
              <w:r>
                <w:rPr>
                  <w:rStyle w:val="InternetLink"/>
                  <w:rFonts w:ascii="Times New Roman;sans-serif" w:hAnsi="Times New Roman;sans-serif"/>
                  <w:b w:val="false"/>
                  <w:strike w:val="false"/>
                  <w:dstrike w:val="false"/>
                  <w:color w:val="000000"/>
                  <w:sz w:val="20"/>
                  <w:u w:val="none"/>
                  <w:effect w:val="none"/>
                </w:rPr>
                <w:t>147</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Executive Compensation</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41">
              <w:r>
                <w:rPr>
                  <w:rStyle w:val="InternetLink"/>
                  <w:rFonts w:ascii="Times New Roman;sans-serif" w:hAnsi="Times New Roman;sans-serif"/>
                  <w:b w:val="false"/>
                  <w:strike w:val="false"/>
                  <w:dstrike w:val="false"/>
                  <w:color w:val="000000"/>
                  <w:sz w:val="20"/>
                  <w:u w:val="none"/>
                  <w:effect w:val="none"/>
                </w:rPr>
                <w:t>147</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Security Ownership of Certain Beneficial Owners and Management and Related Stockholder Matters</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44">
              <w:r>
                <w:rPr>
                  <w:rStyle w:val="InternetLink"/>
                  <w:rFonts w:ascii="Times New Roman;sans-serif" w:hAnsi="Times New Roman;sans-serif"/>
                  <w:b w:val="false"/>
                  <w:strike w:val="false"/>
                  <w:dstrike w:val="false"/>
                  <w:color w:val="000000"/>
                  <w:sz w:val="20"/>
                  <w:u w:val="none"/>
                  <w:effect w:val="none"/>
                </w:rPr>
                <w:t>147</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Certain Relationships and Related Transactions and Director Independence</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47">
              <w:r>
                <w:rPr>
                  <w:rStyle w:val="InternetLink"/>
                  <w:rFonts w:ascii="Times New Roman;sans-serif" w:hAnsi="Times New Roman;sans-serif"/>
                  <w:b w:val="false"/>
                  <w:strike w:val="false"/>
                  <w:dstrike w:val="false"/>
                  <w:color w:val="000000"/>
                  <w:sz w:val="20"/>
                  <w:u w:val="none"/>
                  <w:effect w:val="none"/>
                </w:rPr>
                <w:t>147</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Principal Accounting Fees and Services</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50">
              <w:r>
                <w:rPr>
                  <w:rStyle w:val="InternetLink"/>
                  <w:rFonts w:ascii="Times New Roman;sans-serif" w:hAnsi="Times New Roman;sans-serif"/>
                  <w:b w:val="false"/>
                  <w:strike w:val="false"/>
                  <w:dstrike w:val="false"/>
                  <w:color w:val="000000"/>
                  <w:sz w:val="20"/>
                  <w:u w:val="none"/>
                  <w:effect w:val="none"/>
                </w:rPr>
                <w:t>147</w:t>
              </w:r>
            </w:hyperlink>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Exhibits and Financial Statement Schedules</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56">
              <w:r>
                <w:rPr>
                  <w:rStyle w:val="InternetLink"/>
                  <w:rFonts w:ascii="Times New Roman;sans-serif" w:hAnsi="Times New Roman;sans-serif"/>
                  <w:b w:val="false"/>
                  <w:strike w:val="false"/>
                  <w:dstrike w:val="false"/>
                  <w:color w:val="000000"/>
                  <w:sz w:val="20"/>
                  <w:u w:val="none"/>
                  <w:effect w:val="none"/>
                </w:rPr>
                <w:t>148</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94f25749c4972acadec6e129385c2_259">
              <w:r>
                <w:rPr>
                  <w:rStyle w:val="InternetLink"/>
                  <w:rFonts w:ascii="Times New Roman;sans-serif" w:hAnsi="Times New Roman;sans-serif"/>
                  <w:b w:val="false"/>
                  <w:color w:val="0000FF"/>
                  <w:sz w:val="20"/>
                  <w:u w:val="single"/>
                </w:rPr>
                <w:t>Form 10-K Summary</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56">
              <w:r>
                <w:rPr>
                  <w:rStyle w:val="InternetLink"/>
                  <w:rFonts w:ascii="Times New Roman;sans-serif" w:hAnsi="Times New Roman;sans-serif"/>
                  <w:b w:val="false"/>
                  <w:strike w:val="false"/>
                  <w:dstrike w:val="false"/>
                  <w:color w:val="000000"/>
                  <w:sz w:val="20"/>
                  <w:u w:val="none"/>
                  <w:effect w:val="none"/>
                </w:rPr>
                <w:t>148</w:t>
              </w:r>
            </w:hyperlink>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Signatures.</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94f25749c4972acadec6e129385c2_268">
              <w:r>
                <w:rPr>
                  <w:rStyle w:val="InternetLink"/>
                  <w:rFonts w:ascii="Times New Roman;sans-serif" w:hAnsi="Times New Roman;sans-serif"/>
                  <w:b w:val="false"/>
                  <w:strike w:val="false"/>
                  <w:dstrike w:val="false"/>
                  <w:color w:val="000000"/>
                  <w:sz w:val="20"/>
                  <w:u w:val="none"/>
                  <w:effect w:val="none"/>
                </w:rPr>
                <w:t>152</w:t>
              </w:r>
            </w:hyperlink>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6731"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Statements included in this report that are not historical in nature are intended to be, and are hereby identified as, forward-looking statements for purposes of the safe harbor provided by Section 21E of the Exchange Act. The words “may,” “approximately,” “will,” “anticipate,” “should,” “would,” “believe,” “contemplate,” “expect,” “estimate,” “continue,” “plan,” “possible,” and “intend,”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subject to risks, uncertainties and assumptions that are difficult to predict as to timing, extent, likelihood and degree of occurrence, which could cause our actual results to differ materially from those anticipated in or by such statements. Potential risks and uncertainties include, but are not limited to, the following: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1.</w:t>
      </w:r>
      <w:r>
        <w:rPr>
          <w:rFonts w:ascii="Times New Roman;sans-serif" w:hAnsi="Times New Roman;sans-serif"/>
          <w:b w:val="false"/>
          <w:color w:val="000000"/>
          <w:sz w:val="20"/>
        </w:rPr>
        <w:t xml:space="preserve">uncertain conditions in the banking industry and in national, regional and local economies in our core markets, which may have an adverse impact on our business, operations and financial performance;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2.deterioration in the financial condition of borrowers resulting in significant increases in credit losses and provisions for those losses;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3.deposit outflows and subsequent declines in liquidity caused by factors that could include lack of confidence in the banking system, a deterioration in market conditions or the financial condition of depositors;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4.changes in our deposits, including an increase in uninsured deposits;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5.our ability to maintain sufficient liquidity to meet our deposit and debt obligations as they come due, which may require that we sell investment securities at a loss, negatively impacting our net income, earnings and capital;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6.unfavorable conditions in the capital markets, which may cause declines in our stock price and the value of our investments;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7.negative economic and political conditions that adversely affect the general economy, housing prices, the real estate market, the job market, consumer confidence, the financial condition of our borrowers and consumer spending habits, which may affect, among other things, the level of non-performing assets, charge-offs and provision expense;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8.fluctuations or unanticipated changes in the interest rate environment including changes in net interest margin or changes in the yield curve that affect investments, loans or deposits;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9.the general decline in the real estate and lending markets, particularly in commercial real estate in our market areas, and the effects of the enactment of or changes to rent-control and other similar regulations on multi-family housing;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10.potential implementation by the current administration of a regulatory reform agenda that is significantly different from that of the prior administration, impacting the rule making, supervision, examination and enforcement of the banking regulation agencies;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11.changes in U.S. trade policies and other global political factors beyond our control, including the imposition of tariffs;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12.the outcome of legal or regulatory proceedings that may be instituted against us;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13.our inability to achieve organic loan and deposit growth and the composition of that growth;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14.the composition of our loan portfolio, including any concentration in industries or sectors that may experience unanticipated or anticipated adverse conditions greater than other industries or sectors in the national or local economies in which we operate;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15.inaccuracy of the assumptions and estimates we make and policies that we implement in establishing our allowance for credit losses;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16.changes in loan underwriting, credit review or loss reserve policies associated with economic conditions, examination conclusions, or regulatory developments;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17.any matter that would cause us to conclude that there was impairment of any asset, including intangible assets;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18.limitations on our ability to declare and pay dividends;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19.the impact of competition with other financial institutions, including pricing pressures and the resulting impact on our results, including as a result of compression to net interest margin;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20.increased competition for experienced members of the workforce including executives in the banking industry;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21.a failure in or breach of our operational or security systems or infrastructure, or those of third party vendors or other service providers, including as a result of unauthorized access, computer viruses, phishing schemes, spam attacks, human error, natural disasters, power loss and other security breaches;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22.increased regulatory scrutiny and exposure from the use of “big data” techniques, machine learning, and artificial intelligence;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23.a downgrade in our credit rating; </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24.</w:t>
      </w:r>
      <w:r>
        <w:rPr>
          <w:color w:val="000000"/>
        </w:rPr>
        <w:t>“</w:t>
      </w:r>
      <w:r>
        <w:rPr>
          <w:rFonts w:ascii="Times New Roman;sans-serif" w:hAnsi="Times New Roman;sans-serif"/>
          <w:b w:val="false"/>
          <w:color w:val="000000"/>
          <w:sz w:val="20"/>
        </w:rPr>
        <w:t xml:space="preserve">greenwashing claims” against us and our environmental, social, and governance ("ESG") products and increased scrutiny and political opposition to ESG and diversity, equity, and inclusion ("DEI") practices;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25.any unanticipated or greater than anticipated adverse conditions (including the possibility of earthquakes, wildfires, and other natural disasters) affecting the markets in which we operate;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26.physical and transitional risks related to climate change as they impact our business and the businesses that we finance;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27.future repurchase of our shares through our common stock repurchase program;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28.descriptions of assumptions underlying or relating to any of the foregoing.</w:t>
      </w:r>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In particular, you should consider the numerous risks described in Item 1A, “Risk Factors,” for a description of some of the important factors that may affect actual outcomes.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unless required to do so under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Overview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Amalgamated Financial Corp., a Delaware public benefit corporation ("we" or the "Company"), was formed on August 25, 2020 to serve as the holding company for Amalgamated Bank (the "Bank") and is a bank holding company registered with the Board of Governors of the Federal Reserve under the Bank Holding Company Act of 1956, as amended. On March 1, 2021 (the “Effective Date”), the Company acquired all of the outstanding stock of Amalgamated Bank, a New York state-chartered commercial bank in a statutory share exchange transaction (the “Reorganization”) effected under New York law and in accordance with the terms of a Plan of Acquisition dated September 4, 2020. Pursuant to the Reorganization, the Bank became the sole subsidiary of the Company, the Company became the holding company for the Bank and the stockholders of the Bank became stockholders of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37% of our equity as of December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full-service commercial bank offering a complete suite of commercial and retail banking products, investment management and trust and custody services, and lending services. We generate relationship deposits from our values-based commercial clients and consumer customers. We further develop new and existing relationships through our trust, custody, and investment management services, which generate fee income, and we also offer investment, brokerage, asset management, and insurance products to our retail customers through a third-party broker dealer.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America's Socially Responsible Bank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explicit commitment to the highest corporate social responsibility standards. Under the direction of our Board of Directors (the "Board") and executive management, we are diligent in fulfilling our mission to be America’s socially responsible bank, empowering organizations and individuals to advance positive change. The full Board of Directors oversees our Corporate Social Responsibility activities and communications. In addition, a formal cross-departmental Corporate Social Responsibility (“CSR”) Committee is comprised of employees and executive leadership responsible for implementing various policies, strategies, and communications. The CSR Committee is led by the Chief Sustainability Officer and reports quarterly to the Board.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strategy is focused on providing impact banking and lending services to a customer base that cares about how their money is invested. That strategy is rooted in our 100-year history as a bank serving working people, labor unions, nonprofits, foundations, and impact businesses. We believe that there is a growing base of customers becoming aware of what their money does in the banking system and wanting a bank that aligns with their values and financial stewardship. Using proven risk-based policies as a foundation, we specialize in banking for mission-aligned customer segments including businesses that promote net zero renewable energy, affordable housing, and other aligned or adjacent businesses. Our business focus is designed to promote or our reputation as a trustworthy banking partner reflective of our client segments.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 leader in supporting strong environmental standards, sustainable finance, and responsible and sustainable banking practices. We publicly committed to promote finance as a tool to build a more sustainable planet. We have taken several steps to continue our leadership in climate finance. We were one of the first U.S. banks to publish data in accordance with the Global Partnership for Carbon Accounting Financials and were the first U.S. bank to publish a net zero climate target validated by the Science Based Targets ("SBTi") methodology. We published our loan portfolio climate targets in October 2021, which built on a 2030 target of 49% reduction in absolute emissions from our 2020 baseline and reaching Net Zero in 2045. As a part of our Net Zero Report we disclosed asset class level targets and transition details.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calculating the carbon impact of Company operations, we report to the standards of the Greenhouse Gas Protocol and disclose our Scope 1, 2, and 3 emissions, including voluntarily for Scope 3 Category 15 which covers our balance sheet loans and investments as well as our Assets Under Management. Within our operational emission, we measure our Scope 1, Scope 2 and Scope 3 greenhouse gas emissions and purchase carbon offsets for any unavoidable carbon emissions. As part of our net zero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climate targets, we are also seeking to reduce our direct or "operational" emissions to net zero by 2030. We are committed to 100% renewable energy across our corporate footprint where attainable.</w:t>
      </w:r>
    </w:p>
    <w:p>
      <w:pPr>
        <w:pStyle w:val="TextBody"/>
        <w:bidi w:val="0"/>
        <w:spacing w:lineRule="auto" w:line="288" w:before="240" w:after="283"/>
        <w:jc w:val="both"/>
        <w:rPr/>
      </w:pPr>
      <w:r>
        <w:rPr>
          <w:rFonts w:ascii="Times New Roman;sans-serif" w:hAnsi="Times New Roman;sans-serif"/>
          <w:b w:val="false"/>
          <w:color w:val="000000"/>
          <w:sz w:val="20"/>
        </w:rPr>
        <w:t>In 2024, Amalgamated Bank received recertification by B Labs USA, allowing it to promote itself to clients and the public as a B Corporation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certified business. The median score of an ordinary business is 50.9, and the 2019 certification gave Amalgamated Bank a score of 115.1. With the 2023 impact score of 155.3, Amalgamated Bank has secured important external validation for our commitment to be America's socially responsible bank.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institutional investing platform, we regularly engage portfolio companies on climate transition, workplace fairness and other matters in accordance with our fiduciary duties as a trustee. In 2024, as in previous years we have reviewed our portfolio holdings with allied investor networks such as the Interfaith Center on Corporate Responsibility, and As You Sow. This work is overseen by the Trust Committee of the Board of Directors and led by the Chief Trust Officer and Chief Sustainability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focused on geographic markets with large and growing populations of our target customer base. Our primary geographic markets in which we have branch offices include New York City, Washington, D.C., San Francisco, and one commercial office in Boston. Based on research we commissioned, each of these markets is densely populated with a significant number of values-based businesses and non-profit organizations. We are also able to leverage our heritage as a socially responsible bank to market to customers nationwide.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our success in New York, a community we have now been a part of for over a century, we entered the Washington, D.C. market with a successful strategic expansion in 1998. We bolstered our efforts in the Washington, D.C. market in 2012 and have generated a 8% compound annual deposit growth rate during the five-year period ended December 31, 2024. Additionally, following the successful acquisition of New Resource Bank in 2018, we have become a trusted commercial lender in San Francisco and established ourselves in Boston.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divisions include Commercial Banking, Trust and Investment Management and Consumer Banking. Product line includes residential mortgage loans, commercial and industrial ("C&amp;I") loans, commercial real estate ("CRE") loans, multifamily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and constituents.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services industry is highly competitive and we compete for loans, deposits, and customer relationships in our geographic markets. We strive to be the bank of choice for socially responsible companies, organizations and individuals working to advance positive social change. Competition involves efforts to retain current customers, make new loans and obtain new deposits, increase the scope and sophistication of services offered, and offer competitive interest rates paid on deposits and charged on loans. Our cost of funds fluctuates with market interest rates and may be affected by higher rates offered by other financial institutions. In certain interest rate environments, additional significant competition for deposits may be expected to arise from corporate and government debt securities and money market mutual funds. We have a small but growing market share of the total deposit-gathering or lending activities in the metropolitan areas of New York City, Washington, D.C., Boston, and San Francisco.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financial services industry, market demands, technology advances, regulatory changes and economic pressures have increased competition among banks, as well as other financial institutions. As a result of increased competition, we believe that all existing banks must adapt and become more cost efficient. Meanwhile, corresponding changes in the regulatory framework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resulted in increasing cost burden on banking institutions. These market dynamics have increased the number of non-bank competitors and have increased customer awareness of product and service differences among bank and non-bank competitors.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face competition from the five major categories of competitors listed below. In each case, we rely on our focus on our socially responsible banking model to attract mission-aligned customers to successfully compete.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Local and regional bank competition within our branch footprint of the metropolitan areas of New York City, Washington, D.C., and San Francisco and our commercial office in Boston. These local and regional banks have the same local focus and engagement with the community and typically offer similar products and servicing capabilities.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Large banks which have been and are expanding their physical footprint in the metropolitan areas of New York City, Washington, D.C., Boston, and San Francisco. These large banks have significant national-scale resources.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National “direct” banks, which have sophisticated digital offerings and significant national brand investments that appeal to segments of the population that do not require a physical branch to conduct banking and may offer higher interest rates on deposits.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Fintech “non-banks.” There are numerous emerging business models and technology innovators entering the field of personal finance. Much of the Fintech innovation has significant capabilities and may be disruptive to traditional banks.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Other socially responsible banks and financial services companies, including credit unions.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commercial banking, we compete to underwrite loans to sound, stable businesses and real estate projects at competitive price levels that also make sense for our business and risk profile. Our major commercial bank competitors include national, regional and local banks that are larger than us and, as a consequence of their size, have the ability to make loans on larger projects or provide a greater mix of product offerings. We also compete with local banks, some of which may offer aggressive pricing and unique terms on various types of loans.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retail banking, we primarily compete with banks that have a visible retail presence and personnel in our market areas. The primary factors driving competition in consumer banking are customer service, interest rates, fees charged, branch location and hours of operation, online banking capabilities, and the range of products offered. We compete for deposits by advertising, offering competitive interest rates, and seeking to provide a high level of personal service.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retail lending, we also compete with non-bank mortgage companies. The non-bank competition has access to a wide array of products and services offered through the secondary market and private participants. The ability to quickly utilize the latest technologies, while benefiting from lower regulatory and compliance costs, allow the non-bank competition to add new products at a fast pace.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investment management and trust services, we compete with a variety of custodial banks as well as a diverse group of investment managers to those client segments. From a custody standpoint, we mainly compete against larger custodial institutions, such as State Street and BNY Mellon, US Bank, Regions Bank and M&amp;T Bank. In investment management, we regularly compete against a host of firms that provide passive equity index replication to their clients, including State Street, BlackRock, and Vanguard. Our active products, both in equities and fixed-income, compete against dozens of institutional managers who traditionally provide services to Taft-Hartley funds, public funds and endowments/foundations. Our agreement with Invesco to be our principal investment sub-adviser has added to this suite of products.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focused on providing value-added products and services to our clients, which we are able to do because of our close relationships with them, and our affinity to their missions. We believe our ability to provide flexible, sophisticated products and a customer-centric process to our customers and clients allows us to stay competitive in the financial services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Business Components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Deposits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gather deposits primarily through teams of bankers organized based on region and client segment. In addition, we bank politically active customers, such as campaigns, political action committees, and state and national party committees, which we refer to as political deposits. These deposits exhibit seasonality based on election cycles. Our teams of dedicated bankers have a strong familiarity with the segments they cover, and many have worked with organizations that make up our target customer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before starting their career in banking. We believe our deep understanding of these segments, customized solutions and relationship-based, personalized service model enable us to address our customers’ unique banking needs. As a result, we believe we have become one of the leading banks of choice for many of these groups who, in turn, contribute a significant source of low-cost core deposits to the bank. Our total deposit base is composed of 40% non-interest-bearing accounts and has an average cost of deposits of only 153 basis points for the year ended December 31, 2024. We believe that our focus on serving the banking interests of the mission-driven customer market gives us a competitive advantage over other commercial banks in generating business from our target customer base.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this commercial business development structure, we source consumer deposits through our branch network, online network, and mobile platform. Through these channels, we offer a variety of deposit products, including demand deposit accounts, interest-bearing products, savings accounts, and certificates of deposit. As of December 31, 2024, our deposit base consisted of $2.87 billion of checking deposits, $4.07 billion of other liquid deposits such as money market checking, savings and passbook deposits, $239.2 million of certificate of deposits, which also includes $0.5 million of brokered deposits. The vast majority of our commercial deposits are derived from socially responsible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Trust and Investment Management </w:t>
      </w:r>
    </w:p>
    <w:p>
      <w:pPr>
        <w:pStyle w:val="TextBody"/>
        <w:bidi w:val="0"/>
        <w:spacing w:lineRule="auto" w:line="288" w:before="240" w:after="283"/>
        <w:jc w:val="both"/>
        <w:rPr/>
      </w:pPr>
      <w:r>
        <w:rPr>
          <w:rFonts w:ascii="Times New Roman;sans-serif" w:hAnsi="Times New Roman;sans-serif"/>
          <w:b w:val="false"/>
          <w:color w:val="000000"/>
          <w:sz w:val="20"/>
        </w:rPr>
        <w:t>We have been</w:t>
      </w:r>
      <w:r>
        <w:rPr>
          <w:color w:val="000000"/>
        </w:rPr>
        <w:t xml:space="preserve"> </w:t>
      </w:r>
      <w:r>
        <w:rPr>
          <w:rFonts w:ascii="Times New Roman;sans-serif" w:hAnsi="Times New Roman;sans-serif"/>
          <w:b w:val="false"/>
          <w:color w:val="000000"/>
          <w:sz w:val="20"/>
        </w:rPr>
        <w:t>providing institutional trust, custody and investment management services since 1973. This business has become an integral contributor to our franchise and is complementary to our commercial banking business, as they each help support and grow the other. Approximately one-third of our trust and investment management clients utilize our deposit products. The majority of our trust and investment management business consists of institutional investment clients, such as multi-employer pension funds and Taft-Hartley funds.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custody service bankers have considerable experience with our target customer base, offering a highly personal approach to customer support and customizable solutions including those which are specifically designed to meet the requirements of the Employee Retirement Income Security Act of 1974 and public sector employee benefit and pension plans, endowments, foundations and family offices. Our core custody services feature a wide-ranging and comprehensive product suite, including asset safekeeping, corporate actions, income collections, proxy services, account transition, asset transfers and conversion management, which focus on adding value for our clients.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management offerings are currently composed of a broad range of both index and actively-managed funds spanning equity, fixed-income, real estate assets and alternative investment strategies. Our experienced team specifically tailors our investment strategy to align with the values of our clients. We launched our LongView family of funds in 1992 to promote advocacy through ownership guided by the investment belief that companies with strong corporate governance deliver stockholders greater and less volatile returns over the long term. We view accountability, prudent risk oversight, social and environmental awareness, relationship with workers, stockholders and the community as the key principles for sustainable value creation that define good governance best practices and enhance the prospects for sound stockholder returns. We play an active role in promoting strong corporate governance through our proxy-voting guidelines, the filing of socially-aligned stockholder proposals, and litigation brought by us on behalf of our investors, and we believe this distinguishes our index funds from similarly situated funds and provides us with a competitive marketing advantage.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growth of our commercial banking business has contributed to our trust, custody and investment management services business in recent years. As of December 31, 2024, we had over 1,000 custody accounts with $35.02 billion in assets under custody and approximately 500 investment management accounts with $14.62 billion in assets under management. For the years ended December 31, 2024 and December 31, 2023, we generated $15.2 million and $15.2 million of investment and trust fees,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Asset Allocation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target customer base provides us with what has historically been a stable source of low-cost core deposits, with generally limited credit needs. Therefore, we have historically had a substantial amount of excess liquidity. We believe a key benefit of our differentiated business model is our flexibility to allocate our excess liquidity to achieve attractive risk-adjusted returns. Our earning asset mix today is composed of a combination of loans to target commercial customers, various types of real estate loans, and securities. We have a robust governance process in place to maintain conservative credit standards and underwrite each loan on our balance sheet.</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Commercial and Industrial Lending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take a relationship-based approach to our target customer loan origination strategy, as our bankers have developed a deep level of experience with our customers within our target customer base and their unique banking needs. Our business strategy involves us growing our business by earning the trust of these customers through a demonstrated dedication to our shared values—these mission-aligned customers seek our expertise in order to obtain various forms of specialty lending. Our specialty lending includes bridge financing guaranteed by philanthropic grants, financing for owner-occupied union facilities, loans to affordable housing construction funds administered by leading Community Development Financial Institutions Funds, loans for commercial solar deployment and other renewable power and energy efficiency projects, and loans to political campaigns.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Real Estate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portfolio consists of loans to individuals and commercial businesses, including one-to-four family, multifamily, and CRE.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Residential Real Estate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of originated real estate loans to individuals is based primarily in our geographic markets, but also a minority of real estate loans are to individuals outside our geographic markets, some of which are affinity mortgage programs we have developed for members of certain commercial customers, such as the Service Employees International Union and American Federation of Teachers. Our residential loans are primarily closed-end mortgage loans, secured by a first lien on one-to-four family dwellings primarily in our geographic footprint. The dwellings are typically residential structures consisting of principal residences, second or vacation homes and investment properties, with property types including single family homes, two-to-four unit homes, condominiums, and cooperative apartments. We also own portfolios of purchased one-to-four family loans, representing 2.9% of total assets as of December 31, 2024.</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Multifamily and CRE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our portfolio is composed of multifamily loans made to customers in New York, predominantly for rent-stabilized buildings. We generally apply stringent underwriting guidelines for LTV and debt service coverage ratios, which are intended to mitigate credit and concentration risk in this loan category. Our cumulative historical multifamily loss rate from January 1, 2019 through December 31, 2024 is 9 basis points. The average current LTV of our multifamily loans is approximately 54%. Our CRE exposure is also predominantly in the New York metropolitan area and includes loans on office buildings, owner-occupied office buildings, retail centers, industrial facilities, mixed-use buildings, and education centers, with an average current LTV of 42%.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CRE portfolio composition by property type at December 31, 2024:</w:t>
      </w:r>
    </w:p>
    <w:tbl>
      <w:tblPr>
        <w:tblW w:w="3869" w:type="dxa"/>
        <w:jc w:val="left"/>
        <w:tblInd w:w="0" w:type="dxa"/>
        <w:tblLayout w:type="fixed"/>
        <w:tblCellMar>
          <w:top w:w="28" w:type="dxa"/>
          <w:left w:w="28" w:type="dxa"/>
          <w:bottom w:w="28" w:type="dxa"/>
          <w:right w:w="28" w:type="dxa"/>
        </w:tblCellMar>
      </w:tblPr>
      <w:tblGrid>
        <w:gridCol w:w="766"/>
        <w:gridCol w:w="673"/>
        <w:gridCol w:w="676"/>
        <w:gridCol w:w="109"/>
        <w:gridCol w:w="109"/>
        <w:gridCol w:w="109"/>
        <w:gridCol w:w="333"/>
        <w:gridCol w:w="283"/>
        <w:gridCol w:w="811"/>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of Portfolio</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our total multifamily portfolio is $1.35 billion, and our total multifamily loan exposure in New York State is approximately $951.4 million. Approximately 73% of these loans are to buildings with at least one rent regulated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securities portfolio primarily consists of high quality investments in mortgage-backed securities to government sponsored entities, other asset-backed securities and Property Assessed Clean Energy ("PACE") investments. All non-agency securities, composed of non-agency commercial mortgage-backed securities, collateralized loan obligations, non-agency mortgage-backed securities, and asset-backed securities, are senior tranche and approximately 86.1% carry AAA credit ratings and 13.9% carry A credit ratings or higher. As of December 31, 2024, our securities portfolio has a weighted average yield of 4.86% and an estimated weighted average life of 6 years. Approximately 50.7% of this portfolio is classified as “available for sale.” In total, our securities portfolio including FHLBNY stock represented 40.5% of total interest-earning assets as of December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2019, we expanded into PACE financing which allows borrowers to finance energy efficient and other socially responsible building improvements with the repayment made through property tax assessments collected by municipalities. PACE assessments are typically pari passu with tax liens and senior to mortgage debt. Since 2019, we have purchased $1.64 billion of PACE assessments backed by improvements to residential and commercial properties. The residential assessments were originated by three different companies and were backed mostly by properties from California and Florida. The average assessment-to-value at origination for our residential and commercial PACE portfolios is approximately 9% and 22%, respectively. We added $156.9 million in PACE assets in 2024. PACE assessments are generally non-rated pass-through securities with no structural protections or guarantees added at the security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Business Strategy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 clearly defined mission to be America’s socially responsible bank, empowering organizations and individuals to advance positive change. Our differentiated model of providing relationship-based, personalized-service and customized solutions while sharing our customers’ values has driven the growth of our commercial banking, trust and investment management, and contributes to our consumer banking businesses.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further enhance our franchise value by continuing to develop organic relationships with our target customer base in existing markets, expanding strategically into new geographies while maintaining our risk and expense discipline. We believe this will drive growth in our core banking business and our trust and investment management business. Protecting our banking franchise also requires disciplined risk and expense management, which we believe is essential to our business strategy. Commitment to our customers’ values is a central tenet of our differentiated business model and we expect it to continue to serve as the pillar of our broader business strategy.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Focus on Deposit-led Organic Growth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goal is to develop organic relationships in our target customer segments to support the growth of our high quality, low-cost core deposit base. Our growth has been achieved by providing relationship-based, personalized-service and customized solutions. The success of our deposit gathering strategy has enabled us to become a primarily core deposit-funded institution, resulting in a lower cost funding base. Core deposits, which include checking accounts, money market accounts, and savings accounts, totaled $6.94 billion as of December 31, 2024 and represented 97% of total deposits. Our deposit strategy enables us to attract commercial depositors that also borrow and invest with us. Our total deposit growth has increased at a 7.7% compound annual growth rate over the last five years. We believe our reputation within our target customer base positions us well to sustain our growth trajectory.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Geographic Expansion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strategic expansions into new geographic markets that share the same characteristics as our other current markets with a dense constituency of socially responsible organizations and individuals. We demonstrated our ability to grow organically through our expansion into Washington, D.C. and through the completed acquisition of New Resource Bank in 2018, based in San Francisco. In 2020, we opened our first commercial office in Boston as part of our efforts to expand organically into new markets. We intend to continue evaluating opportunities to efficiently expand our geographic footprint into other large metropolitan areas throughout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Trust and Investment Management Business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dedicated to serving the investment needs of our institutional clients for more than 40 years. We are committed to fostering strong client relationships and unparalleled understanding of our clients’ goals and objectives. Our investment strategies consist of both index and actively-managed portfolios spanning across Equity and Fixed Income asset classes. As of December 31, 2024, we had $35.02 billion of assets under custody and $14.62 billion of assets under management. The growth of our commercial banking business has fueled the continued growth of our trust and investment management business, as approximately one-third of our trust and investment management clients utilize our deposit products. Our existing commercial clients have large trust and investment management needs. Our current infrastructure provides the necessary scale to increase our market presence among corporations, endowments, foundations and family offices. Invesco serves as our primary investment management subadvisor, bringing significant scale and experience to our investment management business, with over $1.59 trillion in assets under management, as of December 2024. Invesco has a wide range of investment management services across asset classes, with experience in Taft-Hartley plans, and a significant range of social responsibility investment products aligned with our mission.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Prudent Approach to Asset Allocation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model has historically generated a substantial source of low-cost core deposits and we believe that it will continue to do so. As noted above, our target deposit customers have historically had limited credit needs and we do not expect that these needs will change meaningfully. As such, our business model gives us access to excess liquidity, which we intend to prudently manage to optimize risk-adjusted returns. We expect that our lending strategy will continue to consist of commercial real estate loans, C&amp;I loans, and clean energy project finance, as well as purchases of high-quality loans such as government guaranteed loans supported by the Small Business Administration or the United States Department of Agriculture, or syndicated loans originated by other financial institutions with a track record of strong credit quality and prudent underwriting.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Underwriting and Credit Risk Management</w:t>
      </w:r>
    </w:p>
    <w:p>
      <w:pPr>
        <w:pStyle w:val="TextBody"/>
        <w:bidi w:val="0"/>
        <w:spacing w:lineRule="auto" w:line="288" w:before="240" w:after="283"/>
        <w:jc w:val="both"/>
        <w:rPr/>
      </w:pPr>
      <w:r>
        <w:rPr>
          <w:rFonts w:ascii="Times New Roman;sans-serif" w:hAnsi="Times New Roman;sans-serif"/>
          <w:b w:val="false"/>
          <w:i/>
          <w:color w:val="000000"/>
          <w:sz w:val="20"/>
        </w:rPr>
        <w:t xml:space="preserve">Underwriting. </w:t>
      </w:r>
      <w:r>
        <w:rPr>
          <w:rFonts w:ascii="Times New Roman;sans-serif" w:hAnsi="Times New Roman;sans-serif"/>
          <w:b w:val="false"/>
          <w:color w:val="000000"/>
          <w:sz w:val="20"/>
        </w:rPr>
        <w:t>Certain credit risks are inherent in all loans. These include risks resulting from uncertainties in the future value of collateral, risks resulting from changes in economic and industry conditions, changing regulatory requirements, and risks inherent in dealing with individual borrowers. Although we both originate and purchase pools of loans, we apply the following underwriting standards to all of our loans. We attempt to mitigate repayment risks by adhering to internal credit limits, a multi-layered approval process for loans, documentation examination, and follow-up procedures for any exceptions to credit policies. Our management, lending officers and credit administration team emphasize a strong risk management culture which is supported by comprehensive policies and procedures for credit underwriting, funding and administration that we believe has enabled us to maintain sound asset quality. Our underwriting methodology emphasizes analysis of global cash flow coverage, property cash flow in the case of real estate loans, loan to collateral value, and obtaining personal guaranties where appropriate. For project finance transactions, consideration of developer experience and financial stability and quality of off take contracts is paramount. Also, in the case of most income-property loans, we require that borrowers are special purpose entities.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delegated oversight responsibility for our credit risk functions to its Credit Policy Committee, which is responsible for setting our credit risk appetite and approving our credit policy. This policy is updated periodically and reviewed in its entirety at least once per year. Our Board has established a management level Credit Committee, which is charged with formulating, subject to the Credit Policy Committee’s approval, and administering our credit policy. The Management Credit Committee reviews and has the authority to approve, delay or deny all requests for new and existing credit exposures within the limits and practices established by our credit policy. Among other responsibilities, the Management Credit Committee reviews and approves (i) all C&amp;I and CRE non-multifamily commercial credit exposure requests greater than $20 million; (ii) CRE multifamily credit exposure requests greater than $20 million; and (iii) approves residential lending credit requests of more than $3 million. The Credit Policy Committee must approve any loan over $35 million, as well as specific programs that are new to the Bank or are subject to heightened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Credit Committee includes our Chief Credit Risk Officer, Chief Banking Officer, Director of Commercial Banking, Treasurer, Chief Legal Officer, Senior Credit Officers, Senior Lending Officer and Director of Commercial Real Estate. Our Management Credit Committee generally meets weekly to evaluate and approve credits brought by loan officers. Prior to submitting a loan for approval, the loan will have gone through several rounds of underwriting and credit review starting with deal screens, underwriting performed by the lending unit, a review of the underwriting by our Credit Risk Management team, submission of a formal credit application memorandum that is also reviewed by our Credit Risk Management team, and an approval to move forward by a Senior Credit Officer. Particularly, during the underwriting process and prior to presentation to the Management Credit Committee, the collateral properties on multifamily and CRE loans are visited by the originating relationship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manager. There are no automatic factors that preclude a loan from being approved as we focus on the totality of the credit opportunity including the borrower’s financial strength, industry, loan structure, strategic fit, and economics. In evaluating each potential loan relationship, we adhere to a disciplined underwriting evaluation process which includes, but is not limited to,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understanding the customer’s financial condition and ability to repay the loan;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verifying that the primary and secondary sources of repayment are adequate in relation to the amount and structure of the loan;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observing appropriate LTV guidelines for collateral secured loans;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maintaining our targeted levels of diversification for the loan portfolio, both as to type of borrower, industry and geographic location of collateral;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ensuring that each loan is properly documented with perfected liens on collateral;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purpose of the loan.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to lend to, and invest our own money in, industries that match the expertise of the Bank, in which we have extensive experience and understand both the specific and inherent risks of individual asset classes for which we have a demonstrated track record. The Bank does not lend to, or invest our own money in, sectors where we do not have the personnel or institutional track record to properly assess the risks at the necessary level to make such credit determinations, nor sectors inconsistent with the risk-adjusted revenue growth strategies of the enterprise, as prescribed by our Risk Appetite Statement and reflected in the Bank’s Credit and Investment Policy. The Bank maintains a restricted industries and activities list according to its risk appetite; a loan falling within a restricted industry or activity may still be approved on an exception basis. The review of such a loan must include a review of the mitigations for the exception and a reason to continue considering the loan.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third party appraisers to appraise the properties on which we make CRE loans. We choose these appraisers from a group of qualified individuals and firms based on the specific type of property and the geographic area in which the property is located. The appraisal review process has been outsourced. The Bank's Senior Credit Officer - CRE selects the appraising individual or firm (from a Bank-approved list), orders the appraisal, then engages an unrelated appraiser to conduct a formal appraisal review of the submitted appraisal report. The full process is managed by the Credit Risk Management Group.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one-to-four family residential real estate loans (first lien), our general policy is not to exceed an LTV of 80% unless the borrower obtains mortgage insurance. For multifamily and CRE loans, our policies are to obtain an appraisal on each loan and, generally, to not exceed an LTV of 80% and 75%, respectively.</w:t>
      </w:r>
    </w:p>
    <w:p>
      <w:pPr>
        <w:pStyle w:val="TextBody"/>
        <w:bidi w:val="0"/>
        <w:spacing w:lineRule="auto" w:line="288" w:before="240" w:after="283"/>
        <w:jc w:val="both"/>
        <w:rPr/>
      </w:pPr>
      <w:r>
        <w:rPr>
          <w:rFonts w:ascii="Times New Roman;sans-serif" w:hAnsi="Times New Roman;sans-serif"/>
          <w:b w:val="false"/>
          <w:i/>
          <w:color w:val="000000"/>
          <w:sz w:val="20"/>
        </w:rPr>
        <w:t>Loans to One Borrower</w:t>
      </w:r>
      <w:r>
        <w:rPr>
          <w:rFonts w:ascii="Times New Roman;sans-serif" w:hAnsi="Times New Roman;sans-serif"/>
          <w:b w:val="false"/>
          <w:color w:val="000000"/>
          <w:sz w:val="20"/>
        </w:rPr>
        <w:t xml:space="preserve">. In accordance with “loans-to-one-borrower” regulations promulgated by the New York State Department of Financial Services ("NYDFS"), we are generally limited to lending no more than 15% of our unimpaired capital and unimpaired surplus to any one borrower or borrowing entity. This limit may be increased by an additional 10% for loans secured by readily marketable collateral having a market value, as determined by reliable and continuously available price quotations, at least equal to the amount of funds outstanding. To qualify for this additional 10%, we must perfect a security interest in the collateral and the collateral must have a market value at all times of at least 100% of the loan amount that exceeds 15% of our unimpaired capital and unimpaired surplus. At December 31, 2024, our regulatory limit on loans-to-one borrower was approximately $123 million. Our Management Credit Committee approval limit is $35 million, any loan over $35 million must be approved by the Credit Policy Committee. We regularly monitor concentration risk, which is the risk of lending too much to one particular customer or type of customer. Our loan policy establishes detailed concentration limits and sub limits by loan type and geography. Our Management Credit Committee and our Credit Policy Committee review our concentration reports on a quarterly basis. </w:t>
      </w:r>
    </w:p>
    <w:p>
      <w:pPr>
        <w:pStyle w:val="TextBody"/>
        <w:bidi w:val="0"/>
        <w:spacing w:lineRule="auto" w:line="288" w:before="240" w:after="283"/>
        <w:jc w:val="both"/>
        <w:rPr/>
      </w:pPr>
      <w:r>
        <w:rPr>
          <w:rFonts w:ascii="Times New Roman;sans-serif" w:hAnsi="Times New Roman;sans-serif"/>
          <w:b w:val="false"/>
          <w:i/>
          <w:color w:val="000000"/>
          <w:sz w:val="20"/>
        </w:rPr>
        <w:t>Ongoing Credit Risk Management</w:t>
      </w:r>
      <w:r>
        <w:rPr>
          <w:rFonts w:ascii="Times New Roman;sans-serif" w:hAnsi="Times New Roman;sans-serif"/>
          <w:b w:val="false"/>
          <w:color w:val="000000"/>
          <w:sz w:val="20"/>
        </w:rPr>
        <w:t>. Credit risk management involves a collaboration among our loan officers or relationship managers, underwriters, and credit approval, credit administration, portfolio management and collections or loan workout personnel. We apply our collection policies uniformly to both our portfolio loans and loans serviced for others. We conduct monthly loan quality meetings, attended by representatives from each of the aforementioned groups, including the business unit leaders. Our Loan Quality Committee is our executive and senior management governing body for monitoring loans that have classified or criticized regulatory risk ratings, or as determined by our Chief Credit Risk Officer or Senior Credit Officers. Criticized loans are special mention loans as they show potential weakness that may result in the deterioration of future repayment. Classified loans are substandard loans and doubtful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Substandard loans are inadequately protected by the current net worth and paying capacity of the borrower or of the collateral pledged (these loans have a well-defined weakness, and there is a distinct possibility that the Company will sustain some loss).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Doubtful loans, based on existing circumstances, have weaknesses that make collection or liquidation in full highly questionable and improbable.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review of classified and criticized loans includes an evaluation of the market conditions, the property’s (or business entity’s) trends, the borrower and guarantor status, the level of reserves required, and loan accrual status.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Loan Quality Committee also reviews: delinquent loans, upcoming maturities, credit review cycles, and other credit monitoring reports across both the loan quality portfolio and non-loan quality portfolio, as well as non-performing residential loans. The Loan Quality Committee has approval authority for loan amendments and credit risk rating changes for reviewed credit exposures. A credit risk rating change requires a majority vote of the Loan Quality Committee and is reported to the Credit Policy Committee. After approval by Loan Quality Committee, the credit risk rating change is processed under our internal controls procedures. </w:t>
      </w:r>
    </w:p>
    <w:p>
      <w:pPr>
        <w:pStyle w:val="TextBody"/>
        <w:bidi w:val="0"/>
        <w:spacing w:lineRule="auto" w:line="288" w:before="240" w:after="283"/>
        <w:jc w:val="both"/>
        <w:rPr/>
      </w:pPr>
      <w:r>
        <w:rPr>
          <w:rFonts w:ascii="Times New Roman;sans-serif" w:hAnsi="Times New Roman;sans-serif"/>
          <w:b w:val="false"/>
          <w:color w:val="000000"/>
          <w:sz w:val="20"/>
        </w:rPr>
        <w:t>In accordance with our policy, we perform annual asset reviews of our multifamily, CRE, and C&amp;I loans. All C&amp;I loans in excess of $1 million are reviewed at least annually, or quarterly based on size and credit criteria. Pass-rated CRE and multifamily loans are reviewed annually or biannually based on size and location, and all criticized and classified loans are reviewed monthly. As part of these credit reviews, we analyze recent financial statements of the borrower and any additional market data that may impact the borrower’s ability to repay the loan. Upon completion, we update the risk rating assigned to each loan. Relationship managers are encouraged to bring potential credit issues to the attention of credit administration personnel. Our credit policy requires at least 40% of our loans to be reviewed by an independent third party to ensure that our assigned risk grades are appropriate. Our current engagement requires the independent third party to review at least 50% of our loans by exposure. The loans are typically selected by the independent third-party reviewer except that the reviewer must review all of our leveraged loans, loans with over $20 million exposure, C&amp;I loans with over $10 million exposure, all construction and farmland, all loans in our lowest pass-rate</w:t>
      </w:r>
      <w:r>
        <w:rPr>
          <w:rFonts w:ascii="Times New Roman;sans-serif" w:hAnsi="Times New Roman;sans-serif"/>
          <w:b w:val="false"/>
          <w:color w:val="000000"/>
          <w:sz w:val="20"/>
          <w:shd w:fill="FFFFFF" w:val="clear"/>
        </w:rPr>
        <w:t>d risk rating with exposures over $1 million, municipality/public finance loans, and classified or criticized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reviews the reports prepared by the independent reviewers and presents these reports to the Credit Policy Committee of the Board. These asset review procedures provide management and the Board with additional information for assessing our asset quality.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Climate Risk Management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Climate-related risks are composed of (1) transitional risks, which are risks associated with the transition towards a low-carbon economy, (2) physical risks, which consist of the physical impacts from climate change including increased frequency and severity of natural disasters, sea levels rising, and extreme temperatures, and (3) regulatory risk as local, state and federal policy makers respond to the climate crisis with new regulations and market influence designed to speed up the transition to a low-carbon economy, mitigate climate risk and protect the economy from climate impacts. These longer-term impacts and events have broad material implications on business operations, supply chains, distribution channels, customers, and markets. The impacts of transition risk can lead to and amplify credit risk or market risk by reducing our customers’ operating income or the value of their assets as well as expose us to reputational and/or litigation risk due to increased regulatory scrutiny or negative public sentiment. Physical risk can lead to increased credit risk by diminishing borrowers’ repayment capacity or impacting the value of collateral.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closely monitor the stability in the insurance markets and the impact of climate losses on the availability and pricing of insurance for the real estate sector. Disruption in these markets could impact the economic circumstances of borrowers, the valuation of assets and borrower ability to meet lending terms on insurance coverage.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embed climate risk into our business strategy, and we are committed to ambitious action through risk management programs. The Bank uses the Task Force on Climate Related Financial Disclosures ("TCFD") framework across governance, strategy, risk management and targets for disclosing clear, comparable and consistent information about our risks and opportunities presented by climate change. Our climate risk mitigation efforts are communicated through our Net Zero Climate Target Report which is our plan to measure our impact, to set targets that guide our business and the impact we have in the world, and to be transparent about what this will mean for our business and operations. Similarly, our annual CSR report includes the key pillars of TCFD reporting and our approach to climate risk management. The information on our website is not incorporated by reference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operational risk, we maintain continuity of operation plans that factor in extreme weather events and our ability to adapt to physical events that change our access to certain locations. This plan is maintained by management and reviewed by the Enterprise Risk Oversight Committee.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regulatory and policy risk, regulators at the federal level and at NYDFS have outlined approaches and expectations for supervision of climate risk for financial institutions, including banks.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Information Security and Technology Systems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critical role of technology in driving operational efficiency and maintaining competitive advantage in today’s financial services landscape. We make investments in order to maintain scalable, efficient, secure and modern scalable information technology systems. We outsource a significant portion of our processing and services, which allows us to leverage vendors’ economies of scale and enables us to expand our capabilities as needed without the burden of legacy infrastructure. We work with our third-party vendors to ensure we are utilizing their applications efficiently and to their fullest capability. We use an integrated core system to originate and process loan and deposit accounts, which provides us with a high degree of automation, improves customer experience and reduces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dedicated to continuously enhancing our cybersecurity measures through a multi-layered defense strategy that safeguards customer and confidential data. By actively monitoring the cybersecurity threat landscape, especially within the financial services sector, we stay ahead of emerging trends and threats. Our Information Security Department diligently identifies and assesses risks, implementing appropriate mitigating controls. Regular security awareness training sessions are conducted to boost employee awareness of cyber threats. Additionally, we maintain both our primary and disaster recovery sites in colocation data centers and regularly conduct business continuity and disaster recovery exercises to ensure our contingency plans are effective and robust.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People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429 employees, approximately 21% of whom are represented by a collective bargaining agreement. We consider our relationship with our employees to be good and have not experienced interruptions of operations due to labor disagreements. All employees are aware of our stance in supporting organized labor and workers' rights.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Four of our service employees at our headquarters, responsible for mechanical and technical repairs, are covered by a 2024 Independent Office Agreement effective January 1, 2024 between us and Local 32BJ, Service Employees International Union, which shall expire at the conclusion of December 31, 2027 for those persons employed by the Bank. The agreement generally governs, among other things, the subject employee’s compensation, vacation, severance, and working conditions and provides the union will only strike under very limited circumstances.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office and clerical employees are covered by the Collective Bargaining Agreement between us and the Office and Professional Employees International Union ("OPEIU") local 153. The agreement generally governs, among other things, the subject employees’ compensation, vacation, severance, and working conditions and contains a “no-strike” clause, whereby, during the term of the agreement, the union will not strike and we will not initiate a lockout. On November 29, 2024, the Company and the OPEIU entered into a new Collective Bargaining Agreement, which (i) extended the term of the Collective Bargaining Agreement to June 30, 2026, (ii) provided for a 3.5% wage increase per annum for the term of the Agreement, and (iii) made certain modifications to reflect improved terms, inclusive of a healthcare reimbursement.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Diversity is important to us and is a contributing factor to our ability to deliver on our growth strategy by ensuring a wide range of client acquisition opportunities. Additionally, our Board of Directors is currently comprised of seven women, four racially or ethnically diverse members, and one LGBTQ+ member. We believe maintaining and promoting a diverse and inclusive workplace and ensuring equal pay for equal work is essential for our growth. We are committed to merit based strategies to attract, retain, and develop top talent to create value for stockholders. In our employee recruitment and selection process and operation of our business, we adhere to equal employment opportunity policies and provide annual employee trainings on ethics and workplace conduct. We have established employee resource groups to support employees and help cultivate a healthy workplace culture. As of December 31, 2024, approximately 56% of our employees identify as women and women hold 17 of 44 senior management positions, and 64% of our employees identify as minorities and they hold 54% of senior management positions.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Competitive Pay/Benefits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attract and retain talent, we offer a comprehensive compensation and benefits package that includes health insurance, pension, savings plans, employee stock purchase plan and tuition reimbursement. In 2019, we became the first U.S. bank to increase our minimum wage to $20 per hour.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engage a nationally recognized outside compensation and benefits consulting firm to independently evaluate the effectiveness of our executive pay programs and to benchmark them against those of industry peers. We align our executives’ pay with performance by linking incentive pay to financial performance and we have stock ownership requirements for senior executives and our Board of Directors.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publish annually in our CSR Report annual data on employee recruitment, advancement and retention, and an analysis of pay equity, which is an analysis conducted for the purposes of identifying whether there is the presence of statistically significant pay differences in our practices that potentially penalize any one demographic group or protected class versus another through the lens of specific legally defined categories.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Promotions and Tenure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December 31, 2023 to December 31, 2024, approximately 4.7% of our workforce was promoted. The average tenure of our employees is approximately seven years.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Culture and Employee Engagement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President and Chief Executive Officer and members of executive management hold town hall-style meetings in-person and virtually with all employees, covering topics such as business strategy and outlook, our competitive landscape, emerging industry trends, employee recognition, and includes a question and answer session with management. We believe this format, in addition to other on-going interactions between leadership and employees, promotes strong and productive conversations across our organization that foster alignment across the company to deliver shareholder value through our differentiated business model.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 and Safety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health and safety of our employees and customers is our highest priority. We leverage federal, state, and local guidelines and requirements, in addition to consultation with an external healthcare consulting firm to guide our health and safety protocols.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Significant Subsidiaries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all of the capital stock of the Bank. The Bank owns a 99.6% equity interest and controls the operations of its subsidiary, Amalgamated Real Estate Management Company (“AREMCO”), which was formed to serve as a consolidated real estate investment trust holding certain of our purchased and originated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ending December 31, 2024, the Board of Directors of AREMCO approved a plan of liquidation of AREMCO. All stockholders of AREMCO were paid a liquidating distribution. The legal dissolution of AREMCO will be finalized in 2025.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also has several other insignificant subsidiaries, including subsidiaries to hold our other real estate owned property (OREO), which is real estate property owned by us that is not directly related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Annual Reports on Form 10</w:t>
        <w:noBreakHyphen/>
        <w:t>K, Quarterly Reports on Form 10</w:t>
        <w:noBreakHyphen/>
        <w:t>Q, Current Reports on Form 8</w:t>
        <w:noBreakHyphen/>
        <w:t>K, and amendments to those reports filed or furnished pursuant to Section 13(a) or 15(d) of the Exchange Act on our website at www.amalgamatedbank.com under the Investor Relations section. These filings are made accessible as soon as reasonably practicable after they have been filed electronically with the SEC. These reports are also available free of charge on the SEC's website at www.sec.gov. The information on our website is not incorporated by reference into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SUPERVISION AND REGULATION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the Company and the Bank are subject to extensive banking regulations that impose restrictions on and provide for general regulatory oversight of their operations. These laws generally are intended primarily for the protection of customers, depositors and other consumers, the FDIC’s Deposit Insurance Fund (the “DIF”), and the banking system as a whole; not for the protection of our other creditors and stockholders.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not intended to be a complete list of all the activities regulated by the banking laws or of the impact of those laws and regulations on our operations. The following is a general summary of the material aspects of certain statutes and regulations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revenues,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Legislative and Regulatory Developments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Dodd-Frank Wall Street Reform and Consumer Protection Act (“Dodd-Frank Act”)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was signed into law in July 2010 and impacts financial institutions in numerous ways,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creation of a Financial Stability Oversight Council responsible for monitoring and managing systemic risk;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Granting additional authority to the Board of Governors of the Federal Reserve (the “Federal Reserve”) to regulate certain types of nonbank financial companies;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Granting new authority to the FDIC as liquidator and receiver;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Changing the manner in which deposit insurance assessments are made;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Requiring regulators to modify capital standards;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Establishing the Consumer Financial Protection Bureau (the “CFPB”);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Capping interchange fees that certain banks charge merchants for debit card transactions;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Imposing more stringent requirements on mortgage lenders;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Limiting banks’ proprietary trading activities. </w:t>
      </w:r>
    </w:p>
    <w:p>
      <w:pPr>
        <w:pStyle w:val="TextBody"/>
        <w:bidi w:val="0"/>
        <w:spacing w:lineRule="auto" w:line="288" w:before="240" w:after="283"/>
        <w:jc w:val="both"/>
        <w:rPr/>
      </w:pPr>
      <w:r>
        <w:rPr>
          <w:rFonts w:ascii="Times New Roman;sans-serif" w:hAnsi="Times New Roman;sans-serif"/>
          <w:b w:val="false"/>
          <w:color w:val="000000"/>
          <w:sz w:val="20"/>
        </w:rPr>
        <w:t>There are many provisions in the Dodd-Frank Act mandating regulators to adopt new regulations and conduct studies upon which future regulation may be based. While some have been issued, many remain to be issued. Governmental intervention and new regulations could materially and adversely affect our business, financial condition and results of operations.</w:t>
      </w:r>
      <w:r>
        <w:rPr>
          <w:color w:val="000000"/>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Amalgamated Financial Corp.</w:t>
      </w:r>
    </w:p>
    <w:p>
      <w:pPr>
        <w:pStyle w:val="TextBody"/>
        <w:bidi w:val="0"/>
        <w:spacing w:lineRule="auto" w:line="288" w:before="240" w:after="283"/>
        <w:jc w:val="both"/>
        <w:rPr/>
      </w:pPr>
      <w:r>
        <w:rPr>
          <w:rFonts w:ascii="Times New Roman;sans-serif" w:hAnsi="Times New Roman;sans-serif"/>
          <w:b w:val="false"/>
          <w:color w:val="000000"/>
          <w:sz w:val="20"/>
        </w:rPr>
        <w:t>The Company owns 100% of the outstanding capital stock of the Bank, and is considered to be a bank holding company registered under the federal Bank Holding Company Act of 1956 (the “BHC Act”).</w:t>
      </w:r>
      <w:r>
        <w:rPr>
          <w:color w:val="000000"/>
        </w:rPr>
        <w:t xml:space="preserve"> </w:t>
      </w:r>
      <w:r>
        <w:rPr>
          <w:rFonts w:ascii="Times New Roman;sans-serif" w:hAnsi="Times New Roman;sans-serif"/>
          <w:b w:val="false"/>
          <w:color w:val="000000"/>
          <w:sz w:val="20"/>
        </w:rPr>
        <w:t>As a result, we are primarily subject to the supervision, examination and reporting requirements of the Federal Reserve under the BHC Act and its regulations promulgated thereunder.</w:t>
      </w:r>
      <w:r>
        <w:rPr>
          <w:color w:val="000000"/>
        </w:rPr>
        <w:t xml:space="preserve"> </w:t>
      </w:r>
    </w:p>
    <w:p>
      <w:pPr>
        <w:pStyle w:val="TextBody"/>
        <w:bidi w:val="0"/>
        <w:spacing w:lineRule="auto" w:line="288" w:before="240" w:after="283"/>
        <w:jc w:val="both"/>
        <w:rPr/>
      </w:pPr>
      <w:r>
        <w:rPr>
          <w:rFonts w:ascii="Times New Roman;sans-serif" w:hAnsi="Times New Roman;sans-serif"/>
          <w:b w:val="false"/>
          <w:i/>
          <w:color w:val="000000"/>
          <w:sz w:val="20"/>
        </w:rPr>
        <w:t>Permitted Activities.</w:t>
      </w:r>
      <w:r>
        <w:rPr>
          <w:color w:val="000000"/>
        </w:rPr>
        <w:t xml:space="preserve"> </w:t>
      </w:r>
      <w:r>
        <w:rPr>
          <w:rFonts w:ascii="Times New Roman;sans-serif" w:hAnsi="Times New Roman;sans-serif"/>
          <w:b w:val="false"/>
          <w:color w:val="000000"/>
          <w:sz w:val="20"/>
        </w:rPr>
        <w:t>Under the BHC Act, a bank holding company is generally permitted to engage in, or acquire direct or indirect control of more than 5% of the voting shares of any company engaged in, the following activities: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banking or managing or controlling banks;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furnishing services to or performing services for our subsidiaries;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any activity that the Federal Reserve determines to be so closely related to banking as to be a proper incident to the business of banking.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Activities that the Federal Reserve has found to be so closely related to banking as to be a proper incident to the business of banking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factoring accounts receivable;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making, acquiring, brokering or servicing loans and usual related activities;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leasing personal or real property;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operating a non-bank depository institution, such as a savings association;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trust company functions;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financial and investment advisory activities;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conducting discount securities brokerage activities;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underwriting and dealing in government obligations and money market instruments;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providing specified management consulting and counseling activities;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performing selected data processing services and support services;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acting as agent or broker in selling credit life insurance and other types of insurance in connection with credit transactions;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performing selected insurance underwriting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bank holding company, the Company can elect to be treated as a “financial holding company,” which would allow it to engage in a broader array of activities. In summary, a financial holding company can engage in activities that are financial in nature or incidental or complementary to financial activities, including insurance underwriting, sales and brokerage activities, providing financial and investment advisory services, underwriting services and limited merchant banking activities. We are contemplating seeking designation as a financial holding company. In order to elect financial holding company status, at the time of such election, each insured depository institution that the Company controls must be well capitalized, well managed and have at least a satisfactory rating under the Community Reinvestment Act.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has the authority to order a bank holding company or its subsidiaries to terminate any of these activities or to terminate its ownership or control of any subsidiary when it has reasonable cause to believe that the bank holding company’s continued ownership, activity or control constitutes a serious risk to the financial safety, soundness or stability of it or any of its bank subsidiaries.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Expansion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BHC Act requires a bank holding company to obtain the prior approval of the Federal Reserve before merging with another bank holding company, acquiring substantially all the assets of any bank or bank holding company, or acquiring directly or indirectly any ownership or control of more than 5% of the voting shares of any bank. A bank holding company is also prohibited from acquiring direct or indirect ownership or control of more than 5% of the voting shares of any company engaged in nonbanking activities, other than those determined by the Federal Reserve to be so closely related to banking as to be a proper incident to the business of banking.</w:t>
      </w:r>
    </w:p>
    <w:p>
      <w:pPr>
        <w:pStyle w:val="TextBody"/>
        <w:bidi w:val="0"/>
        <w:spacing w:lineRule="auto" w:line="288" w:before="240" w:after="283"/>
        <w:jc w:val="both"/>
        <w:rPr/>
      </w:pPr>
      <w:r>
        <w:rPr>
          <w:rFonts w:ascii="Times New Roman;sans-serif" w:hAnsi="Times New Roman;sans-serif"/>
          <w:b w:val="false"/>
          <w:i/>
          <w:color w:val="000000"/>
          <w:sz w:val="20"/>
        </w:rPr>
        <w:t>Change in Control</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Two statutes, the BHC Act and the Change in Bank Control Act, together with regulations promulgated under them, require some form of regulatory review before any company may acquire “control” of a bank or a bank holding company. Under the BHC Act, control is deemed to exist if a company acquires 25% or more of any class of voting securities of a bank holding company; controls the election of a majority of the members of the Board of Directors; or exercises a controlling influence over the management or policies of a bank or bank holding company. On January 30, 2020, the Federal Reserve issued a final rule (which became effective September 30, 2020) that clarified and codified the Federal Reserve’s standards for determining whether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has control over another. The final rule established four categories of tiered presumptions of noncontrol that are based on the percentage of voting shares held by the investor (less than 5%, 5-9.9%, 10-14.9% and 15-24.9%) and the presence of other indicia of control. As the percentage of ownership increases, fewer indicia of control are permitted without falling outside of the presumption of noncontrol. These indicia of control include nonvoting equity ownership, director representation, management interlocks, business relationship and restrictive contractual covenants. Under the final rule, investors can hold up to 24.9% of the voting securities and up to 33% of the total equity of a company without necessarily having a controlling influence. State laws, including New York law, require state approval before an acquirer may become the holding company of a state bank.</w:t>
      </w:r>
    </w:p>
    <w:p>
      <w:pPr>
        <w:pStyle w:val="TextBody"/>
        <w:bidi w:val="0"/>
        <w:spacing w:lineRule="auto" w:line="288" w:before="240" w:after="283"/>
        <w:jc w:val="both"/>
        <w:rPr/>
      </w:pPr>
      <w:r>
        <w:rPr>
          <w:rFonts w:ascii="Times New Roman;sans-serif" w:hAnsi="Times New Roman;sans-serif"/>
          <w:b w:val="false"/>
          <w:color w:val="000000"/>
          <w:sz w:val="20"/>
        </w:rPr>
        <w:t>Under the Change in Bank Control Act, a person or company is required to file a notice with the Federal Reserve if it will, as a result of the transaction, own or control 10% or more of any class of voting securities or direct the management or policies of a bank or bank holding company and either if the bank or bank holding company has registered securities or if the acquirer would be the largest holder of that class of voting securities after the acquisition. For a change in control at the holding company level, both the Federal Reserve and the subsidiary bank's primary federal regulator must approve the change in control; at the bank level, only the bank’s primary federal regulator is involved.</w:t>
      </w:r>
      <w:r>
        <w:rPr>
          <w:color w:val="000000"/>
        </w:rPr>
        <w:t xml:space="preserve"> </w:t>
      </w:r>
      <w:r>
        <w:rPr>
          <w:rFonts w:ascii="Times New Roman;sans-serif" w:hAnsi="Times New Roman;sans-serif"/>
          <w:b w:val="false"/>
          <w:color w:val="000000"/>
          <w:sz w:val="20"/>
        </w:rPr>
        <w:t>Transactions subject to the BHC Act are exempt from Change in Control Act requirements.</w:t>
      </w:r>
      <w:r>
        <w:rPr>
          <w:color w:val="000000"/>
        </w:rPr>
        <w:t xml:space="preserve"> </w:t>
      </w:r>
      <w:r>
        <w:rPr>
          <w:rFonts w:ascii="Times New Roman;sans-serif" w:hAnsi="Times New Roman;sans-serif"/>
          <w:b w:val="false"/>
          <w:color w:val="000000"/>
          <w:sz w:val="20"/>
        </w:rPr>
        <w:t>For state banks, state laws, including that of New York, typically require approval by the state bank regulator as well.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 of Strength</w:t>
      </w:r>
    </w:p>
    <w:p>
      <w:pPr>
        <w:pStyle w:val="TextBody"/>
        <w:bidi w:val="0"/>
        <w:spacing w:lineRule="auto" w:line="288" w:before="240" w:after="283"/>
        <w:jc w:val="both"/>
        <w:rPr/>
      </w:pPr>
      <w:r>
        <w:rPr>
          <w:rFonts w:ascii="Times New Roman;sans-serif" w:hAnsi="Times New Roman;sans-serif"/>
          <w:b w:val="false"/>
          <w:color w:val="000000"/>
          <w:sz w:val="20"/>
        </w:rPr>
        <w:t>There are a number of obligations and restrictions imposed by law and regulatory policy on bank holding companies with regard to their depository institution subsidiaries that are designed to minimize potential loss to depositors and to the FDIC insurance funds in the event that the depository institution becomes in danger of defaulting under its obligations to repay deposits.</w:t>
      </w:r>
      <w:r>
        <w:rPr>
          <w:color w:val="000000"/>
        </w:rPr>
        <w:t xml:space="preserve"> </w:t>
      </w:r>
      <w:r>
        <w:rPr>
          <w:rFonts w:ascii="Times New Roman;sans-serif" w:hAnsi="Times New Roman;sans-serif"/>
          <w:b w:val="false"/>
          <w:color w:val="000000"/>
          <w:sz w:val="20"/>
        </w:rPr>
        <w:t>Under a policy of the Federal Reserve, a bank holding company is required to serve as a source of financial strength to its subsidiary depository institutions and to commit resources to support such institutions in circumstances where it might not do so absent such policy. Under the Federal Deposit Insurance Corporation Improvement Act of 1991, to avoid receivership of its insured depository institution subsidiary, a bank holding company is required to guarantee the compliance of any insured depository institution subsidiary that may become “undercapitalized” within the terms of any capital restoration plan filed by such subsidiary with its appropriate federal banking agency up to the lesser of (i) an amount equal to 5% of the institution’s total assets at the time the institution became undercapitalized, or (ii) the amount which is necessary (or would have been necessary) to bring the institution into compliance with all applicable capital standards as of the time the institution fails to comply with such capital restoration plan.</w:t>
      </w:r>
    </w:p>
    <w:p>
      <w:pPr>
        <w:pStyle w:val="TextBody"/>
        <w:bidi w:val="0"/>
        <w:spacing w:lineRule="auto" w:line="288" w:before="240" w:after="283"/>
        <w:jc w:val="both"/>
        <w:rPr/>
      </w:pPr>
      <w:r>
        <w:rPr>
          <w:rFonts w:ascii="Times New Roman;sans-serif" w:hAnsi="Times New Roman;sans-serif"/>
          <w:b w:val="false"/>
          <w:color w:val="000000"/>
          <w:sz w:val="20"/>
        </w:rPr>
        <w:t>The Federal Reserve also has the authority under the BHC Act to require a bank holding company to terminate any activity or relinquish control of a nonbank subsidiary (other than a nonbank subsidiary of a bank) upon the Federal Reserve's determination that such activity or control constitutes a serious risk to the financial soundness or stability of any subsidiary depository institution of the bank holding company.</w:t>
      </w:r>
      <w:r>
        <w:rPr>
          <w:color w:val="000000"/>
        </w:rPr>
        <w:t xml:space="preserve"> </w:t>
      </w:r>
      <w:r>
        <w:rPr>
          <w:rFonts w:ascii="Times New Roman;sans-serif" w:hAnsi="Times New Roman;sans-serif"/>
          <w:b w:val="false"/>
          <w:color w:val="000000"/>
          <w:sz w:val="20"/>
        </w:rPr>
        <w:t>Further, federal law grants federal bank regulatory authorities’ additional discretion to require a bank holding company to divest itself of any bank or nonbank subsidiary if the agency determines that divestiture may aid the depository institution's financial condition.</w:t>
      </w:r>
      <w:r>
        <w:rPr>
          <w:color w:val="000000"/>
        </w:rPr>
        <w:t xml:space="preserve"> </w:t>
      </w:r>
    </w:p>
    <w:p>
      <w:pPr>
        <w:pStyle w:val="TextBody"/>
        <w:bidi w:val="0"/>
        <w:spacing w:lineRule="auto" w:line="288" w:before="240" w:after="283"/>
        <w:jc w:val="both"/>
        <w:rPr/>
      </w:pPr>
      <w:r>
        <w:rPr>
          <w:rFonts w:ascii="Times New Roman;sans-serif" w:hAnsi="Times New Roman;sans-serif"/>
          <w:b w:val="false"/>
          <w:color w:val="000000"/>
          <w:sz w:val="20"/>
        </w:rPr>
        <w:t>In addition, the “cross guarantee” provisions of the Federal Deposit Insurance Act (the “FDIA”) require insured depository institutions under common control to reimburse the FDIC for any loss suffered or reasonably anticipated by the FDIC as a result of the default of a commonly controlled insured depository institution or for any assistance provided by the FDIC to a commonly controlled insured depository institution in danger of default.</w:t>
      </w:r>
      <w:r>
        <w:rPr>
          <w:color w:val="000000"/>
        </w:rPr>
        <w:t xml:space="preserve"> </w:t>
      </w:r>
      <w:r>
        <w:rPr>
          <w:rFonts w:ascii="Times New Roman;sans-serif" w:hAnsi="Times New Roman;sans-serif"/>
          <w:b w:val="false"/>
          <w:color w:val="000000"/>
          <w:sz w:val="20"/>
        </w:rPr>
        <w:t>The FDIC’s claim for damages is superior to claims of stockholders of the insured depository institution or its holding company, but is subordinate to claims of depositors, secured creditors and holders of subordinated debt (other than affiliates) of the commonly controlled insured depository institutions.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FDIA also provides that amounts received from the liquidation or other resolution of any insured depository institution by any receiver must be distributed (after payment of secured claims) to pay the deposit liabilities of the institution prior to payment of any other general or unsecured senior liability, subordinated liability, general creditor or stockholder. This provision would give depositors a preference over general and subordinated creditors and stockholders in the event a receiver is appointed to distribute the assets of our Company.</w:t>
      </w:r>
    </w:p>
    <w:p>
      <w:pPr>
        <w:pStyle w:val="TextBody"/>
        <w:bidi w:val="0"/>
        <w:spacing w:lineRule="auto" w:line="288" w:before="240" w:after="283"/>
        <w:jc w:val="both"/>
        <w:rPr/>
      </w:pPr>
      <w:r>
        <w:rPr>
          <w:rFonts w:ascii="Times New Roman;sans-serif" w:hAnsi="Times New Roman;sans-serif"/>
          <w:b w:val="false"/>
          <w:color w:val="000000"/>
          <w:sz w:val="20"/>
        </w:rPr>
        <w:t>Any capital loans by a bank holding company to any of its subsidiary banks are subordinate in right of payment to deposits and to certain other indebtedness of such subsidiary bank.</w:t>
      </w:r>
      <w:r>
        <w:rPr>
          <w:color w:val="000000"/>
        </w:rPr>
        <w:t xml:space="preserve"> </w:t>
      </w:r>
      <w:r>
        <w:rPr>
          <w:rFonts w:ascii="Times New Roman;sans-serif" w:hAnsi="Times New Roman;sans-serif"/>
          <w:b w:val="false"/>
          <w:color w:val="000000"/>
          <w:sz w:val="20"/>
        </w:rPr>
        <w:t>In the event of a bank holding company’s bankruptcy, any commitment by the bank holding company to a federal bank regulatory agency to maintain the capital of a subsidiary bank will be assumed by the bankruptcy trustee and entitled to a priority of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Requirements and Payment of Dividends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imposes certain capital requirements on the bank holding companies under the BHC Act, including a minimum leverage ratio and a minimum ratio of “qualifying” capital to risk-weighted assets. These requirements are essentially the same as those that apply to the Bank and are described below under “Amalgamated Bank—Capital and Related Requirements” Subject to our capital requirements and certain other restrictions, including the consent of the Federal Reserve, we are able to borrow money to make a capital contribution to the Bank, and these loans may be repaid from dividends paid from the Bank to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pay dividends to its stockholders may be affected by both general corporate law considerations and policies of the Federal Reserve applicable to bank holding companies. As a Delaware public benefit corporation, the Company is subject to the limitations of the Delaware General Corporation Law ("DGCL"). The DGCL allows the Company to pay dividends only out of its surplus (as defined and computed in accordance with the provisions of the DGCL) or if the Company has no such surplus, out of its net profits for the fiscal year in which the dividend is declared and/or the preceding fiscal year.</w:t>
      </w:r>
    </w:p>
    <w:p>
      <w:pPr>
        <w:pStyle w:val="TextBody"/>
        <w:bidi w:val="0"/>
        <w:spacing w:lineRule="auto" w:line="288" w:before="240" w:after="283"/>
        <w:jc w:val="both"/>
        <w:rPr/>
      </w:pPr>
      <w:r>
        <w:rPr>
          <w:rFonts w:ascii="Times New Roman;sans-serif" w:hAnsi="Times New Roman;sans-serif"/>
          <w:b w:val="false"/>
          <w:color w:val="000000"/>
          <w:sz w:val="20"/>
        </w:rPr>
        <w:t>As a general matter, the Federal Reserve has indicated that the Board of Directors of a bank holding company should eliminate, defer or significantly reduce dividends to stockholders if: (a) the company’s net income available to stockholders for the past four quarters, net of dividends previously paid during that period, is not sufficient to fully fund the dividends; (b) the prospective rate of earnings retention is inconsistent with the company’s capital needs and overall current and prospective financial condition; or (c)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capital rules, financial institutions that seek to pay dividends will have to maintain the 2.5% capital conservation buffer. See</w:t>
      </w:r>
      <w:r>
        <w:rPr>
          <w:color w:val="000000"/>
        </w:rPr>
        <w:t xml:space="preserve"> “</w:t>
      </w:r>
      <w:r>
        <w:rPr>
          <w:rFonts w:ascii="Times New Roman;sans-serif" w:hAnsi="Times New Roman;sans-serif"/>
          <w:b w:val="false"/>
          <w:color w:val="000000"/>
          <w:sz w:val="20"/>
        </w:rPr>
        <w:t>Amalgamated Bank—Capital and Related Requirements.”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Restrictions on Affiliate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legal entity separate and distinct from the Bank and its other subsidiaries. Various legal limitations restrict the Bank from lending or otherwise supplying funds to the Company or its non-bank subsidiaries. The Company and the Bank are subject to Sections 23A and 23B of the Federal Reserve Act and Federal Reserve Regulation 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23A of the Federal Reserve Act places limits on the amount of loans or extensions of credit by a bank to any affiliate, including its holding company, and on a bank’s investments in, or certain other transactions with, affiliates and on the amount of advances to third parties collateralized by the securities or obligations any of affiliates of the bank. Section 23A also applies to derivative transactions, repurchase agreements and securities lending and borrowing transactions that cause a bank to have credit exposure to an affiliate. The aggregate of all covered transactions is limited in amount, as to any one affiliate, to 10% of the Bank’s capital and surplus and, as to all affiliates combined, to 20% of the Bank’s capital and surplus. Furthermore, within the foregoing limitations as to amount, each covered transaction must meet specified collateral requirements. The Bank is forbidden to purchase low quality assets from an affiliate.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23B of the Federal Reserve Act, among other things, prohibits a bank from engaging in certain transactions with certain affiliates unless the transactions are on terms and under circumstances, including credit standards, that are substantially the same, or at least as favorable to such bank or its subsidiaries, as those prevailing at the time for comparable transactions with or involving other nonaffiliated companies. If there are no comparable transactions, a bank’s (or one of its subsidiaries’) affiliate transaction must be on terms and under circumstances, including credit standards, that in good faith would be offered to, or would apply to, nonaffiliated companies. These requirements apply to all transactions subject to Section 23A as well as to certain other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affiliates of a bank include any holding company of the bank, any other company under common control with the bank (including any company controlled by the same stockholders who control the bank), any subsidiary of the bank that is itself a bank, any company in which the majority of the directors or trustees also constitute a majority of the directors or trustees of the bank or holding company of the bank, any company sponsored and advised on a contractual basis by the bank or an affiliate, and any mutual fund advised by a bank or any of the bank’s affiliates. Regulation W generally excludes all non-bank and non-savings association subsidiaries of banks from treatment as affiliates, except to the extent that the Federal Reserve decides to treat these subsidiaries as affiliates.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Amalgamated Bank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New York state-chartered bank with FDIC-insured deposits, we are examined, supervised and regulated by the NYDFS, our primary regulator and the FDIC, our primary federal regulator. The statutes enforced by, and regulations and policies of, these agencies affect most aspects of our business, including prescribing the permissible scope of our activities, permissible types of loans and investments, the amount of required reserves, requirements for branch offices, and various other requirements.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New York Law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New York-chartered bank, New York law governs our licensing and regulation, including organizational and capital requirements, fiduciary powers, investment authority, branch offices and electronic terminals, declaration of dividends, changes of control and mergers, out of state activities, interstate branching and banking, debt offerings, borrowing limits, limits on loans to one obligor, liquidation, sale of shares or options in Amalgamated to its directors, officers, employees and others, the purchase by Amalgamated of its own shares, and the issuance of capital notes or debentures. The NYDFS is charged with our supervision and regulation.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Unsecured loans to one person generally may not exceed 15% of the sum of our capital stock, allowance and capital notes and debentures, and both secured and unsecured loans to one person (excluding certain secured lending and letters of credit) at any given time generally may not exceed 25% of the sum of our capital stock, allowance and capital notes and debentures. We are required to invest our funds in accordance with limitations under New York law and may only make investments that are permissible investments for banks, subject to any limitations under any other applicable law.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remedies available to the FDIC (which are discussed below), the Superintendent of the NYDFS may take possession of our bank if certain conditions exist, such as conducting business in an unsafe or unauthorized manner, impairments of capital, suspended payments of obligations, or violation of law.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FDIC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deposits are insured by the FDIC to the fullest extent permissible by law. As an insurer of deposits, the FDIC issues regulations, conducts examinations, requires the filing of reports and generally supervises the operations of all institutions to which it provides deposit insurance. The approval of the FDIC is required for certain transactions in which we may engage, including any merger or consolidation involving us, a change in control over us, or the establishment or relocation of any of our branch offices. In reviewing applications seeking approval of such transactions, the FDIC may consider, among other things, the competitive effect and public benefits of the transactions, the capital position, financial and managerial resources and future prospects of the organizations involved in the transaction, the risks to the stability of the U.S. banking or financial system, the applicant’s performance record under the Community Reinvestment Act (see “Community Reinvestment Act” below) and the effectiveness of the organizations involved in the transaction in combating money laundering activities. The FDIC also has the power to prohibit these and other transactions even if approval is not required, and could do so if we have otherwise failed to comply with all laws and regulations applicable to us.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Safety and Soundness Regulation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insured depository institution, we are subject to prudential regulation and supervision and must undergo regular on-site examinations by our banking agencies. The cost of examinations of insured depository institutions and any affiliates may be assessed by the appropriate agency against each institution or affiliate as it deems necessary or appropriate. We file quarterly consolidated reports of condition and income (“call reports”) with the NYDFS and FDIC. The FDIC has developed a method for insured depository institutions to provide supplemental disclosure of the estimated fair market value of assets and liabilities, to the extent feasible and practicable, in any balance sheet, financial statement, report of condition or any other report of any insured depository institution.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banking agencies have also adopted guidelines establishing safety and soundness standards for all insured depository institutions including our bank. The safety and soundness guidelines relate to, among other things, our internal controls, information systems, internal audit systems, credit underwriting and documentation, compensation, fees, benefits, asset quality, asset growth, earnings, and interest rate exposure. The standards assist the federal banking agencies with early identification and resolution of problems at insured depository institutions. If we were to fail to meet these standards, the FDIC could require us to submit a compliance plan and take enforcement action if an acceptable compliance plan were not submitted. In addition, the FDIC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could terminate our deposit insurance if it determines that our financial condition was unsafe or unsound or that we engaged in unsafe or unsound practices that violated an applicable rule, regulation, order or condition enacted or imposed on us by our regulators.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Payment of Dividends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power of the Board of Directors of an insured depository institution to declare a cash dividend or other distribution with respect to capital is subject to statutory and regulatory restrictions that limit the amount available for such distribution depending upon earnings, financial condition and cash needs of the institution, as well as general business conditions. Insured depository institutions are also prohibited from paying management fees to any controlling persons or, with certain limited exceptions, making capital distributions, including dividends, if after such transaction the institution would be less than adequately capitalized.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New York law, we are prohibited from declaring a dividend so long as there is any impairment of our capital stock. In addition, we would be required to obtain approval from the NYDFS prior to declaring a dividend if the dividend would cause the total aggregate amount of our dividends in the calendar year to exceed our total net profits for that calendar year combined with retained net profits of the preceding two years, less any required transfer to surplus or a fund for the retirement of any preferred stock.</w:t>
      </w:r>
    </w:p>
    <w:p>
      <w:pPr>
        <w:pStyle w:val="TextBody"/>
        <w:bidi w:val="0"/>
        <w:spacing w:lineRule="auto" w:line="288" w:before="240" w:after="283"/>
        <w:jc w:val="both"/>
        <w:rPr/>
      </w:pPr>
      <w:r>
        <w:rPr>
          <w:rFonts w:ascii="Times New Roman;sans-serif" w:hAnsi="Times New Roman;sans-serif"/>
          <w:b w:val="false"/>
          <w:color w:val="000000"/>
          <w:sz w:val="20"/>
        </w:rPr>
        <w:t>Under certain circumstances, the FDIC may determine that the payment of a dividend would be an unsafe or unsound practice as a result of our financial condition and to prohibit the payment thereof. In particular, the FDIC has stated that excessive dividends can negate strong earnings performance and result in a weakened capital position and that dividends generally can be disbursed, in reasonable amounts, only after losses are eliminated and necessary reserves and prudent capital levels are established. In addition, the capital rules (and in particular, the capital conservation buffer, which was fully phased-in on January 1, 2019), require us to maintain 2.5% in Common Equity Tier 1 capital in order to pay a cash dividend. See “</w:t>
      </w:r>
      <w:r>
        <w:rPr>
          <w:rFonts w:ascii="Times New Roman;sans-serif" w:hAnsi="Times New Roman;sans-serif"/>
          <w:b w:val="false"/>
          <w:i/>
          <w:color w:val="000000"/>
          <w:sz w:val="20"/>
        </w:rPr>
        <w:t>Capital and Related Requirements</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and Related Requirements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comprehensive capital adequacy requirements intended to protect against losses that we may incur. Regulatory capital rules adopted in July 2013 and fully phased in as of January 1, 2019, which we refer to as Basel III, impose minimum capital requirements for bank holding companies and banks. The Basel III rules apply to all state and national banks and savings and loan associations regardless of size and bank holding companies and savings and loan holding companies other than "small bank holding companies," generally holding companies with consolidated assets of less than $3 billion. More stringent requirements are imposed on “advanced approaches” banking organizations—those organizations with $250 billion or more in total consolidated assets, $10 billion or more in total foreign exposures, or that have opted into the Basel II capital regime.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include certain higher risk-based capital and leverage requirements than those previously in place. Specifically, we are required to maintain the following minimum capital requirements: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common equity Tier 1 (“CET1”) risk-based capital ratio of 4.5%;</w:t>
      </w:r>
      <w:r>
        <w:rPr>
          <w:color w:val="000000"/>
        </w:rPr>
        <w:t xml:space="preserv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Tier 1 risk-based capital ratio of 6%;</w:t>
      </w:r>
      <w:r>
        <w:rPr>
          <w:color w:val="000000"/>
        </w:rPr>
        <w:t xml:space="preserv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total risk-based capital ratio of 8%;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leverage ratio of 4%.</w:t>
      </w:r>
    </w:p>
    <w:p>
      <w:pPr>
        <w:pStyle w:val="TextBody"/>
        <w:bidi w:val="0"/>
        <w:spacing w:lineRule="auto" w:line="288" w:before="240" w:after="283"/>
        <w:jc w:val="both"/>
        <w:rPr/>
      </w:pPr>
      <w:r>
        <w:rPr>
          <w:rFonts w:ascii="Times New Roman;sans-serif" w:hAnsi="Times New Roman;sans-serif"/>
          <w:b w:val="false"/>
          <w:color w:val="000000"/>
          <w:sz w:val="20"/>
        </w:rPr>
        <w:t>Under Basel III, Tier 1 capital includes two components: CET1 capital and additional Tier 1 capital. The highest form of capital, CET1 capital, consists solely of common stock (plus related surplus), retained earnings, accumulated other comprehensive income, otherwise referred to as AOCI, and limited amounts of minority interests that are in the form of common stock. Additional Tier 1 capital is primarily comprised of noncumulative perpetual preferred stock, Tier 1 minority interests and grandfathered trust preferred securities. Tier 2 capital generally includes the allowance for credit losses up to 1.25% of risk-weighted assets, qualifying preferred stock, subordinated debt and qualifying tier 2 minority interests, less any deductions in Tier 2 instruments of an unconsolidated financial institution.</w:t>
      </w:r>
      <w:r>
        <w:rPr>
          <w:color w:val="000000"/>
        </w:rPr>
        <w:t xml:space="preserve"> </w:t>
      </w:r>
      <w:r>
        <w:rPr>
          <w:rFonts w:ascii="Times New Roman;sans-serif" w:hAnsi="Times New Roman;sans-serif"/>
          <w:b w:val="false"/>
          <w:color w:val="000000"/>
          <w:sz w:val="20"/>
        </w:rPr>
        <w:t>AOCI is presumptively included in CET1 capital and often would operate to reduce this category of capital. When implemented, Basel III provided a one-time opportunity for covered banking organizations to opt out of much of this treatment of AOCI.</w:t>
      </w:r>
      <w:r>
        <w:rPr>
          <w:color w:val="000000"/>
        </w:rPr>
        <w:t xml:space="preserve"> </w:t>
      </w:r>
      <w:r>
        <w:rPr>
          <w:rFonts w:ascii="Times New Roman;sans-serif" w:hAnsi="Times New Roman;sans-serif"/>
          <w:b w:val="false"/>
          <w:color w:val="000000"/>
          <w:sz w:val="20"/>
        </w:rPr>
        <w:t>We made this opt-out election in order to avoid significant variations in the level of capital depending upon the impact of interest rate fluctuations on the fair value of our investment securities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order to avoid restrictions on capital distributions or discretionary bonus payments to executives, under Basel III, a banking organization must maintain a “capital conservation buffer” on top of its minimum risk-based capital requirements. This buffer must consist solely of Tier 1 Common Equity, but the buffer applies to all three risk-based measurements (CET1, Tier 1 capital and total capital). The 2.5% capital conservation buffer was phased in incrementally over time, and became fully effective for us on January 1, 2019, resulting in the following effective minimum capital plus capital conservation buffer ratios: (i) a CET1 capital ratio of 7.0%, (ii) a Tier 1 risk-based capital ratio of 8.5%, and (iii) a total risk-based capital ratio of 10.5%.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the federal banking regulators published final rules implementing a simplified measure of capital adequacy for certain banking organizations that have less than $10 billion in total consolidated assets. Under the final rules, which went into effect on January 1, 2020, banks and holding companies that have less than $10 billion in total consolidated assets and meet other qualifying criteria, including a leverage ratio of greater than 9%, off-balance-sheet exposures of 25% or less of total consolidated assets and trading assets plus trading liabilities of 5% or less of total consolidated assets, are deemed “qualifying community banking organizations” and are eligible to opt into the “community bank leverage ratio framework.” A qualifying community banking organization that elects to use the community bank leverage ratio framework and that maintains a leverage ratio of greater than 9% is considered to have satisfied the generally applicable risk-based and leverage capital requirements under the Basel III rules and, if applicable, is considered to have met the “well capitalized” ratio requirements for purposes of its primary federal regulator’s prompt corrective action rules, discussed below. The final rules include a two-quarter grace period during which a qualifying community banking organization that temporarily fails to meet any of the qualifying criteria, including the greater-than-9% leverage capital ratio requirement, is generally still deemed “well capitalized” so long as the banking organization maintains a leverage capital ratio greater than 8%. A banking organization that fails to maintain a leverage capital ratio greater than 8% is not permitted to use the grace period and must comply with the generally applicable requirements under the Basel III rules and file the appropriate regulatory reports. We do not have any immediate plans to elect to use the community bank leverage ratio framework but may make such an election in the future. </w:t>
      </w:r>
    </w:p>
    <w:p>
      <w:pPr>
        <w:pStyle w:val="TextBody"/>
        <w:bidi w:val="0"/>
        <w:spacing w:lineRule="auto" w:line="288" w:before="240" w:after="283"/>
        <w:jc w:val="left"/>
        <w:rPr/>
      </w:pPr>
      <w:r>
        <w:rPr>
          <w:rFonts w:ascii="Times New Roman;sans-serif" w:hAnsi="Times New Roman;sans-serif"/>
          <w:b w:val="false"/>
          <w:i/>
          <w:color w:val="000000"/>
          <w:sz w:val="20"/>
        </w:rPr>
        <w:t>Prompt Corrective Action</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insured depository institution, we are required to comply with the capital requirements promulgated under the FDIA. The FDIA requires each federal banking agency to take prompt corrective action (“PCA”) to resolve the problems of insured depository institutions, including those that fall below one or more prescribed minimum capital ratios. The law requires each federal banking agency to promulgate regulations defining the following five categories in which an insured depository institution will be placed, based on the level of capital ratios: “well capitalized,” “adequately capitalized,” “undercapitalized,” “significantly undercapitalized,” or “critically undercapitalized.” As of December 31, 2024, our capital ratios exceeded the minimum ratios established for a “well capitalized” institution.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list of the criteria for each PCA capital category: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Well Capitalized</w:t>
      </w:r>
      <w:r>
        <w:rPr>
          <w:color w:val="000000"/>
        </w:rPr>
        <w:t>—</w:t>
      </w:r>
      <w:r>
        <w:rPr>
          <w:rFonts w:ascii="Times New Roman;sans-serif" w:hAnsi="Times New Roman;sans-serif"/>
          <w:b w:val="false"/>
          <w:color w:val="000000"/>
          <w:sz w:val="20"/>
        </w:rPr>
        <w:t xml:space="preserve">The institution exceeds the required minimum level for each relevant capital measure. A well-capitalized institution: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total risk-based capital ratio of 10%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Tier 1 risk-based capital ratio of 8%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common equity Tier 1 risk-based capital ratio of 6.5%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leverage capital ratio of 5%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is not subject to any order or written directive to meet and maintain a specific capital level for any capital measure.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Adequately Capitalized</w:t>
      </w:r>
      <w:r>
        <w:rPr>
          <w:color w:val="000000"/>
        </w:rPr>
        <w:t>—</w:t>
      </w:r>
      <w:r>
        <w:rPr>
          <w:rFonts w:ascii="Times New Roman;sans-serif" w:hAnsi="Times New Roman;sans-serif"/>
          <w:b w:val="false"/>
          <w:color w:val="000000"/>
          <w:sz w:val="20"/>
        </w:rPr>
        <w:t xml:space="preserve">The institution meets the required minimum level for each relevant capital measure. The institution may not make a capital distribution if it would result in the institution becoming undercapitalized. An adequately capitalized institution: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total risk-based capital ratio of 8%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Tier 1 risk-based capital ratio of 6%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common equity Tier 1 risk-based capital ratio of 4.5%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leverage capital ratio of 4% or greater.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Undercapitalized</w:t>
      </w:r>
      <w:r>
        <w:rPr>
          <w:color w:val="000000"/>
        </w:rPr>
        <w:t>—</w:t>
      </w:r>
      <w:r>
        <w:rPr>
          <w:rFonts w:ascii="Times New Roman;sans-serif" w:hAnsi="Times New Roman;sans-serif"/>
          <w:b w:val="false"/>
          <w:color w:val="000000"/>
          <w:sz w:val="20"/>
        </w:rPr>
        <w:t xml:space="preserve">The institution fails to meet the required minimum level for any relevant capital measure. An undercapitalized institution: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total risk-based capital ratio of less than 8%;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Tier 1 risk-based capital ratio of less than 6%;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common equity Tier 1 risk-based capital ratio of less than 4.5% or greater;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leverage capital ratio of less than 4%.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Significantly Undercapitalized</w:t>
      </w:r>
      <w:r>
        <w:rPr>
          <w:color w:val="000000"/>
        </w:rPr>
        <w:t>—</w:t>
      </w:r>
      <w:r>
        <w:rPr>
          <w:rFonts w:ascii="Times New Roman;sans-serif" w:hAnsi="Times New Roman;sans-serif"/>
          <w:b w:val="false"/>
          <w:color w:val="000000"/>
          <w:sz w:val="20"/>
        </w:rPr>
        <w:t xml:space="preserve">The institution is significantly below the required minimum level for any relevant capital measure. A significantly undercapitalized institution: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total risk-based capital ratio of less than 6%;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Tier 1 risk-based capital ratio of less than 4%;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common equity Tier 1 risk-based capital ratio of less than 3% or greater;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leverage capital ratio of less than 3%.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Critically Undercapitalized</w:t>
      </w:r>
      <w:r>
        <w:rPr>
          <w:color w:val="000000"/>
        </w:rPr>
        <w:t>—</w:t>
      </w:r>
      <w:r>
        <w:rPr>
          <w:rFonts w:ascii="Times New Roman;sans-serif" w:hAnsi="Times New Roman;sans-serif"/>
          <w:b w:val="false"/>
          <w:color w:val="000000"/>
          <w:sz w:val="20"/>
        </w:rPr>
        <w:t xml:space="preserve">The institution fails to meet a critical capital level set by the appropriate federal banking agency. A critically undercapitalized institution has a ratio of tangible equity to total assets that is equal to or less than 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FDIA generally prohibits a depository institution from making any capital distributions (including payment of a dividend) or paying any management fee to its parent holding company if the depository institution would thereafter be “undercapitalized.” Moreover, if the institution becomes less than adequately capitalized, it must adopt a capital restoration plan acceptable to the FDIC. The institution also would become subject to increased regulatory oversight and is increasingly restricted in the scope of its permissible activities. Except under limited circumstances consistent with an accepted capital restoration plan, an undercapitalized institution may not grow. An undercapitalized institution may not acquire another institution, establish additional branch offices or engage in any new line of business unless it is determined by the appropriate federal banking agency to be consistent with an accepted capital restoration plan or unless the FDIC determines that the proposed action will further the purpose of PCA. A critically undercapitalized institution is subject to having a receiver or conservator appointed to manage its affairs.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measures taken under the PCA provisions, insured banks may be subject to potential actions by the federal regulators for unsafe or unsound practices in conducting their businesses or for violations of any law, rule, regulation or any condition imposed in writing by the agency or any written agreement with the agency. Enforcement actions may include the issuance of cease and desist orders that can be judicially enforced, the imposition of civil money penalties, the issuance of directives to increase capital, formal and informal agreements, the imposition of a conservator or receiver, or removal and prohibition orders against “institution-affiliated” parties, and termination of insurance of deposits. The NYDFS also has broad powers to enforce compliance with New York laws and regulations.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Community Reinvestment Act Requirements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requirements and reporting obligations under the Community Reinvestment Act (“CRA”). The CRA generally requires federal banking agencies to evaluate the record of a financial institution in meeting the credit needs of its local communities, including low- and moderate-income neighborhoods. The CRA further requires the agencies to take into account our record of meeting community credit needs when evaluating applications for, among other things, new branches or mergers. We are also subject to analogous state CRA requirements in New York and other states in which we may establish branch offices. In connection with their assessments of CRA performance, the FDIC and NYDFS assign a rating of “outstanding,” “satisfactory,” “needs to improve,” or “substantial noncompliance.” We received a “satisfactory” CRA Assessment Rating from both regulatory agencies in our most recent examinations. The federal banking agencies may take compliance with such laws and CRA into account when regulating and supervising other activities of the bank, including in acting on expansionary proposals.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federal bank agencies adopted a final rule to strengthen and modernize regulations implementing the CRA (the "CRA Rule"), which requires evaluation of bank performance to further address inequities in access to credit, and which would emphasize smaller-value loans and investments to low- and moderate-income communities. The CRA Rule also updates CRA assessment areas to include activities associated with online and mobile banking, and adopts a metrics-based approach to CRA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evaluations of retail lending and community development financing. To date, a Texas court injunction is barring implementation of the CRA Rule.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Fair Lending Requirements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fair lending requirements and reporting obligations involving lending operations. A number of laws and regulations provide these fair lending requirements and reporting obligations, including, at the federal level, the Equal Credit Opportunity Act (“ECOA”), as amended by the Dodd-Frank Act, and Regulation B, as well as the Fair Housing Act (“FHA”) and regulations implementing FHA found at 24 C.F.R. Part 100. ECOA and Regulation B prohibit discrimination in any aspect of a credit transaction based on a number of prohibited factors, including race or color, religion, national origin, sex, marital status, age, the applicant’s receipt of income derived from public assistance programs, and the applicant’s exercise, in good faith, of any right under the Consumer Credit Protection Act. ECOA and Regulation B include lending acts and practices that are specifically prohibited, permitted, or required, and these laws and regulations proscribe data collection requirements, legal action statute of limitations, and disclosure of the consumer’s ability to receive a copy of any appraisal(s) and valuation(s) prepared in connection with certain loans secured by dwellings. FHA prohibits discrimination in all aspects of residential real-estate related transactions based on prohibited factors, including race or color, national origin, religion, sex, familial status, and handicap. Fair lending requirements can also be imposed at the state level, including through Section 296-A of the New York Executive Law.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prohibiting discrimination in credit transactions on the basis of prohibited factors, these laws and regulations can cause a lender to be liable for policies that result in a disparate treatment of or have a disparate impact on a protected class of persons. If a pattern or practice of lending discrimination is alleged by a regulator, then the matter may be referred by the agency to the U.S. Department of Justice (“DOJ”) for investigation. In December 2012, the DOJ and CFPB entered into a Memorandum of Understanding under which the agencies have agreed to share information, coordinate investigations, and have generally committed to strengthen their coordination efforts.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substantive penalties and corrective measures that may be required for a violation of certain fair lending laws, the federal banking agencies may take compliance with fair lending requirements into account when regulating and supervising other activities of the bank, including in acting on expansionary proposals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Consumer Protection Regulations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are subject to a variety of statutes and regulations—both at the federal and state levels—designed to protect consumers. This includes Title X of the Dodd-Frank Act, which prohibits engaging in any unfair, deceptive, or abusive acts or practices (“UDAAP”). UDAAP claims involve detecting and assessing risks to consumers and to markets for consumer financial products and services. Interest and other charges collected or contracted for by us are subject to state usury laws and federal laws concerning interest rates. Our loan operations are also subject to federal laws applicable to credit transactions, such as: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Truth-In-Lending Act (“TILA”) and Regulation Z, governing disclosures of credit and servicing terms to consumer borrowers and including substantial new requirements for mortgage lending and servicing, as mandated by the Dodd-Frank Act;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it serves, and requiring collection and disclosure of data about applicant and borrower characteristics to assist in identifying possible discriminatory lending patterns and enforcing antidiscrimination statutes;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ECOA and Regulation B, prohibiting discrimination on the basis of race, color, religion, or other prohibited factors in any aspect of a credit transaction;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Fair Credit Reporting Act of 1978, as amended by the Fair and Accurate Credit Transactions Act and Regulation V, as well as the rules and regulations of the FDIC governing the use of consumer reports and provision of information to credit reporting agencies, certain identity theft protections and certain credit and other disclosures;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Fair Debt Collection Practices Act and Regulation F, governing the manner in which consumer debts may be collected by collection agencies and intending to eliminate abusive, deceptive, and unfair debt collection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Real Estate Settlement Procedures Act (“RESPA”) and Regulation X, which governs aspects of residential mortgage loans, including the settlement and servicing process, dictates certain disclosures to be provided to consumers, and imposes other requirements related to compensation of service providers, insurance escrow accounts, and loss mitigation procedures;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Secure and Fair Enforcement for Mortgage Licensing Act (“SAFE Act”) which mandates a nationwide licensing and registration system for residential mortgage loan originators. The SAFE Act also prohibits individuals from engaging in the business of a residential mortgage loan originator without first obtaining and maintaining annually registration as either a federal or state licensed mortgage loan originator;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Homeowners Protection Act (“HPA”), or the PMI Cancellation Act, provides requirements relating to private mortgage insurance (PMI) on residential mortgages, including the cancelation and termination of PMI, disclosure and notification requirements, and the requirement to return unearned premiums;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FHA prohibits discrimination in all aspects of residential real-estate related transactions based on race or color, national origin, religion, sex, and other prohibited factors;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Servicemembers Civil Relief Act (“SCRA”) and Military Lending Act (“MLA”), providing certain protections for servicemembers, members of the military, and their respective spouses, dependents and others;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Section 106(c)(5) of the Housing and Urban Development Act requires making home ownership available to eligible homeowners.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deposit operations are also subject to federal laws, such as: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FDIA, which, among other things, imposes a minimum amount of deposit insurance available per account to $250,000 and imposes other limits on deposit-taking;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Right to Financial Privacy Act, which imposes a duty to maintain the confidentiality of consumer financial records and prescribes procedures for complying with administrative subpoenas of financial records;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Electronic Funds Transfer Act and Regulation E, which governs the rights, liabilities, and responsibilities of consumers and financial institutions using electronic fund transfer services, and which generally mandates disclosure requirements, establishes limitations on liability applicable to consumers for unauthorized electronic fund transfers, dictates certain error resolution processes, and applies other requirements relating to automatic deposits to and withdrawals from deposit accounts;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Expedited Funds Availability Act (“EFA Act”) and Regulation CC, setting forth requirements to make funds deposited into transaction accounts available according to specified time schedules, disclose funds availability policies to customers, and relating to the collection and return of checks and electronic checks, including the rules regarding the creation or receipt of substitute checks;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Truth in Savings Act (“TISA”) and Regulation DD, which requires depository institutions to provide disclosures so that consumers can make meaningful comparisons about depository institutions and accounts.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increased regulations concerning consumer privacy, including but not limited to the California Consumer Privacy Act ("CCPA") with respect to certain data regarding California residents and the NYDFS Cybersecurity Regulations, as amended by NYDFS in November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CFPB is an independent regulatory authority housed within the Federal Reserve. The CFPB has broad authority to regulate the offering and provision of consumer financial products and services. The CFPB has the authority to supervise and examine depository institutions with more than $10 billion in assets for compliance with federal consumer laws. The authority to supervise and examine depository institutions with $10 billion or less in assets, such as us, for compliance with federal consumer laws remains largely with those institutions’ primary regulators. However, the CFPB may participate in examinations of these smaller institutions on a “sampling basis” and may refer potential enforcement actions against such institutions to their primary regulators. As such, the CFPB may participate in examinations of the Bank. In addition, states are permitted to adopt consumer protection laws and regulations that are stricter than the regulations promulgated by the CFPB, and state attorneys general are permitted to enforce consumer protection rules adopted by the CFPB against certain institutions.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CFPB has issued a number of significant rules that impact nearly every aspect of the lifecycle of consumer financial products and services, including rules regarding a residential mortgage loan. These rules implement Dodd-Frank Act amendments to the ECOA, TILA and RESPA. Among other things, the rules adopted by the CFPB require banks to: (i) develop and implement procedures to ensure compliance with a “reasonable ability-to-repay” test; (ii) implement new or revised disclosures, policies and procedures for originating and servicing mortgages, including, but not limited to, pre-loan counseling, early intervention with delinquent borrowers and specific loss mitigation procedures for loans secured by a borrower’s principal residence, and mortgage origination disclosures, which integrate existing requirements under TILA and RESPA; (iii) comply with additional restrictions on mortgage loan originator hiring and compensation; and (iv) comply with new disclosure requirements and standards for appraisals and certain financial products.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2025, all rule making, litigation, enforcement, and communications activities at the agency were halted by the Acting Director. The agency has suspended effective dates for all final rules that have not taken effect, including its $5 overdraft fee cap, and will not approve or issue proposed or final rules or guidance. The halt is likely to be challenged through litigation.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Anti-Money Laundering Regulation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financial institution, we must maintain anti-money laundering programs that include established internal policies, procedures and controls, a designated compliance officer, an ongoing employee training program, and testing of the program by an independent audit function. The program must comply with the anti-money laundering provisions of the Financial Recordkeeping and Reporting of Currency and Foreign Transactions Act of 1970, commonly referred to as the Bank Secrecy Act (“BSA”). Financial institutions are prohibited from entering into specified financial transactions and account relationships and must meet enhanced standards for due diligence and “knowing your customer” in their dealings with foreign financial institutions, foreign customers and other high risk customers. Financial institutions must also take reasonable steps to conduct enhanced scrutiny of account relationships to guard against money laundering and to report any suspicious transactions. Financial institutions must comply with requirements regarding risk-based procedures for conducing ongoing customer due diligence, which requires us to take appropriate steps to understand the nature and purpose of customer relationships and identify and verify the identity of the beneficial owners of legal entity customers.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laws, such as the Uniting and Strengthening America by Providing Appropriate Tools Required to Intercept and Obstruct Terrorism (“USA PATRIOT Act") (which amended the BSA), as described below, provide law enforcement authorities with increased access to financial information maintained by banks. 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in connection with the regulatory review of certain applications. In recent years, regulators have expressed concern over banking institutions’ compliance with anti-money laundering requirements and, in some cases, have delayed approval of their expansionary proposals. The regulators and other governmental authorities have been active in imposing “cease and desist” orders and significant money penalty sanctions against institutions found to be in violation of the anti-money laundering regulations.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 2021, Congress enacted the National Defense Authorization Act for Fiscal Year 2021 (“NDAA”). The NDAA provides for one of the most significant overhauls of the BSA and related anti-money laundering laws since the USA PATRIOT Act. Notably, changes include: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expansion of coordination and information sharing efforts among the agencies tasked with administering anti-money laundering and countering the financing of terrorism requirements, including the Financial Crimes Enforcement Network (“FinCEN”), the primary federal banking regulators, federal law enforcement agencies, national security agencies, the intelligence community, and financial institutions;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providing additional penalties with respect to violations of BSA and enhancing the powers of FinCEN;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significant updates to the beneficial ownership collection rules and the creation of a registry of beneficial ownership which will track the beneficial owners of reporting companies which may be shared with law enforcement and financial institutions conducting due diligence under certain circumstances;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improvements to existing information sharing provisions that permit financial institutions to share information relating to Suspicious Activity Reports with foreign branches, subsidiaries, and affiliates (except those located in China, Russia, or certain other jurisdictions) for the purpose of combating illicit finance risks;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enhanced whistleblower protection provisions, allowing whistleblower(s) who provide original information which leads to successful enforcement of anti-money laundering laws in certain judicial or administrative actions resulting in certain monetary sanctions to receive up to 30 percent of the amount that is collected in monetary sanctions as well as increased protections;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New York anti-money laundering laws and regulations. In June 2016, the NYDFS adopted a final rule that requires certain New York-regulated financial institutions, including us, to comply with enhanced anti-terrorism and anti-money laundering requirements beginning in 2017. The rule adds, among other anti-money laundering program requirements, greater specificity to certain transaction monitoring and filtering requirements and the obligation to conduct an ongoing, comprehensive risk assessment and expressly eliminates a regulated institution’s ability to adjust its monitoring and filtering programs to limit the number of alerts generated. Beginning in April 2018, the rule also required the Bank's BSA/AML Officer to submit certification of compliance with these requirements annually. </w:t>
      </w:r>
    </w:p>
    <w:p>
      <w:pPr>
        <w:pStyle w:val="TextBody"/>
        <w:bidi w:val="0"/>
        <w:spacing w:lineRule="auto" w:line="288" w:before="240" w:after="283"/>
        <w:jc w:val="both"/>
        <w:rPr/>
      </w:pPr>
      <w:r>
        <w:rPr>
          <w:rFonts w:ascii="Times New Roman;sans-serif" w:hAnsi="Times New Roman;sans-serif"/>
          <w:b w:val="false"/>
          <w:i/>
          <w:color w:val="000000"/>
          <w:sz w:val="20"/>
        </w:rPr>
        <w:t>ERISA</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regulation under the fiduciary laws of Employee Retirement Income Security Act of 1974 (“ERISA”), and to regulations promulgated thereunder, insofar as we are a “fiduciary” or service provider under ERISA with respect to certain of our clients. When we act as an ERISA fiduciary, we represent ERISA plans by taking fiduciary responsibility with respect to such plan’s transactions or investments. ERISA and the applicable provisions of the Code, impose certain duties on persons who are fiduciaries under ERISA, and prohibit certain transactions by the fiduciaries (and certain other related parties) to such plans. The foregoing laws and regulations generally grant supervisory agencies broad administrative powers, including the power to limit or restrict us from conducting certain business in the event that we fail to comply with such laws and regulations. Possible sanctions that may be imposed in the event of such noncompliance include the suspension of individual employees, limitations on the business activities for specified periods of time, revocation of registration, and other censures and fines and the potential of civil litigation.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USA PATRIOT Act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USA PATRIOT Act became effective on October 26, 2001 and amended the BSA. The USA PATRIOT Act provides, in part, for the facilitation of information sharing among governmental entities and financial institutions for the purpose of combating terrorism and money laundering by enhancing anti-money laundering and financial transparency laws, as well as enhanced information collection tools and enforcement mechanisms for the U.S. government, including: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due diligence requirements for financial institutions that administer, maintain, or manage private bank accounts or correspondent accounts for non-U.S. persons;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requiring standards for verifying customer identification at account opening;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rules to promote cooperation among financial institutions, regulators and law enforcement entities in identifying parties that may be involved in terrorism or money laundering;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reports by nonfinancial trades and businesses filed with the Treasury Department’s Financial Crimes Enforcement Network for transactions exceeding $10,000;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filing suspicious activities reports by brokers and dealers if they believe a customer may be violating U.S. laws and regulations.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USA PATRIOT Act requires financial institutions to undertake enhanced due diligence of private bank accounts or correspondent accounts for non-U.S. persons that they administer, maintain, or manage. Bank regulators routinely examine institutions for compliance with these obligations and are required to consider compliance in connection with the regulatory review of applications.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USA PATRIOT Act, FinCEN can send Amalgamated lists of the names of persons suspected of involvement in terrorist activities or money laundering. Amalgamated may be requested to search its records for any relationships or transactions with persons on those lists. If we find any relationships or transactions, we must report those relationships or transactions to FinCEN.</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Office of Foreign Assets Control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Office of Foreign Assets Control (“OFAC”), which is an office in the U.S. Department of the Treasury,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 or controlled by, or acting on behalf of target countries, and narcotics traffickers. If a bank finds a name on any transaction, account or wire transfer that is on an OFAC list, it must freeze or block the transactions on the account. Amalgamated has appointed a compliance officer to oversee the inspection of its accounts and the filing of any notifications. Amalgamated checks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Privacy and Cybersecurity</w:t>
      </w:r>
    </w:p>
    <w:p>
      <w:pPr>
        <w:pStyle w:val="TextBody"/>
        <w:bidi w:val="0"/>
        <w:spacing w:lineRule="auto" w:line="288" w:before="240" w:after="283"/>
        <w:jc w:val="both"/>
        <w:rPr/>
      </w:pPr>
      <w:r>
        <w:rPr>
          <w:rFonts w:ascii="Times New Roman;sans-serif" w:hAnsi="Times New Roman;sans-serif"/>
          <w:b w:val="false"/>
          <w:color w:val="000000"/>
          <w:sz w:val="20"/>
        </w:rPr>
        <w:t>There are a number of state and federal laws and regulations that govern financial privacy and cybersecurity. At the federal level, this includes the privacy protection provisions of the Gramm-Leach-Bliley Act of 1999 (“GLBA”) and related regulations, including Regulation P, which govern the treatment of nonpublic personal information.</w:t>
      </w:r>
      <w:r>
        <w:rPr>
          <w:color w:val="000000"/>
        </w:rPr>
        <w:t xml:space="preserve"> </w:t>
      </w:r>
      <w:r>
        <w:rPr>
          <w:rFonts w:ascii="Times New Roman;sans-serif" w:hAnsi="Times New Roman;sans-serif"/>
          <w:b w:val="false"/>
          <w:color w:val="000000"/>
          <w:sz w:val="20"/>
        </w:rPr>
        <w:t>Under these privacy protection provisions, we are limited in our ability to disclose non-public information about consumers to nonaffiliated third parties. These limitations require disclosure of privacy policies and notices to consumers and, in some circumstances, allow consumers to prevent disclosure of certain personal information to a nonaffiliated third party. Federal banking agencies, including the FDIC, have adopted guidelines for establishing information security standards and cybersecurity programs for implementing safeguards under the supervision of the Board of Directors. These guidelines, along with related regulatory materials, increasingly focus on risk management and processes related to information technology and the use of third parties in the provision of financial services.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 laws and regulations governing financial privacy and cybersecurity include the CCPA and the California Privacy Rights Act ("CPRA"), which amends and supplements the CCPA, with respect to certain data regarding California residents, the New York Department of Financial Services Cybersecurity Regulations, and other New York financial privacy laws and regulations. The NYDFS issued a rule, effective March 1, 2017, that requires banks, insurance companies, and other financial services institutions regulated by the NYDFS to establish and maintain a cybersecurity program designed to protect consumers and ensure the safety and soundness of New York State’s financial services industry. The cybersecurity rule adds specific requirements for these institutions’ cybersecurity compliance programs and imposes an obligation to conduct an ongoing, comprehensive risk assessment and requires each institution’s Board of Directors, or a senior officer, to submit annual certifications of compliance with these requirements. Amendments effective November 1, 2023 further tailored the regulation to three tiers of companies with different defensive needs, increased governance and controls, and required more regular risk and vulnerability assessments. Amendments effective November 1, 2024 required, among other things, timely internal reporting on material cybersecurity issues, oversight of cybersecurity risk management, a written policy requiring encryption that meets industry standards to protect nonpublic information, updated incident response plans and a business continuity and disaster recovery plan that meets specified requirements and maintains backups necessary to restore material operations. Additional amendments become effective May 1, 2025 and November 1, 2025. In October 2024, the NYDFS issued new guidance to assist regulated entities in addressing and combating cybersecurity risks arising from artificial intelligence.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Transactions with Related Parties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between banks and their affiliates are limited by Sections 23A and 23B of the Federal Reserve Act. An affiliate of a bank is any company or entity that controls, is controlled by or is under common control with the bank. In a holding company context, the parent bank holding company and any companies which are controlled by such parent holding company are affiliates of the bank.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Generally, Sections 23A and 23B of the Federal Reserve Act and Regulation W (i) limit the extent to which the bank or its subsidiaries may engage in “covered transactions” with any one affiliate to an amount equal to 10% of such institution’s capital stock and surplus, and contain an aggregate limit on all such transactions with all affiliates to an amount equal to 20% of such institution’s capital stock and surplus and (ii) require that all such transactions be on terms substantially the same, or at least as favorable, to the institution or subsidiary as those provided to non-affiliates. The term “covered transaction” includes the making of loans, purchase of assets, issuance of a guarantee and other similar transactions. In addition, loans or other extensions of credit by the financial institution to the affiliate are required to be collateralized in accordance with the requirements set forth in Section 23A of the Federal Reserve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Act and its implementing Regulation O also provide limitations on our ability to extend credit to executive officers, directors and 10% stockholders (“insiders”). The law limits both the individual and aggregate amount of loans we may make to insiders based, in part, on our capital position and requires certain board approval procedures to be followed. Such loans are required to be made on terms substantially the same as those offered to unaffiliated individuals and must not involve more than the normal risk of repayment. There is an exception for loans made pursuant to a benefit or compensation program that is widely available to all employees of the institution and does not give preference to insiders over other employees. Loans to executive officers are further limited to specific categories.</w:t>
      </w:r>
    </w:p>
    <w:p>
      <w:pPr>
        <w:pStyle w:val="TextBody"/>
        <w:bidi w:val="0"/>
        <w:spacing w:lineRule="auto" w:line="288" w:before="240" w:after="283"/>
        <w:jc w:val="both"/>
        <w:rPr/>
      </w:pPr>
      <w:r>
        <w:rPr>
          <w:rFonts w:ascii="Times New Roman;sans-serif" w:hAnsi="Times New Roman;sans-serif"/>
          <w:b w:val="false"/>
          <w:color w:val="000000"/>
          <w:sz w:val="20"/>
        </w:rPr>
        <w:t>On December 22, 2020, the federal banking agencies issued an interagency statement extending the temporary relief from enforcement action against banks or asset managers, which become principal shareholders of banks, with respect to certain extensions of credit by banks that otherwise would violate Regulation O, provided the asset managers and banks satisfy certain conditions designed to ensure that there is a lack of control by the asset manager over the bank.</w:t>
      </w:r>
      <w:r>
        <w:rPr>
          <w:color w:val="000000"/>
        </w:rPr>
        <w:t xml:space="preserve"> </w:t>
      </w:r>
      <w:r>
        <w:rPr>
          <w:rFonts w:ascii="Times New Roman;sans-serif" w:hAnsi="Times New Roman;sans-serif"/>
          <w:b w:val="false"/>
          <w:color w:val="000000"/>
          <w:sz w:val="20"/>
        </w:rPr>
        <w:t>This relief has been extended to the earlier of January 1, 2026, or the effective date of a final FRB rule having a revision to Regulation O that addresses the treatment of extensions of credit by a bank to fund complex-controlled portfolio companies that are insiders of the bank.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Incentive Compensation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stockholder.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2010, the federal banking agencies jointly adopted the Guidance on Sound Incentive Compensation Policies (“GSICP”). The GSICP intended to ensure that banking organizations do not undermine the safety and soundness of such organizations by encouraging excessive risk-taking.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 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requires the federal banking agencies and the SEC to establish joint regulations or guidelines prohibiting incentive-based payment arrangements at specified regulated entities, such as us, having at least $1 billion in total assets that encourage inappropriate risk-taking by providing an executive officer, employee, director or principal stockholder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proposed such regulations in April 2011 issued a second proposed rule in April 2016, and issued a third proposed rule in May 2024. The third proposed rule would apply to all banks, among other institutions, with at least $1 billion in average total consolidated assets. Final regulations have not been adopted as of December 31, 2024. If adopted, these or other similar regulations would impose limitations on the manner in which we may structure compensation for our executives and other employees. The scope and content of the federal banking agencies’ policies on incentive compensation are continuing to develop and are likely to continue evolving.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2016, the NYDFS also announced a renewed focus on employee incentive arrangements and issued guidance to New York State-regulated banks to ensure that these arrangements do not encourage inappropriate practices. The guidance listed adapted versions of the key principles from the Guidance on Sound Incentive Compensation Policies as minimum requirements and advised these banks that incentive compensation arrangements must be subject to effective risk management, oversight, and control.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Tax Cuts and Jobs Act of 2017 contains certain provisions affecting performance-based compensation. Specifically, the pre-existing exception to the $1 million deduction limitation applicable to performance-based compensation was repealed. The deduction limitation is now applied to all compensation exceeding $1.0 million, for our covered employees, regardless of how it is classified, which would have an adverse effect on income tax expense and net income.</w:t>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Deposit Premiums and Assessments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FDIC-insured bank, we must pay deposit insurance assessments to the FDIC based on our average total assets minus our average tangible equity. Deposits are insured up to applicable limits by the FDIC and such insurance is backed by the full faith and credit of the U.S. Government.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institution with less than $10 billion in assets, our assessment rates are based on the level of risk we pose to the FDIC’s deposit insurance fund (DIF). Pursuant to changes adopted by the FDIC that were effective July 1, 2016, the initial base rate for deposit insurance is between three and 30 basis points. Total base assessment after possible adjustments now ranges between 1.5 and 40 basis points. For established smaller institutions, like us, the total base assessment rate is calculated by using supervisory ratings as well as (i) an initial base assessment rate, (ii) an unsecured debt adjustment (which can be positive or negative), and (iii) a brokered deposit adjustment.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ordinary assessments described above, the FDIC has the ability to impose special assessments in certain instances. For example, under the Dodd-Frank Act, the minimum designated reserve ratio for the DIF was increased to 1.35% of the estimated total amount of insured deposits. On September 30, 2018, the DIF reached 1.36%, exceeding the statutorily required minimum reserve ratio of 1.35%. On reaching the minimum reserve ratio of 1.35%, FDIC regulations provided for two changes to deposit insurance assessments: (i) surcharges on insured depository institutions with total consolidated assets of $10 billion or more (large institutions) ceased; and (ii) small banks were to receive assessment credits for the portion of their assessments that contributed to the growth in the reserve ratio from between 1.15% and 1.35%, to be applied when the reserve ratio is at or above 1.38%. These assessment credits started with the June 30, 2019 assessment invoiced in September 2019 and ran off in March 2020. Assessment rates are expected to decrease if the reserve ratio increases such that it exceeds 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FDIC may terminate the deposit insurance of any insured depository institution if it determines after a notice and hearing that the institution has engaged in unsafe or unsound practices, is in an unsafe or unsound condition to continue operations or has violated any applicable law, regulation, rule, order or condition imposed by the FDIC.</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 Guidance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and 2023, CRE markets faced significant headwinds due to increased vacancies, elevated interest rates, and declining property values, among other factors. In June 2023, the FDIC and other federal banking agencies, in consultation with the Federal Financial Institutions Examination Council State Liaison Committee, issued guidance entitled “Interagency Policy Statement on Prudent Commercial Real Estate Loan Accommodations and Workouts” (the “2023 CRE Guidance”), which replaced agencies’ 2009 “Policy Statement on Prudent Commercial Real Estate Loan Workouts”. The 2023 CRE Guidance discusses the importance of working constructively with CRE borrowers experiencing financial difficulty and is appropriate for all supervised financial institutions engaged in CRE lending.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 Guidance also addresses (i) risk management, (ii) classification of loans, (iii) regulatory reporting, and (iv) accounting considerations.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banking regulators previously issued guidance in December 2015 entitled “Interagency Statement on Prudent Risk Management for Commercial Real Estate Lending” (the “2015 CRE Guidance”). In the 2015 CRE Guidance, the federal banking regulators (i) expressed concerns with institutions that ease CRE underwriting standards, (ii) directed financial institutions to maintain underwriting discipline and exercise risk management practices to identify, measure and monitor lending risks, and (iii) indicated that they will continue to pay special attention to CRE lending activities and concentrations. The federal banking regulators also previously issued guidance in December 2006, entitled “Interagency Guidance on Concentrations in CRE Lending, Sound Risk Management Practices,” which stated that an institution that is potentially exposed to significant CRE concentration risk should employ enhanced risk management practices. Specifically, the guidance states that such institutions have (1) total CRE loans representing 300% or more of the institution’s total capital and (2) the outstanding balance of such institution’s CRE loan portfolio has increased by 50% or more during the prior 36 months.</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Effect of Governmental Monetary Policies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earnings are affected by domestic economic conditions and the monetary policies of the U.S. and its agencies. The Federal Open Market Committee’s monetary policies have had, and are likely to continue to have, an important effect on the operating results of banks through its power to implement national monetary policy in order, among other things, to curb inflation or combat a recession. The monetary policies of the Federal Reserve have major effects on the levels of bank loans, investments and deposits through its open market operations in U.S. government securities and through its regulation of the discount rate on borrowings of member banks and the reserve requirements against member bank deposits. We cannot predict the nature or effect of future changes in such monetary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Future Legislation and Regulation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the proposed legislation has in the past and may in the future affect the regulatory structure under which we operate and may significantly increase our costs, impede the efficiency of our internal business processes, require us to increase our regulatory capital or modify our business strategy, or limit our ability to pursue business opportunities in an efficient manner. Our business, financial condition, results of operations or prospects may be adversely affected, perhaps materially, as a result.</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There are risks, many beyond our control, that could cause our financial condition or results of operations to differ materially from management’s expectations. Any of the following risks, by itself or together with one or more other factors, could adversely affect our business, prospects, financial condition, results of operations and cash flows, perhaps materially. The risks presented below are not the only risks that we face. Additional risks that we do not presently know or that we currently deem immaterial may also have an adverse effect on our business, results of operations, financial condition, prospects, and the market price and liquidity of our common stock. The following discussion should be read in conjunction with the financial statements and notes to the financial statements included in this report. Further, to the extent that any of the information contained in this report constitutes forward-looking statements, the risk factors below also are cautionary statements identifying important factors that could cause actual results to differ materially from those expressed in any forward-looking statements made by us or on our behalf. See “Cautionary Note Regarding Forward-Looking Statements” beginning on page 1.</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Market and Interest Rate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by economic conditions.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elements of the business environment that affect our financial performance include short-term and long-term interest rates, the prevailing yield curve, inflation, monetary supply, fluctuations in the debt and equity capital markets, and the strength of the domestic economy and the local economies in the markets in which we operate. Unfavorable market conditions can result in a deterioration of the credit quality of borrowers, an increase in the number of loan delinquencies, defaults and charge-offs, foreclosures, additional provisions for credit losses, adverse asset values and a reduction in assets under management or administration. The majority of our loan portfolio is secured by real estate, 8.8% of which is commercial real estate. A decline in real estate values can negatively impact our ability to recover our investment should the borrower become delinquent. Loans secured by stock or other collateral may be adversely impacted by a downturn in the economy and other factors that could reduce the recoverability of our investment. Unsecured loans are dependent on the solvency of the borrower, which can deteriorate, leaving us with a risk of loss. Unfavorable or uncertain economic and market conditions can be caused by declines in economic growth, business activity or investor or business confidence, limitations on the availability of or increases in the cost of credit and capital, increases in inflation or interest rates, high unemployment, natural disasters, epidemics and pandemics, state or local government insolvency, or a combination of these or other factors.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continuing concerns related to, among other things, the level of U.S. government debt and fiscal actions that may be taken to address that debt, price fluctuations of key natural resources, the potential resurgence of economic and political tensions with China, the Russian invasion of Ukraine and increasing oil prices due to Russian supply disruptions, and the Israel-Hamas conflict, each of which may have a destabilizing effect on financial markets and economic activity. Economic pressure on consumers, including due to factors such as inflation and increased cost of goods due to tariffs on imports, as well as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 Declines in real estate values and sales volumes, high unemployment or underemployment, and inflation may also result in higher than expected loan delinquencies, increases in our levels of nonperforming and classified assets and a decline in demand for our products and services. These negative events may cause us to incur losses and may adversely affect our capital, liquidity and financial condition.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management of our risks depends upon the use of analytical and/or forecasting models, which, in turn, rely on assumptions and estimates. If the models used to mitigate these risks are inadequate, or the assumption or estimates are inaccurate or otherwise flawed, we may fail to adequately protect against risks and may incur losses. Artifical Intelligence ("AI") models may amplify existing risks, given the increased complexity of financial modelling and the challenges in explaining the models.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Fiscal challenges facing the U.S. government could negatively impact the value of investments in GSEs and the financial markets, which in turn could have an adverse effect on our financial position or results of operations.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Fiscal challenges facing the U.S. government, such as the downgrade of the sovereign credit ratings of the U.S. by Fitch Ratings, could have an adverse impact on value of investments in GSEs and on the financial markets, interest rates and economic conditions in the U.S. and worldwide. Federal budget deficit concerns and the potential for political conflict over legislation to fund U.S. government operations and raise the U.S. government's debt limit may increase the possibility of a default by the U.S. government on its debt obligations, additional related credit-rating downgrades, or an economic recession in the U.S. A significant portion of our securities portfolio is invested in GSE securities. As a result of uncertain domestic political conditions,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600"/>
        <w:jc w:val="right"/>
        <w:rPr/>
      </w:pPr>
      <w:r>
        <w:rPr/>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future federal government shutdowns or the possibility of the federal government defaulting on its obligations for a period of time, investments in financial instruments issued or guaranteed by the federal government pose liquidity and credit risks.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debt default or further downgrades to the U.S. government’s sovereign credit rating or its perceived creditworthiness could also adversely affect the ability of the U.S. government to support the financial stability of Fannie Mae, Freddie Mac and the FHLBNY, with which we do business and in whose securities we invest.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U.S. trade policies and other global political factors beyond our control, including the imposition of tariffs, retaliatory tariffs, or other sanctions, may adversely impact our business, financial condition and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and may be in the future, changes with respect to U.S. and international trade policies, legislation, treaties and tariffs, embargoes, sanctions and other trade restrictions. Tariffs, retaliatory tariffs or other trade restrictions on products and materials that customers import or export, or a trade war or other related governmental actions related to tariffs, international trade agreements or policies or other trade restrictions have the potential to negatively impact our customers' costs, demand for their products, or the U.S. economy or certain sectors thereof and, thus, could adversely impact our business, financial condition and results of operations. The U.S. recently has threatened or imposed tariffs on imports including aluminum, steel, and energy products from major trading partners including China, Mexico and Canada. In response, these trading partners have threatened or imposed retaliatory tariffs on certain U.S. imports and announced investigations into U.S.-based companies. Disputes over trade, flows of undocumented immigrants, fentanyl, Taiwanese independence and China’s expanding military presence may result in additional tariffs, sanctions and trade restrictions. As a result of Russia’s invasion of Ukraine, the U.S. has imposed material financial and economic sanctions and export controls against certain Russian organizations and/or individuals, with similar actions either implemented or planned by the European Union (“EU”) and the U.K. and other jurisdictions. Additionally, an armed conflict involving Hamas and Israel, as well as further escalation of tensions between Israel and various countries in the Middle East and North Africa, may cause additional detrimental effects on the global economy, including capital markets. To the extent changes in the global political environment have a negative impact on us or on the markets in which we operate, our business, results of operations and financial condition could be materially and adversely impacted.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operations and clients are concentrated in large metropolitan areas.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vast majority of our operations and clients are located in New York City, Washington, D.C., and San Francisco. In addition, at December 31, 2024, 85.9% of the properties securing our CRE, multifamily, or construction loans outstanding were located in the states of New York and California, and in Washington, D.C. Our success depends upon the economic vitality, growth prospects, business activity, population, income levels, deposits and real estate activity in those areas and may be impacted by the effects of past and future civil unrest and domestic disturbances in the communities that we serve. In addition, these areas have been and may continue to be the target of terrorist attacks. A major terrorist attack in one of these areas could severely disrupt our operations and the ability of our clients to do business with us and cause losses to loans secured by properties in these areas. Although our customers' business and financial interests may extend well beyond our market areas, adverse economic and social conditions that affect our specific market area could reduce our growth rate, affect the ability of our customers to repay their loans to us and impact the stability of our deposit funding sources. Consequently, declines in economic and social conditions in these markets could generally affect our business, financial condition, results of operations and prospects. </w:t>
      </w:r>
    </w:p>
    <w:p>
      <w:pPr>
        <w:pStyle w:val="TextBody"/>
        <w:bidi w:val="0"/>
        <w:spacing w:lineRule="auto" w:line="288" w:before="240" w:after="283"/>
        <w:jc w:val="both"/>
        <w:rPr/>
      </w:pPr>
      <w:r>
        <w:rPr>
          <w:rFonts w:ascii="Times New Roman;sans-serif" w:hAnsi="Times New Roman;sans-serif"/>
          <w:b/>
          <w:i/>
          <w:color w:val="000000"/>
          <w:sz w:val="20"/>
        </w:rPr>
        <w:t>Our business is subject to interest rate risk and fluctuations in interest rates may adversely affect our earnings, capital levels and overall results.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assets and liabilities are monetary in nature and, as a result, we are subject to significant risk from changes in interest rates, which may affect our net interest income as well as the valuation of our assets and liabilities. Our earnings depend significantly on our net interest income, which is the difference between interest income on interest-earning assets, such as loans and securities, and interest expense on interest-bearing liabilities, such as deposits and borrowings. We expect to periodically experience “gaps” in the interest rate sensitivities of our assets and liabilities, meaning that either our interest-bearing liabilities will be more sensitive to changes in market interest rates than our interest-earning assets, or vice versa. In either event, if market interest rates move contrary to our position, this “gap” may work against us, and our earnings may be adversely affected.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interest-bearing liabilities mature or reprice more quickly, or to a greater degree than interest-earning assets in a period, an increase in interest rates could reduce net interest income. Similarly, when interest-earning assets mature or reprice more quickly, or to a greater degree than interest-bearing liabilities, falling interest rates could reduce net interest income. Additionally, an increase in the general level of interest rates may also, among other things, adversely affect the demand for loans and our ability to originate loans and decrease loan prepayment rates or adversely affect our results of operations by reducing the ability of borrowers to make payments under their current adjustable-rate loan obligations. Conversely, a decrease in the general level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rates, among other things, may lead to prepayments on our loan and mortgage-backed securities portfolios and increased competition for deposits, potentially reducing our deposit base. Accordingly, changes in the general level of market interest rates may adversely affect our net yield on interest-earning assets, loan origination volume and our overall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asset-liability management strategy is designed to control and mitigate exposure to the risks related to changes in the general level of market interest rates, those rates are affected by many factors outside of our control, including inflation, recession, unemployment, money supply, international disorder, instability in domestic and foreign financial markets and policies of various governmental and regulatory agencies, particularly the Federal Open Market Committee ("FOMC") of the Federal Reserve. Adverse changes in the U.S. monetary policy or in economic conditions could materially and adversely affect us. On January 31, 2025 the FOMC issued a statement that it decided to maintain short-term interest rates at a range of 4.25% to 4.50%, and it now projects just two interest rate cuts in 2025, compared to earlier projections for four rate cuts. We could experience net interest margin compression if our rates on our interest earning assets fail to increase in tandem with rates on our interest-bearing liabilities. We could experience net interest margin compression if our rates on our interest bearing liabilities fail to decrease in tandem with rates on our interest earning assets. See Impact of Inflation and Changing Interest Rates under Item 7. "Management's Discussion and Analysis of Financial Condition and Results of Operations." Similarly, if short-term interest rates increase and long-term interest rates do not increase, or increase but at a slower rate, we could experience net interest margin compression as our rates on interest earning assets decline measured relative to rates on our interest-bearing liabilities. Any such occurrence could have a material adverse effect on our net interest income and on our business, financial condition and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accurately predict the likelihood, nature and magnitude of changes in market interest rates or how and to what extent they may affect our business. We also may not be able to adequately prepare for or compensate for the consequences of such changes. Any failure to predict and prepare for changes in interest rates or adjust for the consequences of these changes may adversely affect our earnings and capital levels and overall results.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fair value of our investment securities could fluctuate because of factors outside of our control, which could have a material adverse effect on 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fair value of our investment securities portfolio was approximately $3.18 billion. Factors beyond our control could significantly affect the fair value of these securities. These factors include, but are not limited to, changes in market conditions including changes in interest rates or spreads, changes in the credit profile of individual securities, changes in prepayment behavior of individual securities, rating agency actions in respect of the securities, or adverse regulatory action. Any of these factors, among others, could cause other-than-temporary impairments, or OTTI, and realized and/or unrealized losses in future periods and declines in earnings and/or other comprehensive income (loss), which could materially and adversely affect our assets, business, cash flow, condition (financial or otherwise), liquidity, results of operations and prospects. The process for determining whether impairment of a security is OTTI usually requires complex, subjective judgments about the future financial performance and liquidity of the issuer, any collateral underlying the security as well as our intent and ability to hold the security for a sufficient period of time to allow for any anticipated recovery in fair value in order to assess the probability of receiving all contractual principal and interest payments on the security. Our failure to assess any impairments or losses with respect to our securities could have a material adverse effect on our assets, business, cash flow, condition (financial or otherwise), liquidity, results of operations and prospects.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Credit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fail to effectively manage credit risk, our business and financial condition will suffer.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must effectively manage credit risk. As a lender, we are exposed to the risk that our borrowers will be unable to repay their loans according to their terms, and that the collateral securing repayment of their loans, if any, may not be sufficient to ensure repayment. In addition, there are risks inherent in making any loan, including risks relating to proper loan underwriting, risks resulting from changes in economic and industry conditions and risks inherent in dealing with individual borrowers, including the risk that a borrower may not provide information to us about its business in a timely manner, and/or may present inaccurate or incomplete information to us, and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higher yielding loans, a lack of discipline or diligence by our employees in underwriting and monitoring loans, the inability of our employees to adequately adapt policies and procedures to changes in economic or any other conditions affecting borrowers and the quality of our loan portfolio, may result in loan defaults, foreclosures and additional charge-offs and may necessitate that we significantly increase our allowance, each of which could adversely affect our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risk arising from conditions in the commercial real estate market.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commercial real estate mortgage loans comprised approximately 8.8% of our loan portfolio. Commercial real estate mortgage loans generally involve a greater degree of credit risk than residential real estate mortgage loans because they typically have larger balances and are more affected by adverse conditions in the economy. Because payments on loans secured by commercial real estate often depend upon the successful operation and management of the properties and the businesses which operate from within them, repayment of such loans may be affected by factors outside the borrower’s control, such as adverse conditions in the real estate market or the economy, including interest rate fluctuations, or changes in government regulations. In recent years, commercial real estate markets have been impacted by entrenched work-from-home expectations which could affect the long-term performance of some types of office properties within our commercial real estate portfolio. Accordingly, the federal banking regulatory agencies have expressed concerns about weaknesses in the current commercial real estate market. Failures in our risk management policies, procedures and controls could adversely affect our ability to manage this portfolio going forward and could result in an increased rate of delinquencies in, and increased losses from, this portfolio, which, accordingly, could have a material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higher credit risk related to our multifamily real estate lending in New York City.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2019, the New York State legislature passed the Housing Stability and Tenant Protection Act of 2019, impacting about one million rent regulated apartment units. Among other things, the legislation: (i) curtails rent increases from material capital improvements and individual apartment improvements; (ii) all but eliminates the ability for apartments to exit rent regulation; (iii) does away with vacancy decontrol and high-income deregulation; and (iv) repealed the 20% vacancy bonus. The act generally limits a landlord’s ability to increase rents on rent-regulated apartments and makes it more difficult to convert rent-regulated apartments to market-rate apartments. As a result, the value of the collateral located in New York State securing our multi-family loans or the future net operating income of such properties could potentially become impaired. At December 31, 2024, our total multifamily loan exposure in New York State is approximately $951.4 million, of which approximately $697.3 million, or 73%, represents our portfolio’s composition of rent stabilized and rent controlled apartments in the New York multifamily market.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consumer solar loans expose us to higher credit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borrower’s ability to repay their solar loans can be negatively impacted by increases in their payment obligations to other lenders under mortgage, credit card and other loans resulting from increases in base lending rates or structured increases in payment obligations. If a client defaults on solar loan, we may be unsuccessful in our efforts to collect the amount of the loan. We are limited in our ability to collect on these loans if a client is unwilling or unable to repay them. Although solar loans are secured with security filings, we may be limited in our ability to recover any collateral supporting such loans due to the nature of the solar energy system becoming a fixture to the real property. Additionally, these short-term loans are subject to risks of defaults, bankruptcies, fraud, losses and special hazard losses that are not covered by standard hazard insurance. An increase in defaults precipitated by the risks and uncertainties associated with the above operations and activities could have a detrimental effect on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estimated allowance for credit losses and fair value adjustments with respect to loans acquired in our acquisitions may prove to be insufficient to absorb actual losses in our loan portfolio, which may adversely affect our business, financial condition and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allowance for credit losses ("ACL") that represents management’s judgment of current expected credit losses and risks inherent in our loan portfolio. As of December 31, 2024, our ACL totaled $60.1 million, which represents approximately 1.29% of our total loans, net. The level of the allowance reflects management’s continuing evaluation of loan levels and portfolio composition, observable trends in nonperforming loans, historical loss experience, known and inherent risks in the portfolio, underwriting practices, adequacy of collateral, credit risk grading assessments, forecasted economic conditions, and other factors. The determination of the appropriate level of the ACL is inherently highly subjective and requires us to make significant estimates of and assumptions regarding current credit risks and future trends, all of which may undergo material changes. If, as a result of general economic conditions, there is a decrease in asset quality or growth in the loan portfolio, our management determines that additional increases in ACL are necessary, we may incur additional expenses which will reduce our net income, and our business, results of operations or financial condition may be materially and adversely affected. In addition, inaccurate management assumptions, deterioration of economic conditions affecting borrowers, new information regarding existing loans, identification or deterioration of additional problem loans, acquisition of problem loans and other factors, both within and outside of our control, may require us to increase our ACL.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Operational and Business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at risk of increased losses from fraud.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Fraudulent activity has taken many forms, ranging from check fraud, mechanical devices attached to ATM machines, social engineering and phishing attacks to obtain personal information or impersonation of our clients through the use of falsified or stolen credentials and debit card fraud. Additionally, an individual or business entity may properly identify themselves, particularly when banking online, yet seek to establish a business relationship for the purpose of perpetrating fraud. Further, in addition to fraud committed against us, we may suffer losses as a result of fraudulent activity committed against third parties. Increased deployment of technologies, such as chip card technology, defray and reduce aspects of fraud; however, criminals are turning to other sources to steal personally identifiable information, such as unaffiliated healthcare providers and government entities, in order to impersonate the consumer to commit fraud. Many of these data compromises are widely reported in the media. Further, as a result of the increased sophistication of fraud activity, we have increased our spending on systems and controls to detect and prevent fraud. This will result in continued ongoing investments in the future. Nevertheless, these investments may prove insufficient and fraudulent activity could result in losses to us or our customers; loss of business and/or customers; damage to our reputation; the incurrence of additional expenses (including the cost of notification to consumers, credit monitoring and forensics, and fees and fines imposed by the card networks); disruption to our business; our inability to grow our online services or other businesses; additional regulatory scrutiny or penalties; or our exposure to civil litigation and possible financial liability any of which could have a material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could be adversely affected by a failure to establish and maintain effective internal controls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failure in our internal controls could have a significant negative impact not only on our earnings, but also on the perception that customers, regulators and investors may have of us. Any failure to maintain internal controls over financial reporting, or any difficulties that we may encounter in such maintenance, could result in significant deficiencies or material weaknesses, result in material misstatements in our consolidated financial statements and cause us to fail to meet our reporting obligations, each of which could result in a material adverse effect on our business, financial condition or results of operations or an adverse reaction in the financial markets due to a loss of confidence in the reliability of our financial statements. We continue to devote a significant amount of effort, time and resources to our controls and ensuring compliance with complex accounting standards and regulations. These efforts also include the management of controls to mitigate operational risks for programs and processes across the Company.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third party relationships could expose us to operational and regulatory risks.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for internal and customer-facing services. The use of third parties may pose operational, compliance, and strategic risks to banks. The federal banking regulators expect banks implement controls to ensure that third parties perform their activities in compliance with applicable laws and regulations. In June 2023, the federal banking agencies issued “Interagency Guidance on Third-Party Relationships: Risk Management”, which requires banks to “analyze the risks associated with each third-party relationship and to calibrate its risk management processes”.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July 2024, federal banking regulators issued a joint statement on banks’ arrangements with third parties to deliver bank deposit products and services. The joint statement was released concurrently with a request for information on bank-fintech arrangements involving banking products and services distributed to consumers and businesses through third parties, including payment and lending products in addition to deposit products, in the wake of issues with customers depositing non-FDIC insured funds through non-banks without proper controls.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depend on the accuracy and completeness of information about customers and counterparties.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deciding whether to extend credit or enter into other transactions, and in evaluating and monitoring our loan and lease portfolio on an ongoing basis, we may rely on information furnished by or on behalf of customers and counterparties, including financial statements, credit reports and other financial information. We may also rely on representations of those customers or counterparties or of other third parties, such as independent auditors, as to the accuracy and completeness of that information. Reliance on inaccurate, incomplete, fraudulent or misleading financial statements, credit reports or other financial or business information, or the failure to receive such information on a timely basis, could result in credit losses, reputational damage or other effects that could have a material adverse effect on our business, financial condition or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participate in a multi-employer non-contributory defined benefit pension plan for both our unionized and non-unionized employees, which could subject us to substantial cash funding requirements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make contributions to the Consolidated Retirement Fund, a multi-employer pension plan that covers both our unionized and non-unionized employees. Our multi-employer pension plan expense totaled $7.6 million in 2024. Our obligations may be impacted by the funding status of the plan, the plan’s investment performance, changes in the participant demographics, financial stability of contributing employers and changes in actuarial assumptions. In addition, if a participating employer becomes insolvent and ceases to contribute to a multiemployer plan, the unfunded obligation of the plan will be borne by the remaining participating employers. Under current law, an employer that withdraws or partially withdraws from a multi-employer pension plan may incur withdrawal liability to the plan. If, in the future, we choose to withdraw from this multi-employer pension plan, we will likely need to record significant withdrawal liabilities, which could negatively impact our financial performance in the applicable periods.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Climate related disasters may have an effect on the performance of our business operations and asset quality which could adversely affect our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an increasing concern over climate-related disasters on the impacts of business operations, asset quality, and earnings. Climate-related disasters include acute risks which are event-driven such as increased instances of hurricanes, tropical storms, winter storms, freezes, wildfires, tornados, floods, and other large-scale weather catastrophes. Any of these events could disrupt the reliability of our operations and those of our customers, and third party vendors and suppliers. Such events could impair the value of our assets and those assets securing loans and mortgages in our portfolio, and they could lead to fluctuations in the value of our investments. Such events could cause downturns in economic and market conditions generally, which could negatively impact our customers and third party suppliers and vendors and which could have an adverse effect on our business and financial results. Our expenses could increase due to consumer preference changes and increased legislation and regulatory requirements such as those associated with the transition to a low-carbon economy. The potential costs, including strategic planning, litigation due to increased regulatory scrutiny or negative public sentiment, technology expenditures, and losses associated with climate related disasters are difficult to predict and could have a material adverse effect on our business, financial condition and results of operation.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risks related to our PACE financings.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Assessed Clean Energy ("PACE") financing is a means of financing energy-efficient upgrades or the installation of renewable energy sources for commercial, industrial and residential properties that are repaid over a selected term through property tax assessments, which are secured by the property itself and paid as an addition to the owners’ property tax bills. The unique characteristic of PACE assessments is that the assessment is attached to the property rather than the individual borrower. Active programs for residential PACE financing exist in California, Florida and Missouri. As of December 31, 2024, we had a portfolio of $268.4 million in commercial PACE assessments and $927.5 million in residential PACE assessments. These assessments are pari passu with tax liens and generally have priority over first mortgage liens.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PACE financing programs are typically enabled through state legislation and authorized at the local government level, variations between each state’s programs may expose us to increased compliance costs and risks. On December 17, 2024, the CFPB issued its final rule implementing Section 307 of the 2018 Economic Growth, Regulatory Relief, and Consumer Protection Act (the “EGRRCPA”) and amending Regulation Z to address how TILA applies to residential PACE transactions. The final rule amends Regulation Z’s definition of credit to include residential PACE financings, prescribes ability-to-repay requirements, and implements other amendments and exemptions to clarify how other rules in Regulation Z apply. The final rule becomes effective on March 1, 2026. If we fail to comply with the final rules adopted by the CFPB, we may face reputational and litigation risks with respect to our PACE assessments.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trust and investment management business may be negatively impacted by changes in economic and market conditions and clients may seek legal remedies for investment performance.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trust and investment management business may be negatively impacted by changes in general economic and market conditions because the performance of this business is directly affected by conditions in the financial and securities markets. The financial markets and businesses operating in the securities industry are highly volatile (meaning that performance results can vary greatly within short periods of time) and are directly affected by, among other factors, domestic and foreign economic conditions and general trends in business and finance, and by the threat, as well as the occurrence of global conflicts, all of which are beyond our control. We cannot assure you that broad market performance will be favorable in the future. Declines in the financial markets or a lack of sustained growth may result in a decline in the performance of our investment management business and may adversely affect the market value and performance of the investment securities that we manage, which could lead to reductions in our investment management fees, because they are based primarily on the market value of the securities we manage, and could lead some of our clients to reduce their assets under our management or seek legal remedies for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If any of these events occur, the financial performance of our trust and investment management business could be materially and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investment management contracts we have with our clients are terminable without cause and on relatively short notice by our clients, which makes us vulnerable to short term declines in the performance of the securities under our management.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Like most other companies with an investment management business, our investment management contracts with our clients are typically terminable by the client without cause upon less than 30 days’ notice. As a result, even short term declines in the performance of the securities we manage, which can result from factors outside our control such as adverse changes in market or economic conditions or the poor performance of some of the investments we have recommended to our clients, could lead some of our clients to move assets under our management to other asset classes such as broad index funds or treasury securities, or to investment advisors that have investment product offerings or investment strategies different than ours. Therefore, our operating results are heavily dependent on the financial performance of our investment portfolios and the investment strategies we employ in our investment management businesses and even short-term declines in the performance of the investment portfolios we manage for our clients, whatever the cause, could result in a decline in assets under management and a corresponding decline in investment management fees, which would adversely affect our results of operations. </w:t>
      </w:r>
    </w:p>
    <w:p>
      <w:pPr>
        <w:pStyle w:val="TextBody"/>
        <w:bidi w:val="0"/>
        <w:spacing w:lineRule="auto" w:line="288"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Risks Related to Privacy and Technology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technology systems are critical to our business. Our business requires us to collect, process, transmit and store significant amounts of confidential information regarding our customers, employees and our own business, operations, plans and business strategies. We use various technology systems to manage our customer relationships, general ledger, securities investments, deposits, and loans. Our computer systems, data management and internal processes, as well as those of third parties, are integral to our performance.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rely on the secure processing, storage and transmission of confidential and other sensitive business and consumer information on our computer systems and networks and third-party providers. Under various federal and state laws, we are responsible for safeguarding such information. For example, our business is subject to joint federal bank agency rules, the GLBA, the NYDFS cybersecurity regulations, the CCPA, and the CPRA which, among other things: (i) impose certain limitations on our ability to share nonpublic personal information about our customers with nonaffiliated third parties; (ii) require that we provide certain disclosures to customers and others about our information collection, sharing and security practices and afford customers the right to “opt out” of any information sharing by us with nonaffiliated third parties (with certain exceptions); (iii) limit retention of customer data; (iv) require notification of certain data breaches be provided to consumers and, in some circumstances, regulators; (v) require notification of extortion payments and ransomware deployments; (vi) require enhanced governance of cyber risk, including risk assessments at least annually and whenever a change in the business or technology causes a material change to our cyber risk; and (vii) require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Ensuring that our collection, use, transfer and storage of personal information complies with all applicable laws and regulations can increase our costs.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information pertaining to us and our customers is maintained, and transactions are executed, on our networks and systems or those of our customers or third-party partners, such as our online banking or reporting systems. The secure maintenance and transmission of confidential information, as well as execution of transactions over these systems, are essential to protect us and our customers against fraud and security breaches and to maintain our clients’ confidence.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 breach of our operational or security systems or infrastructure, or those of our third-party vendors and other service providers, including as a result of cyber-attacks, could disrupt our businesses, result in the disclosure or misuse of confidential or proprietary information, damage our reputation, increase our costs and cause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not experienced any material breaches of information security, such breaches may occur through intentional or unintentional acts by those having access or gaining access to our systems or our customers’ or counterparties’ confidential information, including employees. In addition, increases in criminal activity levels and sophistication, advances in computer capabilities, new discoveries, vulnerabilities in third-party technologies (including browsers and operating systems) or other developments could result in a compromise or breach of the technology, processes and controls that we use to prevent fraudulent transactions and to protect data about us, our customers and underlying transactions, as well as the technology used by our customers to access our systems. Further, risk of cybersecurity incidents may increase with the political and economic instability or warfare (including the Russia and Ukraine war and campaigns by Chinese hackers to infiltrate computer networks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critical American infrastructure). We cannot be certain that the security measures we, or processors, have in place to protect this sensitive data will be successful or sufficient to protect against all current and emerging threats designed to breach our systems or those of processors. Although we have developed, and continue to invest in, systems and processes that are designed to detect and prevent security breaches and cyber-attacks and regularly test our security, a breach of our systems, or those of processors, could result in losses to us or our customers; loss of business and/or customers; damage to our reputation; the incurrence of additional expenses (including the cost of notification to consumers, credit monitoring and forensics, and fees and fines imposed by the card networks); disruption to our business; our inability to grow our online services or other businesses; additional regulatory scrutiny or penalties; or our exposure to civil litigation and possible financial liability—any of which could have a material adverse effect on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information technology systems may be subject to failure or interruption.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operational risks include the risk of errors relating to transaction processing and technology, systems failures or interruptions, and failures of business continuation and disaster recovery plans. While we have established policies and procedures to prevent or limit the impact of system failures and interruptions, there can be no assurance that such events will not occur or will be adequately addressed if they do.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breakdown in our internal control systems, improper operation of systems or improper employee actions , including if confidential or proprietary information were to be mishandled, misused or lost, we could suffer financial loss, loss of customers and damage to our reputation, and face regulatory action or civil litigation. Any of these events could have a material adverse effect on our financial condition and results of operations. Insurance coverage may not be available for such losses, or where available, such losses may exceed insurance limits.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information technology and telecommunications systems of third-party servicers, and systems failures, interruptions or breaches of security involving these systems could have an adverse effect on our operations, financial condition and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highly dependent on the successful and uninterrupted functioning of our information technology and telecommunications systems, third-party servicers' accounting systems and mobile and online banking platforms. We outsource many of our major systems, such as data processing, loan servicing, item/payment processing systems, and online banking platforms. The failure of these systems, or the termination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renewal loans or to gather deposits and provide customer service and it could compromise our ability to operate effectively, damage our reputation, result in a loss of business and subject us to additional regulatory scrutiny and possible financial liability, any of which could have a material adverse effect on our financial condition and results of operations. In addition, failure of third parties to comply with applicable laws and regulations, or fraud, misconduct, or material errors on the part of our employees or employees of any of these third parties could disrupt our operations or adversely affect our reputation.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may be difficult for us to replace some of our third-party vendors, particularly vendors providing our core banking, debit card services and information services, in a timely manner if they are unwilling or unable to provide us with these services in the future for any reason and even if we are able to replace them, it may be at higher cost or result in the loss of customers. Any such events could have a material adverse effect on our business, financial condition or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federal bank regulators issued a joint final rule to establish computer-security incident notification requirements for banking organizations and their bank service providers. The rule requires FDIC-supervised banks to report certain incidents to their case manager and also requires covered bank service providers to promptly notify their FDIC-supervised bank customer when the service provider determines that it has experienced a notification incident.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financial entities and technology systems becoming more interdependent and complex, a cyber incident, information breach or loss, or technology failure that compromises the systems or data of one or more financial entities could have a material impact on counterparties or other market participants, including ourselves. Although we review business continuity and backup plans for our vendors and take other safeguards to support our operations, such plans or safeguards may be inadequate. As a result of the foregoing, our ability to conduct business may be adversely affected by any significant disruptions to us or to third parties with whom we interact.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must respond to rapid technological changes, and these changes may be more difficult or expensive than anticipated.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have to respond to future technological changes. Specifically, if our competitors introduce new banking products and services embodying new technologies such as AI and machine learning, or if new banking industry standards and practices emerge, then our existing product and service offerings, technology and systems may be impaired or become obsolete. Implementation of AI and machine learning and other new technologies may have unintended consequences due to their limitations, potential manipulation, or our failure to use them effectively. Conversely, if we fail to adopt or develop new technologies or to adapt our products and services to emerging industry standards, then we may lose current and future customers, which could have a material adverse effect on our business, financial condition and results of operations. Many of our competitors have substantially greater resources to invest in technological improvements than we do. The financial services industry is changing rapidly, and to remain competitive, we must continue to enhance and improve the functionality and features of our products, services and technologies. These changes may be more difficult or expensive than we anticipate.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we may not be able to sustain our investment in new technology as critical systems and applications become obsolete or as better ones become available. A failure to maintain current technology and business processes could cause disruptions in our operations or cause our products and services to be less competitive, all of which could have a material adverse effect on our business, financial condition or results of operations. </w:t>
      </w:r>
    </w:p>
    <w:p>
      <w:pPr>
        <w:pStyle w:val="TextBody"/>
        <w:bidi w:val="0"/>
        <w:spacing w:lineRule="auto" w:line="288"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Risks Related to Our Human Capital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our executive officers and other key employees, and our ability to attract additional key personnel, to continue the implementation of our long-term business strategy, and we could be harmed by the unexpected loss of their services.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continued growth and future success will depend in large part on the skills of our executive officers and other key employees and our ability to motivate and retain these individuals, as well as our ability to attract, motivate and retain qualified senior and middle management and other skilled employees. Competition for employees is intense, and the process of locating key personnel with the combination of skills and attributes required to execute our business strategy may be lengthy. If the services of any of our of key personnel should become unavailable for any reason, we may not be able to identify and hire qualified persons on terms acceptable to us, or at all, which could have a material adverse effect on our business, financial condition, results of operation and future prospects. We may not be successful in retaining our key personnel, and the unexpected loss of services of one or more of our key personnel could have a material adverse effect on our business because of their skill, customer relationships, knowledge of our markets, years of industry experience and the difficulty of promptly finding qualified replacement personnel. Leadership transitions can be inherently difficult to manage, and inadequate transitions may cause disruptions to our business due to, among other things, diverting management’s attention or causing a deterioration in morale.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could suffer if we experience employee work stoppages, union campaigns or other labor difficulties, and efforts by labor unions could divert management attention and adversely affect operating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429 employees, of which approximately 21% are represented by collective bargaining agreements or an employee union. Although we believe that our relationship with our employees is good, and we have not experienced any material work stoppages, work stoppages may occur in the future. Union activities also may significantly increase our labor costs, disrupt our operations and limit our operational flexibility. From time to time, we are subject to unfair labor practice charges, complaints and other legal, administrative and arbitration proceedings initiated against us by unions, the National Labor Relations Board or our employees, which could negatively impact our operating results. In addition, negotiating collective bargaining agreements could divert management attention, which could also adversely affect operating results. On November 29, 2024, we entered into a new collective bargaining agreement with OPEIU, which (i) extended the term of the agreement to June 30, 2026, (ii) provided for a 3.5% wage increase per annum for the term of the agreement, and (iii) made certain modifications to reflect improved terms, inclusive of a healthcare reimbursement account.</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Capital and Liquidity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liquidity risk.</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Liquidity is required to fund the needs of our depositors, repay borrowings, fund loan commitments and investments, pay expenditures and other obligations as they arise. Our access to funding, in adequate amounts and acceptable terms, could be impaired by a wide range of factors that affect us specifically, the financial services industry or the general economy.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600"/>
        <w:jc w:val="righ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factors include an economic downturn affecting our loan portfolio, adverse financial market conditions, adverse regulatory or judicial actions against labor unions, political organizations or not-for profits, or adverse regulatory actions against us. </w:t>
      </w:r>
    </w:p>
    <w:p>
      <w:pPr>
        <w:pStyle w:val="TextBody"/>
        <w:bidi w:val="0"/>
        <w:spacing w:lineRule="auto" w:line="288" w:before="240" w:after="283"/>
        <w:jc w:val="both"/>
        <w:rPr/>
      </w:pPr>
      <w:r>
        <w:rPr>
          <w:rFonts w:ascii="Times New Roman;sans-serif" w:hAnsi="Times New Roman;sans-serif"/>
          <w:b w:val="false"/>
          <w:color w:val="000000"/>
          <w:sz w:val="20"/>
        </w:rPr>
        <w:t>Our access to deposits may also be affected by the liquidity needs of our depositors, particularly in an adverse interest rate or economic environment where they may be compelled to withdraw deposits. As a part of our liquidity management, we must ensure we can respond effectively to potential volatility in our customers’ deposit balances. Our total on-balance sheet deposits totaled $7.18 billion as of December 31, 2024. For instance, our on-balance sheet deposits from political campaigns, PACs, and state and national party committee clients totaled $969.6 million, or 14%</w:t>
      </w:r>
      <w:r>
        <w:rPr>
          <w:color w:val="000000"/>
        </w:rPr>
        <w:t xml:space="preserve"> </w:t>
      </w:r>
      <w:r>
        <w:rPr>
          <w:rFonts w:ascii="Times New Roman;sans-serif" w:hAnsi="Times New Roman;sans-serif"/>
          <w:b w:val="false"/>
          <w:color w:val="000000"/>
          <w:sz w:val="20"/>
        </w:rPr>
        <w:t xml:space="preserve">of total on-balance sheet deposits as of December 31, 2024 and decreased their deposit balances significantly after the last election campaign, resulting in short-term volatility in their deposit balances held with us through election cycles. Additionally, our on-balance sheet deposits from labor unions totaled $1.99 billion, or 28% of total on-balance sheet deposits as of December 31, 2024. While historically we have been able to replace deposit outflows and borrowings as necessary, we might not be able to replace such funds in the future, especially if a large number of our depositors or those depositors with a high concentration of deposits sought to withdraw their accounts. We could encounter difficulty meeting a significant deposit outflow which could negatively impact our profitability or reputation. Any long-term decline in deposit funding would adversely affect our liquidity, but we believe our funding sources are adequate to meet any significant unanticipated deposit withdrawal. A failure to maintain adequate liquidity could materially and adversely affect our business, results of operations or financial condition.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needs and future growth may require us to raise capital, but that capital may not be available or may be dilutive.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and, in turn, our liquidity. Further, if we need to raise capital in the future, we may have to do so when many other financial institutions are also seeking to raise capital and would then have to compete with those institutions for investors. Any inability to raise capital on acceptable terms when needed could have a material adverse effect on our business, financial condition and results of operations and could be dilutive to both tangible book value and our share price.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more stringent capital requirements in the future.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regulatory requirements specifying minimum amounts and types of capital that we must maintain. From time to time, the regulators change these regulatory capital adequacy guidelines. If we fail to meet these minimum capital guidelines and other regulatory requirements, we may be restricted in the types of activities we may conduct and we may be prohibited from taking certain capital actions, such as paying dividends and repurchasing or redeeming capital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capital requirements applicable to us under the Basel III rules, which became fully phased-in on January 1, 2019 required us to satisfy additional, more stringent, capital adequacy standards. A failure to meet minimum capital requirements could result in certain mandatory and possible additional discretionary actions by regulators that, if undertaken, could have an adverse material effect on our financial condition and results of operations. In addition, these requirements could have a negative impact on our ability to lend, grow deposit balances, make acquisitions or make capital distributions in the form of dividends or share repurchases. Higher capital levels could also lower our return on equity.</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Strategy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social responsibility positions may have a material adverse effect on our business, financial condition or results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socially responsible bank, we take positions to support economic, social, racial and environmental justice that are consistent with our charter as a public benefit corporation and with applicable law; however, these types of positions may be inconsistent with policies promulgated by other institutions or governmental entities, and as a result, we may become a target of public criticism, governmental scrutiny and investigation and litigation. Our positions may have a material adverse effect on our business, financial condition or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we support the recruitment and hiring of people from all backgrounds, so that our workforce reflects the communities that we serve, and we support activities that promote an inclusive workforce. We encourage the advancement of equal opportunity without the use of preferential treatment, quotas or other unlawful and discriminatory practices. Additionally, we have expressed support for certain causes through our shareholder activism, which includes the filing of shareholder proposals at other public companies and serving as plaintiffs in class action litigation. Our shareholder activism may draw opposition from other activists, state attorneys general and other governmental entities, which would require the dedication of additional resources and personnel and impact our business, financial condition or results of operation.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implement our growth strategy or manage costs effectively, resulting in lower earnings or profitability.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we will be able to continue to grow and to be profitable in future periods, or, if profitable, that our overall earnings will remain consistent or increase in the future. Our growth requires that we increase our loans, assets under management and deposits while managing risks by following prudent loan underwriting standards without increasing interest rate risk or compressing our net interest margin. Additionally, maintaining more than adequate capital at all times, hiring and retaining qualified employees, managing noninterest expenses and successfully implementing strategic initiatives are all key drivers to successful growth. Even if we are able to increase our interest income, our earnings may nonetheless be reduced by increased expenses, such as additional employee compensation or other general and administrative expenses and increased interest expense on any liabilities incurred or deposits solicited to fund increases in assets. Additionally, if our competitors extend credit on terms we find to pose excessive risks, or at interest rates which we believe do not warrant the credit exposure, we may not be able to maintain our lending volume and could experience deteriorating financial performance. Our inability to manage our growth successfully or to continue to expand into new markets could have a material adverse effect on our business, financial condition or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New lines of business, products, product enhancements or services may subject us to additional risks.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implement new lines of business or offer new products or product enhancements as well as new services within our existing lines of business. There are substantial risks and uncertainties associated with these efforts, particularly in instances in which the markets are not fully developed. In implementing, developing or marketing new lines of business, products, product enhancements or services, we may invest significant time and resources, although we may not assign the appropriate level of resources or expertise necessary to make these new lines of business, products, product enhancements or services successful or to realize their expected benefits. Initial timetables for the introduction and development of new lines of business, products, product enhancements or services may not be achieved, and price and profitability targets may not prove feasible. For example, several of our competitors have successfully introduced innovative investment management products. The introduction of such new products requires continued innovative efforts on the part of our management and may require significant time and resources as well as ongoing support and investment. External factors, such as compliance with regulations, competitive alternatives and shifting market preferences, may also affect the implementation of a new line of business or offerings of new products, product enhancements or services. Furthermore, any new line of business, product, product enhancement or service or system conversion could have a significant impact on the effectiveness of our internal controls. Failure to successfully manage these risks in the development and implementation of new lines of business or offerings of new products, product enhancements or services could have a material adverse effect on our business, financial condition or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maintain our reputation is critical to the success of our business, including our ability to attract and retain customers, and failure to do so may materially adversely affect our performance.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fund manager, we from time-to-time engage in stockholder activism, pressing issuers on a range of corporate governance topics. This activism has caused and could cause increased scrutiny over our own corporate governance activities. Any failure, or perceived failure, in our own corporate governance practices could damage our reputation adversely affecting our business, results of operations or financial condition.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our reputation also depends on our ability to successfully prevent third-parties from infringing on our brand and associated trademarks. Defense of our reputation and our trademarks, including through litigation, could result in costs adversely affecting our business, results of operations or financial condition.</w:t>
      </w:r>
    </w:p>
    <w:p>
      <w:pPr>
        <w:pStyle w:val="TextBody"/>
        <w:bidi w:val="0"/>
        <w:spacing w:lineRule="auto" w:line="288" w:before="240" w:after="283"/>
        <w:jc w:val="both"/>
        <w:rPr/>
      </w:pPr>
      <w:r>
        <w:rPr>
          <w:rFonts w:ascii="Times New Roman;sans-serif" w:hAnsi="Times New Roman;sans-serif"/>
          <w:b w:val="false"/>
          <w:color w:val="000000"/>
          <w:sz w:val="20"/>
        </w:rPr>
        <w:t>We are a Certified B Corporation</w:t>
      </w:r>
      <w:r>
        <w:rPr>
          <w:rFonts w:ascii="Times New Roman;sans-serif" w:hAnsi="Times New Roman;sans-serif"/>
          <w:b w:val="false"/>
          <w:color w:val="000000"/>
          <w:sz w:val="13"/>
        </w:rPr>
        <w:t>TM</w:t>
      </w:r>
      <w:r>
        <w:rPr>
          <w:rFonts w:ascii="Times New Roman;sans-serif" w:hAnsi="Times New Roman;sans-serif"/>
          <w:b w:val="false"/>
          <w:color w:val="000000"/>
          <w:sz w:val="20"/>
        </w:rPr>
        <w:t>. The term “Certified B Corporation” does not refer to a particular form of legal entity, but instead refers to companies certified by the B Lab, an independent nonprofit organization, as meeting rigorous standards of social and environmental performance, accountability and transparency. Our reputation could be harmed if we lose our Certified B Corporation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status, whether by choice or by our failure to meet B Lab’s certification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 “Amalgamated” originated with our over a 100 year union history – the Amalgamated Clothing Workers of America – and, over the course of time, other entities use the name Amalgamated, some of which are related parties or affiliates of the Bank and some that are not legally related or affiliated. As a result, we may face risks related to public scrutiny and identity confusion with those other entities that share the same name.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face strong competition from other banks and financial institutions and other wealth and investment management firms that could hurt our business.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banking business is highly competitive, and we experience competition in our markets from many other financial institutions. We compete with commercial banks, credit unions, savings and loan associations, mortgage banking firms, non-traditional financial-services providers, other financial service businesses, including investment advisory and wealth management firms, mutual fund companies, and securities brokerage and investment banking firms, as well as super-regional, national and international financial institutions that operate offices in our primary market areas and elsewhere. As customers’ preferences and expectations continue to evolve, technology has lowered barriers to entry and made it possible for banks to expand their geographic reach by providing services over the Internet and for Fintech, i.e. “non-banks” to offer products and services traditionally provided by banks, such as automatic transfer and automatic payment systems. Because of this rapidly changing technology, our future success will depend in part on our ability to address our customers’ needs by using technology and to identify and develop new, value-added products for existing and future customers. Failure to do so could impede our time to market, reduce customer product accessibility, and weaken our competitive position. Customer loyalty can be easily influenced by a competitor’s products, especially offerings that could provide cost savings or a higher return to the customer. Moreover, this competitive industry could become even more competitive as a result of legislative, regulatory and technological changes and continued consolidation.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the CFPB finalized the Required rule making on Personal Financial Data Rights rule to promote “open and decentralized banking” by requiring covered institutions to allow customers to authorize the transfer of certain customer information to other financial institutions. This rule enables greater competition among banks and non-banks for consumer market share, which could have a material adverse effect on our business, financial condition or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Difficulties in obtaining regulatory approval for acquisitions and in combining the operations of acquired entities with the Company’s own operations may prevent us from achieving the expected benefits from our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expanded its business through a past acquisition and may do so again in the future. Our ability to complete acquisitions is in many instances subject to regulatory approval, and we cannot be certain when or if, or on what terms and conditions, any required regulatory approvals would be granted. In addition, inherent uncertainties exist when integrating the operations of an acquired entity, including in ability to fully achieve the Company’s strategic objectives and planned operating efficiencies in an acquisition, disruption of the Company’s business and diversion of management’s time and attention and exposure to unknown or contingent liabilities of acquired entities.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Legal, Accounting, Regulatory, and Compliance Risks</w:t>
      </w:r>
    </w:p>
    <w:p>
      <w:pPr>
        <w:pStyle w:val="TextBody"/>
        <w:bidi w:val="0"/>
        <w:spacing w:lineRule="auto" w:line="288" w:before="240" w:after="283"/>
        <w:jc w:val="both"/>
        <w:rPr/>
      </w:pPr>
      <w:r>
        <w:rPr>
          <w:rFonts w:ascii="Times New Roman;sans-serif" w:hAnsi="Times New Roman;sans-serif"/>
          <w:b/>
          <w:i/>
          <w:color w:val="000000"/>
          <w:sz w:val="20"/>
        </w:rPr>
        <w:t>Change</w:t>
      </w:r>
      <w:r>
        <w:rPr>
          <w:rFonts w:ascii="Times New Roman;sans-serif" w:hAnsi="Times New Roman;sans-serif"/>
          <w:b/>
          <w:color w:val="000000"/>
          <w:sz w:val="20"/>
        </w:rPr>
        <w:t>s</w:t>
      </w:r>
      <w:r>
        <w:rPr>
          <w:color w:val="000000"/>
        </w:rPr>
        <w:t xml:space="preserve"> </w:t>
      </w:r>
      <w:r>
        <w:rPr>
          <w:rFonts w:ascii="Times New Roman;sans-serif" w:hAnsi="Times New Roman;sans-serif"/>
          <w:b/>
          <w:i/>
          <w:color w:val="000000"/>
          <w:sz w:val="20"/>
        </w:rPr>
        <w:t xml:space="preserve">in our accounting policies or in accounting standards could materially affect how we report our financial results and condition.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our accounting policies or in accounting standards could materially affect how we report our financial results and condition. From time to time, the FASB changes the financial accounting and reporting standards that govern the preparation of our financial statements. As a result of such changes, whether promulgated or required by the FASB or other regulators, we could be required to change certain of the assumptions or estimates we have previously used in preparing our financial statements, which could negatively affect how we record and report our results of operations and financial condition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accounting estimates and risk management processes and controls rely on analytical and forecasting techniques and models and assumptions, which may not accurately predict future events.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accounting policies and methods are fundamental to how we record and report our financial condition and results of operations. Our management must exercise judgment in selecting and applying many of these accounting policies and methods so they comply with GAAP and reflect management’s judgment of the most appropriate manner in which to report our financial condition and results.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 </w:t>
      </w:r>
    </w:p>
    <w:p>
      <w:pPr>
        <w:pStyle w:val="TextBody"/>
        <w:bidi w:val="0"/>
        <w:spacing w:lineRule="auto" w:line="288" w:before="240" w:after="283"/>
        <w:jc w:val="both"/>
        <w:rPr/>
      </w:pPr>
      <w:r>
        <w:rPr>
          <w:rFonts w:ascii="Times New Roman;sans-serif" w:hAnsi="Times New Roman;sans-serif"/>
          <w:b w:val="false"/>
          <w:color w:val="000000"/>
          <w:sz w:val="20"/>
        </w:rPr>
        <w:t>Certain accounting policies are critical to presenting our financial condition and results of operations. They require management to make difficult, subjective or complex judgments about matters that are uncertain. Materially different amounts could be reported under different conditions or using different assumptions or estimates. Because of the uncertainty of estimates involved in this matters, we may be required to significantly increase the allowance or sustain credit losses that are significantly higher than the reserve provided. Any of these could have a material adverse effect on our business, financial condition or results of operations. See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xml:space="preserv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banking industry is heavily regulated and that regulation, together with any future legislation or regulatory changes, could limit or restrict our activities and adversely affect our operations or financial results.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 extensively regulated industry and we are subject to examination, supervision, and comprehensive regulation by various federal and state agencies. The Company is subject to Federal Reserve regulations, and the Bank is subject to regulation, supervision and examination by the FDIC and the NYDFS. Further, potential implementation by the current administration of a regulatory reform agenda may be significantly different from that of the prior administration, impacting the rule making, supervision, examination and enforcement of the banking regulation agencies and our ability to respond to those changes. Our compliance with banking regulations is costly and restricts some of our activities, including payment of dividends, mergers and acquisitions, investments, loans and interest rates and locations of offices. We are also subject to capitalization guidelines established by our regulators, which require us to maintain adequate capital to support our business. If, as a result of an exam, a banking agency were to determine that the financial condition, capital adequacy, asset quality, asset concentration, earnings prospects, management, liquidity sensitivity to market risk or other aspects of any of our operations has become unsatisfactory, or that we or our management are in violation of any law or regulation, the banking agency could take a number of different remedial actions as it deems appropriate.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our regulators also have the ability to compel us to take certain actions, or restrict us from taking certain actions entirely, such as actions that our regulators deem to constitute an unsafe or unsound banking practice. Our failure to comply with any applicable laws or regulations, or regulatory policies and interpretations of such laws and regulations, could result in sanctions by regulatory agencies (such as a memorandum of understanding, a written supervisory agreement or a cease and desist order), civil money penalties or damage to our reputation, all of which could have a material adverse effect on our business, financial condition or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trust and investment management businesses are highly regulated.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investment management division, we provide investment management, custody, safekeeping and trust services to institutional clients. These products and services require us to comply with a number of regulations issued by the Department of Labor, the Employee Retirement Income Security Act, the FDIC Statement of Principles of Trust Department Management, and federal and state securities regulators.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failure to comply with applicable laws or regulations could result in fines, suspensions of individual employees, litigation, or other sanctions. Any such failure could have an adverse effect on our reputation and could adversely affect our business, financial condition, results of operations or prospects.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Federal Reserve may require us to commit capital resources to support the Bank.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Reserve requires a bank holding company to act as a source of financial and managerial strength to a subsidiary bank and to commit resources to support such subsidiary bank. Under the “source of strength” doctrine, the Federal Reserve may require a bank holding company to make capital injections into a troubled subsidiary bank and may charge the bank holding company with engaging in unsafe and unsound practices for failure to commit resources to such a subsidiary bank. In addition, the Dodd-Frank Act directs the federal bank regulators to require that all companies that directly or indirectly control an insured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depository institution serve as a source of strength for the institution. Under these requirements, in the future, we could be required to provide financial assistance to the Bank if the Bank experiences financial distress.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capital injection may be required at times when we do not have the resources to provide it, and therefore we may be required to borrow the funds.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its note obligations. Thus, any borrowing that must be done by the holding company in order to make the required capital injection becomes more difficult and expensive and will adversely impact the holding company’s cash flows, financial condition, results of operations and prospects.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face a risk of noncompliance with the BSA and other anti-money laundering statutes and regulations and corresponding enforcement proceedings.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BSA, the PATRIOT Act, the Anti-Money Laundering Act of 2020, and other laws and regulations require financial institutions, among other duties, to institute and maintain effective anti-money laundering programs, and to file suspicious activity and currency transaction reports as appropriate. FinCEN, established by the U.S. Treasury Department to administer the BSA, is authorized to impose significant civil money penalties for violations of those requirements and has engaged in coordinated enforcement efforts with the individual federal banking regulators, as well as the U.S. Department of Justice, Drug Enforcement Administration and IRS. There is also increased scrutiny of compliance with the rules enforced by the Office of Foreign Assets Control. Federal and state bank regulators also focus on compliance with BSA and anti-money laundering regulations. If our policies, procedures and systems are deemed deficient or the policies, procedures and systems of the financial institutions that we may acquire are deficient, we would be subject to liability, including fines, and regulatory actions such as restrictions on our ability to pay dividends and engage in acquisitions, which would negatively impact our business, financial condition and results of operations. In recent years, sanctions that the regulators have imposed on banks that have not complied with all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the Community Reinvestment Act and federal and state fair lending laws, and failure to comply with these laws could lead to material penalties.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Community Reinvestment Act (“CRA”), the ECOA and the FHA impose nondiscriminatory lending requirements on financial institutions. The FDIC, the NYDFS, the Department of Justice, and other federal and state agencies are responsible for enforcing these laws and regulations. In October 2023, the FDIC, the FRB and the OCC jointly adopted final regulations for modernizing and implementing the CRA, which became effective on April 1, 2024, with a multi-year phase-in. These regulations create a complex regulatory scheme that will impact how the Bank’s compliance with the CRA is evaluated and that will increase its compliance obligations, unless the regulations are successfully challenged in court.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acquisitions and expansion activity, which could negatively impact our reputation,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litigation and compliance risks related to our Socially Responsible Banking business model.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the target of public criticism, litigation and enforcement actions because of our ESG products and our social responsibility mission. For example, boycott regulations target financial institutions that will not lend or have made statements about not lending to certain industries. They prohibit a state from doing business with such institutions and/or from investing the state’s assets, including pension-plan assets, through such institutions. Boycott regulations affect financial institutions with investment policies that exclude or reduce exposure to fossil-fuel-producing energy companies or with restrictions in place for sensitive industries such as mining, timber production, or firearms manufacturing — particularly if these industries are economically important to the state.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a significant rise in climate-related probes and litigation, including greenwashing claims, against banks. "Greenwashing" involves a business making misleading sustainability-related claims to investors or consumers, usually to boost its reputation and bottom line. Furthermore, ESG products in the banking and financial services sectors have become subject to heightened regulatory scrutiny for potentially misleading claims and poor controls. Allegations that our ESG products contain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claims that have misled investors or consumers, or that the claims are subject to poor controls, even if ultimately unfounded, may fundamentally damage our reputation and our financial performance.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financial condition may be affected negatively by the costs of litigation.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difficult market conditions, the volume of claims and amount of damages sought in litigation and investigations against financial institutions have historically increased. We may be involved from time to time in a variety of litigation, investigations or similar matters arising out of our business. In many cases, we may seek reimbursement from our insurance carriers to cover such costs and expenses. Our insurance may not cover all claims that may be asserted against us, and any claims asserted against us, regardless of merit or eventual outcome, may harm our reputation. Should the ultimate judgments or settlements in any litigation or investigation significantly exceed our insurance coverage, they could have a material adverse effect on our business, financial condition and results of operations. In addition, we may not be able to obtain appropriate types or levels of insurance in the future, nor may we be able to obtain adequate replacement policies with acceptable terms, if at all. </w:t>
      </w:r>
    </w:p>
    <w:p>
      <w:pPr>
        <w:pStyle w:val="TextBody"/>
        <w:bidi w:val="0"/>
        <w:spacing w:lineRule="auto" w:line="288" w:before="240" w:after="283"/>
        <w:jc w:val="both"/>
        <w:rPr/>
      </w:pPr>
      <w:r>
        <w:rPr>
          <w:rFonts w:ascii="Times New Roman;sans-serif" w:hAnsi="Times New Roman;sans-serif"/>
          <w:b/>
          <w:i/>
          <w:color w:val="000000"/>
          <w:sz w:val="20"/>
        </w:rPr>
        <w:t>From time to time we are, or may become, involved in suits, legal proceedings, information-gatherings, investigations and proceedings by governmental and self-regulatory agencies that may lead to adverse consequences.</w:t>
      </w:r>
      <w:r>
        <w:rPr>
          <w:color w:val="000000"/>
        </w:rPr>
        <w: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aspects of the banking business involve a substantial risk of legal liability. From time to time, we are, or may become, the subject of information-gathering requests, reviews, investigations and proceedings, and other forms of regulatory inquiry, including by bank regulatory agencies, self-regulatory agencies, and law enforcement authorities. The results of such proceedings could lead to significant civil or criminal penalties, including monetary penalties, damages, adverse judgments, settlements, fines, injunctions, restrictions on the way we conduct our business or reputational harm.</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Our Common Stock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Shares of our common stock could face volatility due to banking sector uncertainty.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holding company stock prices are sensitive to generalized concerns about the health of the banking industry as a whole, regardless of the health of a particular institution. Ongoing stress in the banking sector could adversely impact the market price of our common stock and our business, financial condition and results of operations. We cannot predict if investors will find our common stock less attractive as a result of these market stresses. If some investors find our common stock less attractive as a result, there may be a less active trading market for our common stock and our stock price may be more volatile.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pay dividends is subject to regulatory limitations and the Bank’s ability to pay dividends to us is also subject to regulatory limitations.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bank holding company that conducts substantially all of its operations through the Bank. As a result, our ability to make dividend payments on our common stock depends primarily on certain federal regulatory considerations and the receipt of dividends and other distributions from the Bank. As is the case with all financial institutions, the profitability of the Bank is subject to the fluctuating cost and availability of money, changes in interest rates, and in economic conditions in general. </w:t>
      </w:r>
    </w:p>
    <w:p>
      <w:pPr>
        <w:pStyle w:val="TextBody"/>
        <w:bidi w:val="0"/>
        <w:spacing w:lineRule="auto" w:line="288" w:before="240" w:after="283"/>
        <w:jc w:val="both"/>
        <w:rPr/>
      </w:pPr>
      <w:r>
        <w:rPr>
          <w:rFonts w:ascii="Times New Roman;sans-serif" w:hAnsi="Times New Roman;sans-serif"/>
          <w:b w:val="false"/>
          <w:color w:val="000000"/>
          <w:sz w:val="20"/>
        </w:rPr>
        <w:t>Holders of our common stock are only entitled to receive such cash dividends as our Board of Directors may declare out of funds legally available for such payments. Although we currently expect to continue to pay quarterly dividends, any future determination relating to our dividend policy will be made by our Board of Directors and will depend on a number of factors.</w:t>
      </w:r>
      <w:r>
        <w:rPr>
          <w:color w:val="000000"/>
        </w:rPr>
        <w:t xml:space="preserve"> </w:t>
      </w:r>
      <w:r>
        <w:rPr>
          <w:rFonts w:ascii="Times New Roman;sans-serif" w:hAnsi="Times New Roman;sans-serif"/>
          <w:b w:val="false"/>
          <w:color w:val="000000"/>
          <w:sz w:val="20"/>
        </w:rPr>
        <w:t>Any actual determination relating to our dividend policy and the declaration of future dividends will be made, subject to applicable law and regulatory approvals, by our Board of Directors and will depend on a number of factors, including: (i) our historical and projected financial condition, liquidity and results of operations, (ii) our capital levels and needs, (iii) tax considerations, (iv) any acquisitions or potential acquisitions that we may examine, (v) statutory and regulatory prohibitions and other limitations, (vi) the terms of any credit agreements or other borrowing arrangements that restrict our ability to pay cash dividends, (vii) general economic conditions and (viii) other factors deemed relevant by our Board of Directors.</w:t>
      </w:r>
      <w:r>
        <w:rPr>
          <w:color w:val="000000"/>
        </w:rPr>
        <w:t xml:space="preserve"> </w:t>
      </w:r>
      <w:r>
        <w:rPr>
          <w:rFonts w:ascii="Times New Roman;sans-serif" w:hAnsi="Times New Roman;sans-serif"/>
          <w:b w:val="false"/>
          <w:color w:val="000000"/>
          <w:sz w:val="20"/>
        </w:rPr>
        <w:t>The Board of Directors may determine not to pay any cash dividends at any time. There can be no assurance that we will pay any dividends to holders of our common stock, or as to the amount of any such dividends. For more information, see “</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Market for Registrant’s Common Equity, Related Stockholder Matters and Issuer Purchases of Equity Securities—Dividend Policy.</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several significant investors whose individual interests may differ from yours.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percentage of our common stock is currently held by investment funds affiliated with an amalgamation of Workers United and numerous joint boards, locals or similar organizations authorized under the constitution of Workers United (the “Workers United Related Parties”). Workers United Related Parties own approximately 37% of our common stock. Significant stockholders will have a greater ability than our other stockholders to influence the election of directors and the potential outcome of other matters submitted to a vote of our stockholders, including mergers and acquisition transactions, amendments to our certificate of incorporation and bylaws, and other extraordinary corporate matters. The interests of these investors could conflict with the interests of our other stockholders, and any future transfer by these investors of their shares of common stock to other investors who have different business objectives could adversely affect our business, results of operations, financial condition, prospects or the market value of our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Workers United Related Parties have also entered into agreements with us that contain certain provisions, including, among others, provisions relating to our governance, information rights, tag-along rights, board designation rights, and certain board and stockholder approval rights. Additionally, Workers United Related Parties have entered into agreements with us that provide certain registration rights under existing registration rights agreements, and in the case of the Workers United Related Parties, the establishment of an advisory board.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Transfers of our common stock owned by the Workers United Related Parties could adversely impact your rights as a stockholder and the market price of our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Workers United Related Parties may transfer all or part of the shares of our common stock that they own, without allowing you to participate or realize a premium for any investment in our common stock, or distribute shares of our common stock that it owns to their members. Sales or distributions by the Workers United Related Parties of such common stock could adversely impact prevailing market prices for our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 sale of common stock by the Workers United Related Parties to a third party could adversely impact the market price of our common stock and our business, financial condition and results of operations. For example, a change in control caused by the sale of our shares by the Workers United Related Parties may result in a change of management decisions and business policy.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Shares of our common stock are subject to dilution.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additional shares of our common stock in the future pursuant to current or future equity compensation plans or in connection with future acquisitions or financings. If we choose to raise capital by selling shares of our common stock for any reason, the issuance would have a dilutive effect on the holders of our common stock and could have a material negative effect on the value of our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recognizes the critical importance of maintaining the trust and confidence of our customers, clients, business partners and employees. The Board is actively involved in oversight of the Company’s risk management program, and cybersecurity represents an important component of the Company’s overall approach to enterprise risk management (“ERM”).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cybersecurity policies, standards, processes and practices are fully integrated into the Company’s ERM program and are based on recognized frameworks established by the Federal Financial Institutions Examination Council (the “FFIEC”), and other applicable industry standards and regulations, including regulations promulgated by the NYDFS. In general, the Company seeks to address cybersecurity risks through a comprehensive, cross-functional approach that is focused on preserving the confidentiality, security and availability of the data and information that the Company collects and stores by identifying, preventing and mitigating cybersecurity threats and effectively responding to cybersecurity incidents when they occur. The Company’s strategy is informed by determinations of inherent risk and risk maturity level that are made in connection with an independent cybersecurity awareness assessment prepared for the FFIEC.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one of the critical elements of the Company’s overall ERM approach, the Company’s Information Security Program is focused on the following key areas: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Protecting the confidentiality, integrity, and availability of information systems and the nonpublic information stored on them.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Identifying risks, defending against unauthorized access, and detecting, responding to, and recovering from cybersecurity incidents.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 Management, Strategy and Governance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established a governance structure and organization to manage cybersecurity risk. This includes escalation and reporting of cybersecurity incidents through the Chief Risk Officer’s organization to an Executive Response Team and the Board, and periodic reporting on the Information Security Program to the Information Security Subcommittee of the Enterprise Risk Management Committee, an executive committee that oversees the Information Security Program, and the Enterprise Risk Oversight Committee (the “EROC”), the Board committee that oversees the ERM framework.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Chief Information Security Officer (“CISO”), under the supervision of the Company’s Chief Risk Officer (“CRO”) in coordination with the Company’s executive team, which includes our CEO, CFO, Chief Technology Officer (“CTO”) and Chief Legal Officer (“CLO”), works collaboratively across the Company to implement the Information Security Program, which is designed to protect the Company’s information systems from cybersecurity threats and to promptly respond to any cybersecurity incidents in accordance with the Company’s incident response and recovery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CISO coordinates all aspects of the Information Security Program and presents a report on the Information Security Program to the Information Cyber Security Subcommittee on a quarterly basis so that the Subcommittee is made aware of a wide range of topics including recent developments in the Information Security Program, evolving standards, vulnerability assessments, third-party and independent reviews, the threat environment, technological trends and information security considerations arising with respect to the Company’s peers and third parties.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the Company appointed a new Chief Information Security Officer (CISO). The new CISO has over 25 years of experience in Cyber Security, Information Security, Risk Management, and Information Technology. He has served as CISO and SVP at a financial institution, overseeing cyber and information security policies and ensuring compliance and security for new product implementations. Previously, he was VP, Head of Cybersecurity at another financial institution and held key roles at a financial services company. He is actively involved in advisory roles and professional boards, and he holds advanced degrees and certifications in information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security. The CISO holds a Bachelor’s in Science in Managed Information Systems from Saint Peter’s University, a Master of Science in Information Systems with a concentration in Information Security from Stevens Institute of Technology, Hoboken, NJ, and a Graduate Certificate in Business Process Management and Service Innovation from Stevens Institute of Technology, Hoboken, NJ.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Board of Directors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Board’s oversight of cybersecurity risk management is supported by the EROC, which regularly interacts with the Company’s ERM function and the CISO.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EROC oversees the Company’s ERM process, including the management of risks arising from cybersecurity threats. The EROC receives regular presentations and reports on the Information Security Program,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EROC receives prompt and timely information regarding any cybersecurity incident that meets established reporting thresholds, as well as ongoing updates regarding any such incident until it has been addressed.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not historically experienced significant cybersecurity incidents, we and other banks are subject to attacks of increasing frequency and sophistication. Any significant breach, interruption or failure of our information systems could adversely affect our business operations and our financial condition, operating results and liquidity.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Technical Safeguards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deploys technical safeguards that are designed to protect Company’s data and information systems from cybersecurity threats, including firewalls, intrusion prevention and detection systems, anti-malware functionality and access controls, which are evaluated and improved through vulnerability assessments and cybersecurity threat intelligence.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vulnerability testing, stress testing based on top cyberattack scenarios and other exercises focused on evaluating the effectiveness of our cybersecurity measures and planning and by leveraging the Federal Reserve Bank of New York methodology for cyber risk (“FFIEC CyberSecurity Assessment Tool”). The Company regularly engages third parties to perform independent assessments on our cybersecurity measures, including information security maturity assessments, audits and independent reviews of our information security control environment and operating effectiveness. The results of such assessments, audits and reviews are reported to the EROC, and the Company adjusts its cybersecurity policies, standards, processes and practices as necessary based on the information provided by these assessments, audits and reviews.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Incident Response and Recovery Planning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and maintains comprehensive incident response and recovery plans that fully address the Company’s timely and effective response to a cybersecurity incident, and such plans are tested and evaluated on an annual basis. Multidisciplinary teams throughout the Company are deployed to address cybersecurity threats and to respond to cybersecurity incidents. Through ongoing communications with these teams, the CISO monitors the prevention, detection, mitigation and remediation of cybersecurity threats and incidents in real time and reports such threats and incidents to the Executive Response Team of the Company and as guided by the Company’s Chief Risk Officer, to the Risk Committee when appropriate.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Security Incident Response Team (“SIRT”) structure includes an Executive Response Team (“ERT”). The ERT is composed of all members of the Executive Management Team, the Head of Business Continuity Management, and the CISO (if the incident is due to a cyber breach), and it oversees a Management Response Team (“MRT”). In the event of a security incident, the Company’s designated Response Coordinator, who is the Information Security Manager or the CISO’s designee, shall investigate the reported security incident and assign an initial severity level. They will gather initial facts about the security incident, analyze information it has received, identify those entities affected by the security incident, assess the preliminary severity and extent of the damage (which can be financial or reputational).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severity is assessed as Low or Medium in accordance with criteria identified in the incident response and recovery plans, the Response Coordinator will report the incident to the CISO and complete the remediation actions for the cybersecurity incident and report the final outcome to the CISO. The CISO will report to the ERT remediation of Low or Medium cybersecurity incidents at least on a quarterly basis. If the cybersecurity incident is classified as a High, or at the Response Coordinator’s discretion, the Response Coordinator will report the cybersecurity incident to the CISO and promptly convene the ERT. The ERT will determine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appropriate steps necessary to respond to the cybersecurity incident and oversee the MRT’s execution of the response. The ERT will determine whether the cybersecurity incident needs to be escalated to the Board.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Third-Party Risk Management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Third-Party Risk Management Program provides a risk-based approach to the assessment, measurement, monitoring, and control of risks related to third parties with whom the Company does business, including vendors, service providers and other external users of Company’s systems, as well as the systems of third parties that could adversely impact our business in the event of a cybersecurity incident affecting those third-party systems. In particular, the Company confirms that new and existing service providers are implementing appropriate measures to protect customer information and customer information systems in conformance with the Company’s requirements.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Education and Awareness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its Information Security Awareness Program, the Company provides regular, mandatory training regarding cybersecurity threats as a means to equip the Company’s personnel with effective tools to address cybersecurity threats, and to communicate the Company’s evolving information security policies, standards, processes and effective practices.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our three branch offices in New York City, one branch office in Washington, D.C., one commercial/ branch office in San Francisco, and one commercial/ branch office in Boston are leased. We believe that our current facilities are adequate to meet our present and foreseeable needs, subject to possible future expansion.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133,276 square feet in a building located at 275 Seventh Avenue, New York, New York 10001 that serves as our corporate headquarters.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Information and Holders of Record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“AMAL.” As of December 31, 2024, we had 30,670,982 shares of common stock outstanding and approximately 200 stockholders of record.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40" w:after="283"/>
        <w:jc w:val="both"/>
        <w:rPr/>
      </w:pPr>
      <w:r>
        <w:rPr>
          <w:rFonts w:ascii="Times New Roman;sans-serif" w:hAnsi="Times New Roman;sans-serif"/>
          <w:b w:val="false"/>
          <w:color w:val="000000"/>
          <w:sz w:val="20"/>
        </w:rPr>
        <w:t>We have historically paid a quarterly cash dividend, and intend to continue paying a quarterly cash dividend of $0.14 per share on our common stock,</w:t>
      </w:r>
      <w:r>
        <w:rPr>
          <w:color w:val="000000"/>
        </w:rPr>
        <w:t xml:space="preserve"> </w:t>
      </w:r>
      <w:r>
        <w:rPr>
          <w:rFonts w:ascii="Times New Roman;sans-serif" w:hAnsi="Times New Roman;sans-serif"/>
          <w:b w:val="false"/>
          <w:color w:val="000000"/>
          <w:sz w:val="20"/>
        </w:rPr>
        <w:t xml:space="preserve">although we may elect not to pay dividends or to change the amount of such dividends. Any actual determination relating to our dividend policy and the declaration of future dividends will be made, subject to applicable law and regulatory approvals, by our Board of Directors and will depend on a number of factors, including: (1) our historical and projected financial condition, liquidity and results of operations, (2) our capital levels and needs, (3) tax considerations, (4) any acquisitions or potential acquisitions that we may examine, (5) statutory and regulatory prohibitions and other limitations, (6) the terms of any credit agreements or other borrowing arrangements that restrict our ability to pay cash dividends, (7) general economic conditions and (8) other factors deemed relevant by our Board of Directors. </w:t>
      </w:r>
    </w:p>
    <w:p>
      <w:pPr>
        <w:pStyle w:val="TextBody"/>
        <w:bidi w:val="0"/>
        <w:spacing w:lineRule="auto" w:line="288" w:before="240" w:after="283"/>
        <w:jc w:val="both"/>
        <w:rPr/>
      </w:pPr>
      <w:r>
        <w:rPr>
          <w:rFonts w:ascii="Times New Roman;sans-serif" w:hAnsi="Times New Roman;sans-serif"/>
          <w:b w:val="false"/>
          <w:color w:val="000000"/>
          <w:sz w:val="20"/>
        </w:rPr>
        <w:t>The Company is a legal entity separate and distinct from the Bank. The Federal Reserve has issued a policy statement on the payment of cash dividends by bank holding companies, which expresses the Federal Reserve’s view that a bank holding company generally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 has also indicated that a bank holding company should not maintain a level of cash dividends that places undue pressure on the capital of its bank subsidiaries, or that can be funded only through additional borrowings or other arrangements that undermine the bank holding company’s ability to act as a source of strength.</w:t>
      </w:r>
      <w:r>
        <w:rPr>
          <w:color w:val="000000"/>
        </w:rPr>
        <w:t xml:space="preserve"> </w:t>
      </w:r>
      <w:r>
        <w:rPr>
          <w:rFonts w:ascii="Times New Roman;sans-serif" w:hAnsi="Times New Roman;sans-serif"/>
          <w:b w:val="false"/>
          <w:color w:val="000000"/>
          <w:sz w:val="20"/>
        </w:rPr>
        <w:t>As a Delaware public benefit corporation, we are also subject to certain restrictions on dividends under the DGCL. Generally, a Delaware corporation may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pStyle w:val="TextBody"/>
        <w:bidi w:val="0"/>
        <w:spacing w:lineRule="auto" w:line="288" w:before="240" w:after="283"/>
        <w:jc w:val="both"/>
        <w:rPr/>
      </w:pPr>
      <w:r>
        <w:rPr>
          <w:rFonts w:ascii="Times New Roman;sans-serif" w:hAnsi="Times New Roman;sans-serif"/>
          <w:b w:val="false"/>
          <w:color w:val="000000"/>
          <w:sz w:val="20"/>
        </w:rPr>
        <w:t>We pay cash dividends to our stockholders from our assets, which are provided primarily by dividends paid to the Company by our Bank. Certain restrictions exist regarding the ability of the Bank to transfer funds to the Company in the form of cash dividends, loans or advances. Federal bank regulators have stated that paying dividends that deplete a bank’s capital base to an inadequate level would be an unsafe and unsound banking practice and that banking organizations should generally pay dividends only out of current earnings.</w:t>
      </w:r>
      <w:r>
        <w:rPr>
          <w:color w:val="000000"/>
        </w:rPr>
        <w:t xml:space="preserve"> </w:t>
      </w:r>
      <w:r>
        <w:rPr>
          <w:rFonts w:ascii="Times New Roman;sans-serif" w:hAnsi="Times New Roman;sans-serif"/>
          <w:b w:val="false"/>
          <w:color w:val="000000"/>
          <w:sz w:val="20"/>
        </w:rPr>
        <w:t xml:space="preserve">The FDIC’s prompt corrective action regulations also prohibit depository institutions, such as the Bank, from making any “capital distribution,” which includes any transaction that the FDIC determines, by order or regulation, to be “in substance a distribution of capital,” unless the depository institution will continue to be at least adequately capitalized after the distribution is made. Pursuant to these provisions, it is possible that the FDIC would seek to prohibit the payment of dividends from the Bank to the Company if we failed to maintain a status of at least adequately capitalized. The New York Banking Law contains similar provisions. </w:t>
      </w:r>
    </w:p>
    <w:p>
      <w:pPr>
        <w:pStyle w:val="TextBody"/>
        <w:bidi w:val="0"/>
        <w:spacing w:lineRule="auto" w:line="288" w:before="240" w:after="283"/>
        <w:jc w:val="both"/>
        <w:rPr/>
      </w:pPr>
      <w:r>
        <w:rPr>
          <w:rFonts w:ascii="Times New Roman;sans-serif" w:hAnsi="Times New Roman;sans-serif"/>
          <w:b w:val="false"/>
          <w:color w:val="000000"/>
          <w:sz w:val="20"/>
        </w:rPr>
        <w:t>There can be no assurance that we will pay any dividends to holders of our common stock, or as to the amount of any such dividends. See “</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Supervision and Regulation—Amalgamated Financial Corp.—Capital Requirements and Payment of Dividends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Supervision and Regulation—Amalgamated Bank—Payment of Dividends.</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Stock Performance Graph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stock performance graph compares the cumulative total shareholder returns for the Company's common stock, KBW Bank Index, Nasdaq Composite Index and the KBW Regional Bank Index for the last five fiscal years. The graph assumes that an investor originally invested $100 in shares of the Bank's common stock at its closing price on December 31, 2019, and assumes reinvestment of dividends and other distributions to stockholders. In 2024, the Nasdaq Composite Index was selected to replace the KBW Bank Index starting 2025 as we concluded it more closely reflects the size and characteristics of the Company. In future years, we will no longer provide a comparison to the KBW Bank Index. The following stock performance graph and related information shall not be deemed to be “soliciting material” or “filed” with the SEC, or subject to the liabilities of Section 18 of the Exchange Act, nor shall such information be incorporated by reference into any future filings under the Exchange Act, except to the extent we specifically incorporate it by reference into such filing. The stock performance graph represents past performance and should not be considered an indication of future performance.</w:t>
      </w:r>
    </w:p>
    <w:p>
      <w:pPr>
        <w:pStyle w:val="TextBody"/>
        <w:bidi w:val="0"/>
        <w:spacing w:before="240" w:after="283"/>
        <w:jc w:val="both"/>
        <w:rPr/>
      </w:pPr>
      <w:r>
        <w:rPr/>
        <w:drawing>
          <wp:inline distT="0" distB="0" distL="0" distR="0">
            <wp:extent cx="6858000" cy="2838450"/>
            <wp:effectExtent l="0" t="0" r="0" b="0"/>
            <wp:docPr id="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pic:cNvPicPr>
                      <a:picLocks noChangeAspect="1" noChangeArrowheads="1"/>
                    </pic:cNvPicPr>
                  </pic:nvPicPr>
                  <pic:blipFill>
                    <a:blip r:embed="rId2"/>
                    <a:stretch>
                      <a:fillRect/>
                    </a:stretch>
                  </pic:blipFill>
                  <pic:spPr bwMode="auto">
                    <a:xfrm>
                      <a:off x="0" y="0"/>
                      <a:ext cx="6858000" cy="2838450"/>
                    </a:xfrm>
                    <a:prstGeom prst="rect">
                      <a:avLst/>
                    </a:prstGeom>
                  </pic:spPr>
                </pic:pic>
              </a:graphicData>
            </a:graphic>
          </wp:inline>
        </w:drawing>
      </w:r>
    </w:p>
    <w:tbl>
      <w:tblPr>
        <w:tblW w:w="10169" w:type="dxa"/>
        <w:jc w:val="left"/>
        <w:tblInd w:w="0" w:type="dxa"/>
        <w:tblLayout w:type="fixed"/>
        <w:tblCellMar>
          <w:top w:w="28" w:type="dxa"/>
          <w:left w:w="28" w:type="dxa"/>
          <w:bottom w:w="28" w:type="dxa"/>
          <w:right w:w="28" w:type="dxa"/>
        </w:tblCellMar>
      </w:tblPr>
      <w:tblGrid>
        <w:gridCol w:w="791"/>
        <w:gridCol w:w="694"/>
        <w:gridCol w:w="704"/>
        <w:gridCol w:w="109"/>
        <w:gridCol w:w="109"/>
        <w:gridCol w:w="286"/>
        <w:gridCol w:w="944"/>
        <w:gridCol w:w="159"/>
        <w:gridCol w:w="159"/>
        <w:gridCol w:w="159"/>
        <w:gridCol w:w="159"/>
        <w:gridCol w:w="286"/>
        <w:gridCol w:w="812"/>
        <w:gridCol w:w="159"/>
        <w:gridCol w:w="159"/>
        <w:gridCol w:w="109"/>
        <w:gridCol w:w="109"/>
        <w:gridCol w:w="196"/>
        <w:gridCol w:w="646"/>
        <w:gridCol w:w="109"/>
        <w:gridCol w:w="109"/>
        <w:gridCol w:w="109"/>
        <w:gridCol w:w="109"/>
        <w:gridCol w:w="196"/>
        <w:gridCol w:w="556"/>
        <w:gridCol w:w="109"/>
        <w:gridCol w:w="109"/>
        <w:gridCol w:w="109"/>
        <w:gridCol w:w="109"/>
        <w:gridCol w:w="196"/>
        <w:gridCol w:w="556"/>
        <w:gridCol w:w="109"/>
        <w:gridCol w:w="203"/>
        <w:gridCol w:w="578"/>
        <w:gridCol w:w="154"/>
      </w:tblGrid>
      <w:tr>
        <w:trPr/>
        <w:tc>
          <w:tcPr>
            <w:tcW w:w="7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Cumulative Total Returns Period Ending</w:t>
            </w:r>
          </w:p>
        </w:tc>
        <w:tc>
          <w:tcPr>
            <w:tcW w:w="4480" w:type="dxa"/>
            <w:gridSpan w:val="20"/>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12/31/19</w:t>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w:t>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12/31/23</w:t>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KBW Bank Index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Nasdaq Composite Index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KBW Regional Bank Index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Amalgamated Financial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Repurchases of Equity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regarding purchases of our common stock during the three months ended December 31, 2024 by or on behalf of the Company or any “affiliate purchaser” as defined in Rule 10b-18(a)(3) under the Exchange Act.</w:t>
      </w:r>
    </w:p>
    <w:tbl>
      <w:tblPr>
        <w:tblW w:w="10205" w:type="dxa"/>
        <w:jc w:val="left"/>
        <w:tblInd w:w="0" w:type="dxa"/>
        <w:tblLayout w:type="fixed"/>
        <w:tblCellMar>
          <w:top w:w="28" w:type="dxa"/>
          <w:left w:w="28" w:type="dxa"/>
          <w:bottom w:w="28" w:type="dxa"/>
          <w:right w:w="28" w:type="dxa"/>
        </w:tblCellMar>
      </w:tblPr>
      <w:tblGrid>
        <w:gridCol w:w="619"/>
        <w:gridCol w:w="406"/>
        <w:gridCol w:w="408"/>
        <w:gridCol w:w="109"/>
        <w:gridCol w:w="109"/>
        <w:gridCol w:w="109"/>
        <w:gridCol w:w="535"/>
        <w:gridCol w:w="466"/>
        <w:gridCol w:w="467"/>
        <w:gridCol w:w="109"/>
        <w:gridCol w:w="109"/>
        <w:gridCol w:w="109"/>
        <w:gridCol w:w="278"/>
        <w:gridCol w:w="834"/>
        <w:gridCol w:w="144"/>
        <w:gridCol w:w="109"/>
        <w:gridCol w:w="109"/>
        <w:gridCol w:w="109"/>
        <w:gridCol w:w="772"/>
        <w:gridCol w:w="726"/>
        <w:gridCol w:w="728"/>
        <w:gridCol w:w="109"/>
        <w:gridCol w:w="109"/>
        <w:gridCol w:w="109"/>
        <w:gridCol w:w="366"/>
        <w:gridCol w:w="1876"/>
        <w:gridCol w:w="272"/>
      </w:tblGrid>
      <w:tr>
        <w:trPr/>
        <w:tc>
          <w:tcPr>
            <w:tcW w:w="61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w:t>
            </w:r>
            <w:r>
              <w:rPr>
                <w:color w:val="000000"/>
              </w:rPr>
              <w:t xml:space="preserve">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Approximate dollar value that may yet be purchased under plans or programs</w:t>
            </w:r>
            <w:r>
              <w:rPr>
                <w:color w:val="000000"/>
              </w:rPr>
              <w:t xml:space="preserve"> </w:t>
            </w:r>
            <w:r>
              <w:rPr>
                <w:rFonts w:ascii="Times New Roman;sans-serif" w:hAnsi="Times New Roman;sans-serif"/>
                <w:b/>
                <w:color w:val="000000"/>
                <w:sz w:val="13"/>
              </w:rPr>
              <w:t>(2)</w:t>
            </w:r>
            <w:r>
              <w:rPr>
                <w:color w:val="000000"/>
              </w:rPr>
              <w:t xml:space="preserve"> </w:t>
            </w:r>
          </w:p>
        </w:tc>
      </w:tr>
      <w:tr>
        <w:trPr/>
        <w:tc>
          <w:tcPr>
            <w:tcW w:w="1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through October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19,496,499 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through November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19,496,499 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through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25,382 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18,651,265 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51,033</w:t>
            </w:r>
            <w:r>
              <w:rPr>
                <w:color w:val="000000"/>
              </w:rPr>
              <w:t>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34.49</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25,222</w:t>
            </w:r>
            <w:r>
              <w:rPr>
                <w:color w:val="000000"/>
              </w:rPr>
              <w:t> </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19,184 shares withheld by the Company for options exercises, 6,627 shares withheld for taxes related to the exercise or vesting of options and stock awards, as well as 25,222 shares repurchased pursuant to the share repurchase program described in Note (2). </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Effective February 22, 2022, our Board of Directors approved an increase to the share repurchase program authorizing the repurchase of an aggregate amount up to $40 million of our outstanding common stock. The authorization did not require us to acquire any specified number of shares and can be suspended or discontinued without prior notice. Under this authorization, $1.1 million of common stock were purchased during the year ended December 31, 2024. The approximate dollar value that may yet to be purchased under the plans or programs is $18.7 million.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7.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consolidated financial condition as of December 31, 2024, as compared to December 31, 2023, and our results of operations for the years ended December 31, 2024, December 31, 2023, and December 31, 2022.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consolidated financial statements and related notes as well as the financial and statistical data appearing elsewhere in this report. Historical results of operations and the percentage relationships among any amounts included, and any trends that may appear, may not indicate results of operations for any future periods.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generally focuses on 2024 and 2023 results and year-to-year comparisons between 2024 and 2023. Discussions of 2022 results and year-to-year comparisons between 2023 and 2022 can be found in the Management's Discussion and Analysis located in Part II, Item 7 of our annual report on Form 10-K for the fiscal year ended December 31, 2023, filed with the SEC on March 7, 2024. </w:t>
      </w:r>
    </w:p>
    <w:p>
      <w:pPr>
        <w:pStyle w:val="TextBody"/>
        <w:bidi w:val="0"/>
        <w:spacing w:lineRule="auto" w:line="288" w:before="240" w:after="283"/>
        <w:jc w:val="both"/>
        <w:rPr/>
      </w:pPr>
      <w:r>
        <w:rPr>
          <w:rFonts w:ascii="Times New Roman;sans-serif" w:hAnsi="Times New Roman;sans-serif"/>
          <w:b w:val="false"/>
          <w:color w:val="000000"/>
          <w:sz w:val="20"/>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color w:val="000000"/>
          <w:sz w:val="20"/>
        </w:rPr>
        <w:t xml:space="preserve">beginning on page ii of this report.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this discussion, unless the context indicates otherwise, references to “we,” “us,” and “our” refer to the Company and the Bank. However, if the discussion relates to a period before the Effective Date of our Reorganization, the terms refer only to the 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Amalgamated Financial Corp., a Delaware public benefit corporation was formed on August 25, 2020 to serve as the holding company for the Bank, which was formed in 1923 as Amalgamated Bank of New York by the Amalgamated Clothing Workers of America, one of the country’s oldest labor unions. On March 1, 2021, the Company acquired all of the outstanding stock of the Bank and the Bank became the sole subsidiary of the Company.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37% of our equity as of December 31, 2024. As of December 31, 2024, our total assets were $8.26 billion, our total loans, net of deferred fees and allowance were $4.61 billion, our total deposits were $7.18 billion, and our stockholders' equity was $707.7 million. As of December 31, 2024, our trust business held $35.02 billion in assets under custody and $14.62 billion in assets under management.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Product line includes residential mortgage loans, C&amp;I loans, CRE loans, multifamily mortgages, consumer loans (predominantly residential solar) and a variety of commercial and consumer deposit products, including non-interest 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organizations, foundations, socially responsible businesses, and other for-profit companies that seek to ensure their profit-making activities align for the benefit of all their stakeholders.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both"/>
        <w:rPr/>
      </w:pPr>
      <w:r>
        <w:rPr>
          <w:rFonts w:ascii="Times New Roman;sans-serif" w:hAnsi="Times New Roman;sans-serif"/>
          <w:b w:val="false"/>
          <w:color w:val="000000"/>
          <w:sz w:val="20"/>
        </w:rPr>
        <w:t xml:space="preserve">Our consolidated financial statements are prepared based on the application of generally accepted accounting policies ("GAAP") in the United States, or GAAP, the most significant of which are described in Note 1 of our audited consolidated financial statements, starting on page </w:t>
      </w:r>
      <w:hyperlink w:anchor="iac394f25749c4972acadec6e129385c2_154">
        <w:r>
          <w:rPr>
            <w:rStyle w:val="InternetLink"/>
            <w:rFonts w:ascii="Times New Roman;sans-serif" w:hAnsi="Times New Roman;sans-serif"/>
            <w:b w:val="false"/>
            <w:strike w:val="false"/>
            <w:dstrike w:val="false"/>
            <w:color w:val="000000"/>
            <w:sz w:val="20"/>
            <w:u w:val="none"/>
            <w:effect w:val="none"/>
          </w:rPr>
          <w:t>86</w:t>
        </w:r>
      </w:hyperlink>
      <w:r>
        <w:rPr>
          <w:rFonts w:ascii="Times New Roman;sans-serif" w:hAnsi="Times New Roman;sans-serif"/>
          <w:b w:val="false"/>
          <w:color w:val="000000"/>
          <w:sz w:val="20"/>
        </w:rPr>
        <w:t xml:space="preserve"> of this report.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pStyle w:val="TextBody"/>
        <w:bidi w:val="0"/>
        <w:spacing w:lineRule="auto" w:line="288" w:before="240" w:after="283"/>
        <w:jc w:val="both"/>
        <w:rPr/>
      </w:pPr>
      <w:r>
        <w:rPr>
          <w:rFonts w:ascii="Times New Roman;sans-serif" w:hAnsi="Times New Roman;sans-serif"/>
          <w:b w:val="false"/>
          <w:color w:val="000000"/>
          <w:sz w:val="20"/>
        </w:rPr>
        <w:t xml:space="preserve">The following is a discussion of the critical accounting policies and significant estimates that require us to make complex and subjective judgments. Additional information about these policies can be found in Note 1 of our consolidated financial statements, which begin on page </w:t>
      </w:r>
      <w:hyperlink w:anchor="iac394f25749c4972acadec6e129385c2_154">
        <w:r>
          <w:rPr>
            <w:rStyle w:val="InternetLink"/>
            <w:rFonts w:ascii="Times New Roman;sans-serif" w:hAnsi="Times New Roman;sans-serif"/>
            <w:b w:val="false"/>
            <w:strike w:val="false"/>
            <w:dstrike w:val="false"/>
            <w:color w:val="000000"/>
            <w:sz w:val="20"/>
            <w:u w:val="none"/>
            <w:effect w:val="none"/>
          </w:rPr>
          <w:t>86</w:t>
        </w:r>
      </w:hyperlink>
      <w:r>
        <w:rPr>
          <w:rFonts w:ascii="Times New Roman;sans-serif" w:hAnsi="Times New Roman;sans-serif"/>
          <w:b w:val="false"/>
          <w:color w:val="000000"/>
          <w:sz w:val="20"/>
        </w:rPr>
        <w:t xml:space="preserve"> of this report.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 on loans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Methods and Assumptions Underlying the Estimate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2023, we adopted the Current Expected Credit Losses (“CECL”) Standard, which requires that loans held for investment be accounted for under the current expected credit losses model. 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for loans that share similar risk characteristics. For a loan that does not share risk characteristics with other loans, the Company will evaluate the loan on an individual basis. Within the model, assumptions are made in the determination of baseline loss rates, severity rates, reasonable and supportable economic forecasts, and prepayment rates.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the sensitivity of key assumptions at least annually by stressing the assumptions to understand the impact on the model. While management utilizes its best judgment and information available, the ultimate adequacy of our allowance is dependent upon a variety of factors beyond our control which are inherently difficult to predict, the most significant being the macroeconomic forecasts. The Company's forecast of economic conditions considers baseline, favorable, and adverse scenarios. As economic conditions can change, the anticipated amount of estimated loan defaults and losses, and therefore the adequacy of the allowance, could change significantly. Economic conditions more favorable than forecasted could lead to reductions in the amount of the allowance, and conversely conditions more adverse than forecasted could require increases in the amount of the allowance. Changes in economic forecasts may not occur in the same direction or magnitude across all segments of our loan portfolio and deterioration in some quantitative inputs may offset improvement in others. The Company selects the economic forecast that is most reflective of expectations at that point in time, and changes could significantly impact the calculated estimated credit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segments that rely on a peer group to develop baseline loss rates, statistical regression is utilized to relate historical macro-economic variables to historical credit loss experience of a peer group of banks. These models are then utilized to forecast future expected credit losses based on expected future behavior of the same macro-economic variables. Adjustments to the quantitative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are made using qualitative factors. These factors include: (1) borrower's financial condition; (2) borrower's ability to pay; (3) nature and volume of financial assets; (4) value of the underlying collateral; (5) lending policies and procedures; (6) quality of the loan review system; (7) the experience, ability, and depth of staff; (8) regulatory and legal environment; (9) changes in market conditions; and (10) changes in economic conditions.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loans that do not share risk characteristics, the Company evaluates these loans on an individual basis based on various factors. Factors that may be considered are borrower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Uncertainties Regarding the Estimate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Estimating the timing and amounts of future credit losses is subject to significant management judgment as these projected cash flows rely upon the estimates discussed within the Allowance for Credit Losses policy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on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would materially decrease our net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significant credit losses if borrowers experience financial difficulties, which could have a material adverse effect on our operating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40" w:after="283"/>
        <w:jc w:val="both"/>
        <w:rPr/>
      </w:pPr>
      <w:r>
        <w:rPr>
          <w:rFonts w:ascii="Times New Roman;sans-serif" w:hAnsi="Times New Roman;sans-serif"/>
          <w:b w:val="false"/>
          <w:color w:val="000000"/>
          <w:sz w:val="20"/>
        </w:rPr>
        <w:t xml:space="preserve">See Note 2 of our consolidated financial statements, which are included beginning on page </w:t>
      </w:r>
      <w:hyperlink w:anchor="iac394f25749c4972acadec6e129385c2_157">
        <w:r>
          <w:rPr>
            <w:rStyle w:val="InternetLink"/>
            <w:rFonts w:ascii="Times New Roman;sans-serif" w:hAnsi="Times New Roman;sans-serif"/>
            <w:b w:val="false"/>
            <w:strike w:val="false"/>
            <w:dstrike w:val="false"/>
            <w:color w:val="000000"/>
            <w:sz w:val="20"/>
            <w:u w:val="none"/>
            <w:effect w:val="none"/>
          </w:rPr>
          <w:t>94</w:t>
        </w:r>
      </w:hyperlink>
      <w:r>
        <w:rPr>
          <w:rFonts w:ascii="Times New Roman;sans-serif" w:hAnsi="Times New Roman;sans-serif"/>
          <w:b w:val="false"/>
          <w:color w:val="000000"/>
          <w:sz w:val="20"/>
        </w:rPr>
        <w:t xml:space="preserve"> of this report for a discussion of recently issued accounting pronouncements that have been or will be adopted by us that will require enhanced disclosures in our financial statements in future periods.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Impact of Inflation and Changing Interest Rates</w:t>
      </w:r>
    </w:p>
    <w:p>
      <w:pPr>
        <w:pStyle w:val="TextBody"/>
        <w:bidi w:val="0"/>
        <w:spacing w:lineRule="auto" w:line="288" w:before="240" w:after="283"/>
        <w:jc w:val="both"/>
        <w:rPr/>
      </w:pPr>
      <w:r>
        <w:rPr>
          <w:rFonts w:ascii="Times New Roman;sans-serif" w:hAnsi="Times New Roman;sans-serif"/>
          <w:b w:val="false"/>
          <w:color w:val="000000"/>
          <w:sz w:val="20"/>
        </w:rPr>
        <w:t>Our consolidated financial statements have been prepared in accordance with GAAP, which requires us to measure financial position and operating results primarily in terms of historic dollars. Changes in the relative value of money due to inflation or recession generally are not considered. The primary effect of inflation on our operations is reflected in increased operating costs. Unlike most industrial companies, our assets and liabilities are primarily monetary in nature. Therefore, the effect of changes in interest rates will have a more significant effect on our performance than will the effect of changing prices and inflation in general. While interest rates are greatly influenced by changes in the inflation rate, they do not necessarily change at the same rate or in the same magnitude as the inflation rate. Interest rates are highly sensitive to many factors that are beyond our control, including changes in the expected rate of inflation, the influence of general and local economic conditions and the monetary and fiscal policies of the United States government, its agencies and various other governmental regulatory authorities. For more information about how we evaluate interest rate risk, please see the section entitled “</w:t>
      </w:r>
      <w:r>
        <w:rPr>
          <w:rFonts w:ascii="Times New Roman;sans-serif" w:hAnsi="Times New Roman;sans-serif"/>
          <w:b w:val="false"/>
          <w:i/>
          <w:color w:val="000000"/>
          <w:sz w:val="20"/>
        </w:rPr>
        <w:t>Quantitative and Qualitative Disclosures about Market Risk – Evaluation of Interest Rate Risk</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on deposits and borrowings. Our results of operations are also dependent on non-interest income, consisting primarily of income from Trust Department fees, service charges on deposit accounts, net gains or losses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data processing fees and other miscellaneous operating costs.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Net income for the </w:t>
      </w:r>
      <w:r>
        <w:rPr>
          <w:rFonts w:ascii="Times New Roman;sans-serif" w:hAnsi="Times New Roman;sans-serif"/>
          <w:b w:val="false"/>
          <w:color w:val="000000"/>
          <w:sz w:val="20"/>
        </w:rPr>
        <w:t>year</w:t>
      </w:r>
      <w:r>
        <w:rPr>
          <w:color w:val="000000"/>
          <w:shd w:fill="FFFFFF" w:val="clear"/>
        </w:rPr>
        <w:t xml:space="preserve"> </w:t>
      </w:r>
      <w:r>
        <w:rPr>
          <w:rFonts w:ascii="Times New Roman;sans-serif" w:hAnsi="Times New Roman;sans-serif"/>
          <w:b w:val="false"/>
          <w:color w:val="000000"/>
          <w:sz w:val="20"/>
          <w:shd w:fill="FFFFFF" w:val="clear"/>
        </w:rPr>
        <w:t xml:space="preserve">ended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was $106.4 million, </w:t>
      </w:r>
      <w:r>
        <w:rPr>
          <w:rFonts w:ascii="Times New Roman;sans-serif" w:hAnsi="Times New Roman;sans-serif"/>
          <w:b w:val="false"/>
          <w:color w:val="000000"/>
          <w:sz w:val="20"/>
        </w:rPr>
        <w:t>or $3.44 per average diluted share, compared to $88.0 million, or $2.86 per average diluted share, for the same period in 2023. The $18.4 million increase was primarily due to net interest income which increased by $21.1 million, a decrease in provision for credit losses of $4.4 million, and an increase of non-interest income of $3.9 million, offset by an increase in non-interest expense of $8.6 million, and an increase in income tax expense of $2.4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Interest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FHLBNY advances, subordinated debt, and other borrowings. To evaluate net interest income, we measure and monitor (i) yields on our loans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net interest-earning assets. Average balances were derived from average daily balances. Because non-interest-bearing sources of funds, such as non-interest-bearing deposits and stockholders’ equity, also fund interest-earning assets, net interest margin includes the benefit of these non-interest-bearing sources.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related to our average balance sheet, average yields on assets, and average costs of liabilities for the periods indicated:</w:t>
      </w:r>
    </w:p>
    <w:tbl>
      <w:tblPr>
        <w:tblW w:w="13321" w:type="dxa"/>
        <w:jc w:val="left"/>
        <w:tblInd w:w="0" w:type="dxa"/>
        <w:tblLayout w:type="fixed"/>
        <w:tblCellMar>
          <w:top w:w="28" w:type="dxa"/>
          <w:left w:w="28" w:type="dxa"/>
          <w:bottom w:w="28" w:type="dxa"/>
          <w:right w:w="28" w:type="dxa"/>
        </w:tblCellMar>
      </w:tblPr>
      <w:tblGrid>
        <w:gridCol w:w="850"/>
        <w:gridCol w:w="444"/>
        <w:gridCol w:w="447"/>
        <w:gridCol w:w="109"/>
        <w:gridCol w:w="196"/>
        <w:gridCol w:w="871"/>
        <w:gridCol w:w="109"/>
        <w:gridCol w:w="109"/>
        <w:gridCol w:w="109"/>
        <w:gridCol w:w="109"/>
        <w:gridCol w:w="196"/>
        <w:gridCol w:w="736"/>
        <w:gridCol w:w="109"/>
        <w:gridCol w:w="109"/>
        <w:gridCol w:w="109"/>
        <w:gridCol w:w="109"/>
        <w:gridCol w:w="233"/>
        <w:gridCol w:w="233"/>
        <w:gridCol w:w="253"/>
        <w:gridCol w:w="109"/>
        <w:gridCol w:w="109"/>
        <w:gridCol w:w="109"/>
        <w:gridCol w:w="196"/>
        <w:gridCol w:w="871"/>
        <w:gridCol w:w="109"/>
        <w:gridCol w:w="109"/>
        <w:gridCol w:w="109"/>
        <w:gridCol w:w="109"/>
        <w:gridCol w:w="196"/>
        <w:gridCol w:w="736"/>
        <w:gridCol w:w="109"/>
        <w:gridCol w:w="109"/>
        <w:gridCol w:w="109"/>
        <w:gridCol w:w="109"/>
        <w:gridCol w:w="233"/>
        <w:gridCol w:w="233"/>
        <w:gridCol w:w="253"/>
        <w:gridCol w:w="109"/>
        <w:gridCol w:w="109"/>
        <w:gridCol w:w="109"/>
        <w:gridCol w:w="196"/>
        <w:gridCol w:w="871"/>
        <w:gridCol w:w="109"/>
        <w:gridCol w:w="109"/>
        <w:gridCol w:w="109"/>
        <w:gridCol w:w="109"/>
        <w:gridCol w:w="196"/>
        <w:gridCol w:w="736"/>
        <w:gridCol w:w="109"/>
        <w:gridCol w:w="109"/>
        <w:gridCol w:w="109"/>
        <w:gridCol w:w="109"/>
        <w:gridCol w:w="233"/>
        <w:gridCol w:w="233"/>
        <w:gridCol w:w="300"/>
      </w:tblGrid>
      <w:tr>
        <w:trPr/>
        <w:tc>
          <w:tcPr>
            <w:tcW w:w="85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1"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br/>
              <w:t>Rate</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 in banks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Securities</w:t>
            </w:r>
            <w:r>
              <w:rPr>
                <w:rFonts w:ascii="Times New Roman;sans-serif" w:hAnsi="Times New Roman;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Resell agreements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loans </w:t>
            </w:r>
            <w:r>
              <w:rPr>
                <w:rFonts w:ascii="Times New Roman;sans-serif" w:hAnsi="Times New Roman;sans-serif"/>
                <w:b w:val="false"/>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4,479,038 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3,615,437 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8,040,777 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7,662,269 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7,447,011 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Non-interest-earning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8,264,780 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7,876,311 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7,727,165 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Savings, NOW and money market deposits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3,344,407 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Brokered CDs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0.28 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interest-bearing deposits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4,032,606 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3,876,407 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4,173,145 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4,226,446 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3,377,444 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Non-interest-bearing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Demand and transaction deposits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7,615,437 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7,345,229 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7,206,527 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8,264,780 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7,876,311 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7,727,165 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Net interest income / interest rate spread</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Net yield on interest-earning assets / net interest margin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Deposits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2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2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0.16 </w:t>
            </w:r>
          </w:p>
        </w:tc>
        <w:tc>
          <w:tcPr>
            <w:tcW w:w="3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Includes FHLBNY stock in the average balance, and dividend income on FHLBNY stock in interest income.</w:t>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Amounts are net of deferred origination fees and costs. With the adoption of the CECL standard on January 1, 2023, the average balance of the allowance for credit losses on loans was reclassified for all presented periods to other assets to allow for comparability.</w:t>
      </w:r>
    </w:p>
    <w:p>
      <w:pPr>
        <w:pStyle w:val="TextBody"/>
        <w:bidi w:val="0"/>
        <w:spacing w:lineRule="auto" w:line="288" w:before="0" w:after="0"/>
        <w:jc w:val="left"/>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Includes prepayment penalty income in 2024, 2023, and 2022 of $0.1 million, $0.1 million, and $1.7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was $282.4 million for the year ended December 31, 2024, compared to $261.3 million for the same period in 2023. The $21.1 million, or 8.1% increase was primarily attributable to an increase in yields earned on securities and loans. These impacts are partially offset by an increase in the expense of interest-bearing deposits and an increase in the cost of funds.</w:t>
      </w:r>
    </w:p>
    <w:p>
      <w:pPr>
        <w:pStyle w:val="TextBody"/>
        <w:bidi w:val="0"/>
        <w:spacing w:lineRule="auto" w:line="288" w:before="240" w:after="283"/>
        <w:jc w:val="both"/>
        <w:rPr/>
      </w:pPr>
      <w:r>
        <w:rPr>
          <w:rFonts w:ascii="Times New Roman;sans-serif" w:hAnsi="Times New Roman;sans-serif"/>
          <w:b w:val="false"/>
          <w:color w:val="000000"/>
          <w:sz w:val="20"/>
        </w:rPr>
        <w:t xml:space="preserve">Net interest spread was </w:t>
      </w:r>
      <w:r>
        <w:rPr>
          <w:rFonts w:ascii="Times New Roman;sans-serif" w:hAnsi="Times New Roman;sans-serif"/>
          <w:b w:val="false"/>
          <w:color w:val="000000"/>
          <w:sz w:val="20"/>
          <w:shd w:fill="FFFFFF" w:val="clear"/>
        </w:rPr>
        <w:t xml:space="preserve">2.14% </w:t>
      </w:r>
      <w:r>
        <w:rPr>
          <w:rFonts w:ascii="Times New Roman;sans-serif" w:hAnsi="Times New Roman;sans-serif"/>
          <w:b w:val="false"/>
          <w:color w:val="000000"/>
          <w:sz w:val="20"/>
        </w:rPr>
        <w:t>for the year ended December 31, 2024, compared to 2.38% for the same period in 2023, a decrease of</w:t>
      </w:r>
      <w:r>
        <w:rPr>
          <w:color w:val="000000"/>
          <w:shd w:fill="FFFFFF" w:val="clear"/>
        </w:rPr>
        <w:t xml:space="preserve"> </w:t>
      </w:r>
      <w:r>
        <w:rPr>
          <w:rFonts w:ascii="Times New Roman;sans-serif" w:hAnsi="Times New Roman;sans-serif"/>
          <w:b w:val="false"/>
          <w:color w:val="000000"/>
          <w:sz w:val="20"/>
          <w:shd w:fill="FFFFFF" w:val="clear"/>
        </w:rPr>
        <w:t xml:space="preserve">24 </w:t>
      </w:r>
      <w:r>
        <w:rPr>
          <w:rFonts w:ascii="Times New Roman;sans-serif" w:hAnsi="Times New Roman;sans-serif"/>
          <w:b w:val="false"/>
          <w:color w:val="000000"/>
          <w:sz w:val="20"/>
        </w:rPr>
        <w:t>basis points. Our net interest margin was</w:t>
      </w:r>
      <w:r>
        <w:rPr>
          <w:color w:val="000000"/>
          <w:shd w:fill="FFFFFF" w:val="clear"/>
        </w:rPr>
        <w:t xml:space="preserve"> </w:t>
      </w:r>
      <w:r>
        <w:rPr>
          <w:rFonts w:ascii="Times New Roman;sans-serif" w:hAnsi="Times New Roman;sans-serif"/>
          <w:b w:val="false"/>
          <w:color w:val="000000"/>
          <w:sz w:val="20"/>
          <w:shd w:fill="FFFFFF" w:val="clear"/>
        </w:rPr>
        <w:t>3.51% fo</w:t>
      </w:r>
      <w:r>
        <w:rPr>
          <w:rFonts w:ascii="Times New Roman;sans-serif" w:hAnsi="Times New Roman;sans-serif"/>
          <w:b w:val="false"/>
          <w:color w:val="000000"/>
          <w:sz w:val="20"/>
        </w:rPr>
        <w:t xml:space="preserve">r the year ended December 31, 2024, an increase of </w:t>
      </w:r>
      <w:r>
        <w:rPr>
          <w:rFonts w:ascii="Times New Roman;sans-serif" w:hAnsi="Times New Roman;sans-serif"/>
          <w:b w:val="false"/>
          <w:color w:val="000000"/>
          <w:sz w:val="20"/>
          <w:shd w:fill="FFFFFF" w:val="clear"/>
        </w:rPr>
        <w:t>10 b</w:t>
      </w:r>
      <w:r>
        <w:rPr>
          <w:rFonts w:ascii="Times New Roman;sans-serif" w:hAnsi="Times New Roman;sans-serif"/>
          <w:b w:val="false"/>
          <w:color w:val="000000"/>
          <w:sz w:val="20"/>
        </w:rPr>
        <w:t>asis points from</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shd w:fill="FFFFFF" w:val="clear"/>
        </w:rPr>
        <w:t>3.41%</w:t>
      </w:r>
      <w:r>
        <w:rPr>
          <w:color w:val="000000"/>
        </w:rPr>
        <w:t xml:space="preserve"> </w:t>
      </w:r>
      <w:r>
        <w:rPr>
          <w:rFonts w:ascii="Times New Roman;sans-serif" w:hAnsi="Times New Roman;sans-serif"/>
          <w:b w:val="false"/>
          <w:color w:val="000000"/>
          <w:sz w:val="20"/>
        </w:rPr>
        <w:t>in the same period in 2023. This was largely due to the continued loan growth, as well as increase in yields earned on loans and securities outpacing the increase in the cost of funds.</w:t>
      </w:r>
    </w:p>
    <w:p>
      <w:pPr>
        <w:pStyle w:val="TextBody"/>
        <w:bidi w:val="0"/>
        <w:spacing w:lineRule="auto" w:line="288" w:before="240" w:after="283"/>
        <w:jc w:val="both"/>
        <w:rPr/>
      </w:pPr>
      <w:r>
        <w:rPr>
          <w:rFonts w:ascii="Times New Roman;sans-serif" w:hAnsi="Times New Roman;sans-serif"/>
          <w:b w:val="false"/>
          <w:color w:val="000000"/>
          <w:sz w:val="20"/>
        </w:rPr>
        <w:t xml:space="preserve">The yield on average earning assets was </w:t>
      </w:r>
      <w:r>
        <w:rPr>
          <w:rFonts w:ascii="Times New Roman;sans-serif" w:hAnsi="Times New Roman;sans-serif"/>
          <w:b w:val="false"/>
          <w:color w:val="000000"/>
          <w:sz w:val="20"/>
          <w:shd w:fill="FFFFFF" w:val="clear"/>
        </w:rPr>
        <w:t>4.99%</w:t>
      </w:r>
      <w:r>
        <w:rPr>
          <w:color w:val="000000"/>
        </w:rPr>
        <w:t xml:space="preserve"> </w:t>
      </w:r>
      <w:r>
        <w:rPr>
          <w:rFonts w:ascii="Times New Roman;sans-serif" w:hAnsi="Times New Roman;sans-serif"/>
          <w:b w:val="false"/>
          <w:color w:val="000000"/>
          <w:sz w:val="20"/>
        </w:rPr>
        <w:t xml:space="preserve">for the year ended December 31, 2024, compared to 4.67% for the same period in 2023, an increase of </w:t>
      </w:r>
      <w:r>
        <w:rPr>
          <w:rFonts w:ascii="Times New Roman;sans-serif" w:hAnsi="Times New Roman;sans-serif"/>
          <w:b w:val="false"/>
          <w:color w:val="000000"/>
          <w:sz w:val="20"/>
          <w:shd w:fill="FFFFFF" w:val="clear"/>
        </w:rPr>
        <w:t xml:space="preserve">32 </w:t>
      </w:r>
      <w:r>
        <w:rPr>
          <w:rFonts w:ascii="Times New Roman;sans-serif" w:hAnsi="Times New Roman;sans-serif"/>
          <w:b w:val="false"/>
          <w:color w:val="000000"/>
          <w:sz w:val="20"/>
        </w:rPr>
        <w:t>basis points. This increase was driven primarily by the rising rate environment and an increase in average loan balances.</w:t>
      </w:r>
    </w:p>
    <w:p>
      <w:pPr>
        <w:pStyle w:val="TextBody"/>
        <w:bidi w:val="0"/>
        <w:spacing w:lineRule="auto" w:line="288" w:before="240" w:after="283"/>
        <w:jc w:val="both"/>
        <w:rPr/>
      </w:pPr>
      <w:r>
        <w:rPr>
          <w:rFonts w:ascii="Times New Roman;sans-serif" w:hAnsi="Times New Roman;sans-serif"/>
          <w:b w:val="false"/>
          <w:color w:val="000000"/>
          <w:sz w:val="20"/>
        </w:rPr>
        <w:t xml:space="preserve">The average rate on interest-bearing liabilities was 2.85% for the year ended December 31, 2024, an increase of </w:t>
      </w:r>
      <w:r>
        <w:rPr>
          <w:rFonts w:ascii="Times New Roman;sans-serif" w:hAnsi="Times New Roman;sans-serif"/>
          <w:b w:val="false"/>
          <w:color w:val="000000"/>
          <w:sz w:val="20"/>
          <w:shd w:fill="FFFFFF" w:val="clear"/>
        </w:rPr>
        <w:t xml:space="preserve">56 </w:t>
      </w:r>
      <w:r>
        <w:rPr>
          <w:rFonts w:ascii="Times New Roman;sans-serif" w:hAnsi="Times New Roman;sans-serif"/>
          <w:b w:val="false"/>
          <w:color w:val="000000"/>
          <w:sz w:val="20"/>
        </w:rPr>
        <w:t>basis points from the same period in 2023, which was primarily due to the rising rate environment, growth in interest-bearing deposits as customers moved into reciprocal products, as well as the utilization of brokered CDs and other borrowings. Non-interest-bearing deposits represented 46% of average deposits for the year ended December 31, 2024, compared to 44% for the year ended December 31,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Rate-Volume Analysis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32"/>
        <w:gridCol w:w="1032"/>
        <w:gridCol w:w="1040"/>
        <w:gridCol w:w="109"/>
        <w:gridCol w:w="109"/>
        <w:gridCol w:w="109"/>
        <w:gridCol w:w="243"/>
        <w:gridCol w:w="243"/>
        <w:gridCol w:w="243"/>
        <w:gridCol w:w="243"/>
        <w:gridCol w:w="470"/>
        <w:gridCol w:w="1609"/>
        <w:gridCol w:w="243"/>
        <w:gridCol w:w="109"/>
        <w:gridCol w:w="109"/>
        <w:gridCol w:w="109"/>
        <w:gridCol w:w="287"/>
        <w:gridCol w:w="928"/>
        <w:gridCol w:w="148"/>
        <w:gridCol w:w="109"/>
        <w:gridCol w:w="109"/>
        <w:gridCol w:w="109"/>
        <w:gridCol w:w="216"/>
        <w:gridCol w:w="741"/>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 2024 over December 31, 2023</w:t>
            </w:r>
          </w:p>
        </w:tc>
        <w:tc>
          <w:tcPr>
            <w:tcW w:w="3138" w:type="dxa"/>
            <w:gridSpan w:val="1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Changes Due To</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Change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in banks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Resell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19,504 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NOW and money market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CDs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30,487 </w:t>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w:t>
            </w:r>
          </w:p>
        </w:tc>
        <w:tc>
          <w:tcPr>
            <w:tcW w:w="1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21,119 </w:t>
            </w:r>
          </w:p>
        </w:tc>
        <w:tc>
          <w:tcPr>
            <w:tcW w:w="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tbl>
      <w:tblPr>
        <w:tblW w:w="7948" w:type="dxa"/>
        <w:jc w:val="left"/>
        <w:tblInd w:w="0" w:type="dxa"/>
        <w:tblLayout w:type="fixed"/>
        <w:tblCellMar>
          <w:top w:w="28" w:type="dxa"/>
          <w:left w:w="28" w:type="dxa"/>
          <w:bottom w:w="28" w:type="dxa"/>
          <w:right w:w="28" w:type="dxa"/>
        </w:tblCellMar>
      </w:tblPr>
      <w:tblGrid>
        <w:gridCol w:w="1291"/>
        <w:gridCol w:w="1135"/>
        <w:gridCol w:w="1143"/>
        <w:gridCol w:w="211"/>
        <w:gridCol w:w="796"/>
        <w:gridCol w:w="109"/>
        <w:gridCol w:w="109"/>
        <w:gridCol w:w="109"/>
        <w:gridCol w:w="109"/>
        <w:gridCol w:w="301"/>
        <w:gridCol w:w="1029"/>
        <w:gridCol w:w="155"/>
        <w:gridCol w:w="109"/>
        <w:gridCol w:w="109"/>
        <w:gridCol w:w="109"/>
        <w:gridCol w:w="218"/>
        <w:gridCol w:w="747"/>
        <w:gridCol w:w="159"/>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 2023 over December 31, 2022</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Changes Due To</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Change</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Interest-earning assets: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in banks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Resell agreements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income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Interest-bearing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NOW and money market 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CDs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deposits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interest income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36,298 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21,471 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Provision for Credit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an allowance for credit losses through a provision for credit losses charged as an expense in our Consolidated Statements of Income. On January 1, 2023, we adopted the CECL standard for calculating the allowance for credit losses and the provision for credit losses. For further discussion of the adoption of and methodology under the CECL standard, refer to Note 1 and Note 2 to the Consolidated Financial Statements in Item 8 of this Form 10-K.</w:t>
      </w:r>
    </w:p>
    <w:p>
      <w:pPr>
        <w:pStyle w:val="TextBody"/>
        <w:bidi w:val="0"/>
        <w:spacing w:lineRule="auto" w:line="288" w:before="240" w:after="283"/>
        <w:jc w:val="both"/>
        <w:rPr/>
      </w:pPr>
      <w:r>
        <w:rPr>
          <w:rFonts w:ascii="Times New Roman;sans-serif" w:hAnsi="Times New Roman;sans-serif"/>
          <w:b w:val="false"/>
          <w:color w:val="000000"/>
          <w:sz w:val="20"/>
        </w:rPr>
        <w:t xml:space="preserve">Provision for credit losses totaled an expense of </w:t>
      </w:r>
      <w:r>
        <w:rPr>
          <w:rFonts w:ascii="Times New Roman;sans-serif" w:hAnsi="Times New Roman;sans-serif"/>
          <w:b w:val="false"/>
          <w:color w:val="000000"/>
          <w:sz w:val="20"/>
          <w:shd w:fill="FFFFFF" w:val="clear"/>
        </w:rPr>
        <w:t>$10.3 million</w:t>
      </w:r>
      <w:r>
        <w:rPr>
          <w:color w:val="000000"/>
        </w:rPr>
        <w:t xml:space="preserve"> </w:t>
      </w:r>
      <w:r>
        <w:rPr>
          <w:rFonts w:ascii="Times New Roman;sans-serif" w:hAnsi="Times New Roman;sans-serif"/>
          <w:b w:val="false"/>
          <w:color w:val="000000"/>
          <w:sz w:val="20"/>
        </w:rPr>
        <w:t xml:space="preserve">for the year ended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compared to an expense of </w:t>
      </w:r>
      <w:r>
        <w:rPr>
          <w:rFonts w:ascii="Times New Roman;sans-serif" w:hAnsi="Times New Roman;sans-serif"/>
          <w:b w:val="false"/>
          <w:color w:val="000000"/>
          <w:sz w:val="20"/>
          <w:shd w:fill="FFFFFF" w:val="clear"/>
        </w:rPr>
        <w:t>$14.7 million</w:t>
      </w:r>
      <w:r>
        <w:rPr>
          <w:color w:val="000000"/>
        </w:rPr>
        <w:t xml:space="preserve"> </w:t>
      </w:r>
      <w:r>
        <w:rPr>
          <w:rFonts w:ascii="Times New Roman;sans-serif" w:hAnsi="Times New Roman;sans-serif"/>
          <w:b w:val="false"/>
          <w:color w:val="000000"/>
          <w:sz w:val="20"/>
        </w:rPr>
        <w:t xml:space="preserve">for the same period in 2023. For the year ended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the provision for credit losses on loans totaled $10.4 million, the provision for credit losses on securities totaled $18.8 thousand, and the provision for credit losses on off-balance sheet credit exposures was a release of reserves of </w:t>
      </w:r>
      <w:r>
        <w:rPr>
          <w:rFonts w:ascii="Times New Roman;sans-serif" w:hAnsi="Times New Roman;sans-serif"/>
          <w:b w:val="false"/>
          <w:color w:val="000000"/>
          <w:sz w:val="20"/>
          <w:shd w:fill="FFFFFF" w:val="clear"/>
        </w:rPr>
        <w:t>$50.0 thousand</w:t>
      </w:r>
      <w:r>
        <w:rPr>
          <w:rFonts w:ascii="Times New Roman;sans-serif" w:hAnsi="Times New Roman;sans-serif"/>
          <w:b w:val="false"/>
          <w:color w:val="000000"/>
          <w:sz w:val="20"/>
        </w:rPr>
        <w:t>. For the year ended December 31, 2023, the provision for credit losses on loans totaled $13.5 million, the provision for credit losses on securities totaled $1.2 million, and the provision for credit losses on off-balance sheet credit exposures was a release of reserves of $0.1 million. Overall, the provision expense on loans was primarily driven by portfolio growth, charge-offs on consumer solar loans, and certain individual reserves, offset by improvements in macro-economic forecasts used in the CECL model and releases of reserves due to lower unfunded exposures.</w:t>
      </w:r>
    </w:p>
    <w:p>
      <w:pPr>
        <w:pStyle w:val="TextBody"/>
        <w:bidi w:val="0"/>
        <w:spacing w:lineRule="auto" w:line="288" w:before="240" w:after="283"/>
        <w:jc w:val="both"/>
        <w:rPr/>
      </w:pPr>
      <w:r>
        <w:rPr>
          <w:rFonts w:ascii="Times New Roman;sans-serif" w:hAnsi="Times New Roman;sans-serif"/>
          <w:b w:val="false"/>
          <w:color w:val="000000"/>
          <w:sz w:val="20"/>
        </w:rPr>
        <w:t>For a further discussion of the allowance, see “</w:t>
      </w:r>
      <w:r>
        <w:rPr>
          <w:rFonts w:ascii="Times New Roman;sans-serif" w:hAnsi="Times New Roman;sans-serif"/>
          <w:b w:val="false"/>
          <w:i/>
          <w:color w:val="000000"/>
          <w:sz w:val="20"/>
        </w:rPr>
        <w:t>Allowance for Credit Losses</w:t>
      </w:r>
      <w:r>
        <w:rPr>
          <w:color w:val="000000"/>
        </w:rPr>
        <w:t xml:space="preserve">” </w:t>
      </w:r>
      <w:r>
        <w:rPr>
          <w:rFonts w:ascii="Times New Roman;sans-serif" w:hAnsi="Times New Roman;sans-serif"/>
          <w:b w:val="false"/>
          <w:color w:val="000000"/>
          <w:sz w:val="20"/>
        </w:rPr>
        <w:t xml:space="preserve">below.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Non-Interest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sales of loans, and other real estate owned, income from equity method investments, and other income.</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non-interest income for the periods indicated:</w:t>
      </w:r>
    </w:p>
    <w:tbl>
      <w:tblPr>
        <w:tblW w:w="10205" w:type="dxa"/>
        <w:jc w:val="left"/>
        <w:tblInd w:w="0" w:type="dxa"/>
        <w:tblLayout w:type="fixed"/>
        <w:tblCellMar>
          <w:top w:w="28" w:type="dxa"/>
          <w:left w:w="28" w:type="dxa"/>
          <w:bottom w:w="28" w:type="dxa"/>
          <w:right w:w="28" w:type="dxa"/>
        </w:tblCellMar>
      </w:tblPr>
      <w:tblGrid>
        <w:gridCol w:w="2212"/>
        <w:gridCol w:w="1870"/>
        <w:gridCol w:w="1863"/>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212"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415" w:type="dxa"/>
            <w:gridSpan w:val="6"/>
            <w:tcBorders/>
          </w:tcPr>
          <w:p>
            <w:pPr>
              <w:pStyle w:val="TableContents"/>
              <w:bidi w:val="0"/>
              <w:spacing w:before="0" w:after="283"/>
              <w:jc w:val="left"/>
              <w:rPr>
                <w:sz w:val="4"/>
                <w:szCs w:val="4"/>
              </w:rPr>
            </w:pPr>
            <w:r>
              <w:rPr>
                <w:sz w:val="4"/>
                <w:szCs w:val="4"/>
              </w:rPr>
            </w:r>
          </w:p>
        </w:tc>
      </w:tr>
      <w:tr>
        <w:trPr/>
        <w:tc>
          <w:tcPr>
            <w:tcW w:w="5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Trust Department fees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Service charges on deposit accounts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Bank-owned life insurance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Losses on sale of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Gain (loss) on sale of loans and changes in fair value on loans held-for-sale,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on other real estate owned,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Equity method investments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Non-interest income was $33.2 million for the year ended December 31, 2024, compared to $29.3 million for the same period in 2023, an increase of $3.9 million. The increase of $3.9 million was primarily due to a $21.2 million increase in service charges on deposit accounts, which was partially offset by an $8.2 million increase in losses on sale of loans and change in fair value on loans held-for-sale, a $5.7 million decrease in income from equity investments, a $2.3 million increase in losses on the sale of securities as part of strategic sales in order to reinvest in higher yielding securities, and a $0.6 million decrease in other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charges on deposit accounts includes service charges income generated from our retail deposit business. The increase in charges during the year ended December 31, 2024 was primarily due to utilization of a custodial deposit transference structure through the IntraFi Insured Cash Sweep network ("ICS") for certain deposit programs whereby we, acting as custodian of account holder funds, place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In return for record keeping services at Program Banks, the Company receives a servicing charge. For the fiscal year ended December 31, 2024, the Company recognized $17.2 million in servicing charge income attributable to our off-balance sheet deposit strategy, compared to $149 thousand for the year ended December 31, 2023, and $17 thousand for the year ended December 31,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Trust Department fees consist of fees we receive in connection with our investment advisory and custodial management services of investment accounts. Our Trust Department fees were $15.2 million in the year ended December 31, 2024, an increase of $11.0 thousand, or 0.1%, from same period in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income consists of income from solar tax equity investments. Due to the recognition of tax credits upon initial investment, income from these investments is volatile before achieving steady state. In the early stages of the investment, accelerated depreciation of the value of the investment creates net losses, after which steady state income is achieved, generally within four quarters of the initial investment. Equity method investments loss was $0.8 million in the year ended December 31, 2024, compared to an income of $4.9 million for the same period in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Non-Interest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non-interest expense for the periods indicated: </w:t>
      </w:r>
    </w:p>
    <w:tbl>
      <w:tblPr>
        <w:tblW w:w="7887" w:type="dxa"/>
        <w:jc w:val="left"/>
        <w:tblInd w:w="0" w:type="dxa"/>
        <w:tblLayout w:type="fixed"/>
        <w:tblCellMar>
          <w:top w:w="28" w:type="dxa"/>
          <w:left w:w="28" w:type="dxa"/>
          <w:bottom w:w="28" w:type="dxa"/>
          <w:right w:w="28" w:type="dxa"/>
        </w:tblCellMar>
      </w:tblPr>
      <w:tblGrid>
        <w:gridCol w:w="1236"/>
        <w:gridCol w:w="1088"/>
        <w:gridCol w:w="1095"/>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Compensation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Occupancy and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Office maintenance and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 and promotion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Federal deposit insurance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non-interest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Non-interest expense for the year ended December 31, 2024 was $159.8 million, an increase of $8.6 million from $151.2 million for the year ended December 31, 2023. The increase was primarily due to an $8.0 million increase in compensation expense due to increased headcount, corporate incentive payments, and temporary personnel costs, and a $2.1 million increase in data processing expense, offset by a $0.5 million decrease in advertising and promotion expense, a $0.5 million decrease in occupancy and depreciation expense, a $0.3 million decrease in office maintenance and depreciation expense, and a $0.2 million decrease in amortization of intangible assets.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 provision for income tax expense of $39.2 million for the year ended December 31, 2024, compared to $36.8 million for the same period in 2023. Our effective tax rate was 26.9% for the year ended December 31, 2024, compared to 29.5% for the same period in 2023. The decrease in the effective tax rate was primarily driven by a $3.3 million adjustment during the year ended December 31, 2023 related to a state and city tax examination regarding the inventory of prior net operating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bidi w:val="0"/>
        <w:spacing w:lineRule="auto" w:line="288" w:before="240" w:after="283"/>
        <w:jc w:val="both"/>
        <w:rPr/>
      </w:pPr>
      <w:r>
        <w:rPr>
          <w:rFonts w:ascii="Times New Roman;sans-serif" w:hAnsi="Times New Roman;sans-serif"/>
          <w:b w:val="false"/>
          <w:color w:val="000000"/>
          <w:sz w:val="20"/>
        </w:rPr>
        <w:t xml:space="preserve">Total assets were $8.26 billion at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compared to $7.97 billion at December 31, 2023. Notable changes within individual balance sheet line items include a $267.2 million increase in loans receivable, a $168.6 million increase in total deposits, a $35.4 million increase in investment securities, and a $246.3 million increase in FHLB advances, offset by a $230.0 million decrease in other borrowings, a $29.8 million decrease in cash and equivalents and a $26.3 million decrease in resell agreements.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Government sponsored entity (“GSE”) obligations. GSEs include the Federal Home Loan Mortgage Corporation (“FHLMC”), the Federal National Mortgage Association (“FNMA”),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National Mortgage Association (“GNMA”) and the Small Business Administration (“SBA”). GNMA is a wholly-owned U.S. Government corporation whereas FHLMC and FNMA are private. Mortgage-related securities may include mortgage pass-through certificates, participation certificates and collateralized mortgage obligations (“CMOs”). We invest in non-GSE securities, including property assessed clean energy, or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securities portfolio consists of securities classified as available for sale and held-to-maturity. There were no trading securities in our investment portfolio at December 31, 2024 or at December 31, 2023. All available for sale securities are carried at fair value and may be used for liquidity purposes should management consider it to be in our best interest.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and December 31, 2023, we had available for sale securities of $1.63 billion and $1.48 billion, respectively. </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 xml:space="preserve">December 31, 2024, our held-to-maturity securities portfolio primarily consisted of PACE assessments, tax-exempt municipal securities, GSE commercial and residential certificates and other debt. We carry these securities at amortized cost. We had held-to-maturity securities of $1.59 billion at December 31, 2024, and $1.70 billion at December 31,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measures expected credit losses on held-to-maturity debt securities on a collective basis by major security type. Accrued interest receivable on held-to-maturity debt securities totaled $27.0 million at December 31, 2024 and $22.5 million at December 31, 2023, and is excluded from the estimate of credit losses, as accrued interest receivable is reversed for securities placed on nonaccrual status. The allowance for credit losses for held-to-maturity securities at December 31, 2024 was $0.7 million compared to $0.7 million at December 31, 2023. The provision for credit losses for held-to-maturity securities was a recovery of $18.8 thousand for the year December 31, 2024 compared to an expense of $79.0 thousand at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allowance for credit losses are recorded as credit loss expense (or reversal). Losses are charged against the allowance when management believes the uncollectibility of an available-for-sale security is confirmed or when either of the criteria regarding intent or requirement to sell is met.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receivable on available for sale debt securities totaled $11.7 million at December 31, 2024 and is excluded from the estimate of credit losses, as accrued interest receivable is reversed for securities placed on nonaccrual status.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investment portfolio, using market value for available for sale securities and amortized cost for held-to-maturity securities, as of the dates indicated.</w:t>
      </w:r>
    </w:p>
    <w:tbl>
      <w:tblPr>
        <w:tblW w:w="10551" w:type="dxa"/>
        <w:jc w:val="left"/>
        <w:tblInd w:w="0" w:type="dxa"/>
        <w:tblLayout w:type="fixed"/>
        <w:tblCellMar>
          <w:top w:w="28" w:type="dxa"/>
          <w:left w:w="28" w:type="dxa"/>
          <w:bottom w:w="28" w:type="dxa"/>
          <w:right w:w="28" w:type="dxa"/>
        </w:tblCellMar>
      </w:tblPr>
      <w:tblGrid>
        <w:gridCol w:w="124"/>
        <w:gridCol w:w="859"/>
        <w:gridCol w:w="416"/>
        <w:gridCol w:w="271"/>
        <w:gridCol w:w="211"/>
        <w:gridCol w:w="976"/>
        <w:gridCol w:w="109"/>
        <w:gridCol w:w="109"/>
        <w:gridCol w:w="109"/>
        <w:gridCol w:w="109"/>
        <w:gridCol w:w="307"/>
        <w:gridCol w:w="309"/>
        <w:gridCol w:w="483"/>
        <w:gridCol w:w="109"/>
        <w:gridCol w:w="109"/>
        <w:gridCol w:w="109"/>
        <w:gridCol w:w="211"/>
        <w:gridCol w:w="976"/>
        <w:gridCol w:w="109"/>
        <w:gridCol w:w="109"/>
        <w:gridCol w:w="109"/>
        <w:gridCol w:w="109"/>
        <w:gridCol w:w="307"/>
        <w:gridCol w:w="309"/>
        <w:gridCol w:w="483"/>
        <w:gridCol w:w="109"/>
        <w:gridCol w:w="109"/>
        <w:gridCol w:w="109"/>
        <w:gridCol w:w="211"/>
        <w:gridCol w:w="976"/>
        <w:gridCol w:w="109"/>
        <w:gridCol w:w="109"/>
        <w:gridCol w:w="109"/>
        <w:gridCol w:w="109"/>
        <w:gridCol w:w="307"/>
        <w:gridCol w:w="309"/>
        <w:gridCol w:w="544"/>
      </w:tblGrid>
      <w:tr>
        <w:trPr/>
        <w:tc>
          <w:tcPr>
            <w:tcW w:w="12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Portfolio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Traditional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PACE assessments: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available for sale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Traditional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PACE assessments: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securities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 contractual maturities and yields for the available for sale and held-to-maturity securities portfolios:</w:t>
      </w:r>
    </w:p>
    <w:tbl>
      <w:tblPr>
        <w:tblW w:w="12195" w:type="dxa"/>
        <w:jc w:val="center"/>
        <w:tblInd w:w="0" w:type="dxa"/>
        <w:tblLayout w:type="fixed"/>
        <w:tblCellMar>
          <w:top w:w="28" w:type="dxa"/>
          <w:left w:w="28" w:type="dxa"/>
          <w:bottom w:w="28" w:type="dxa"/>
          <w:right w:w="28" w:type="dxa"/>
        </w:tblCellMar>
      </w:tblPr>
      <w:tblGrid>
        <w:gridCol w:w="124"/>
        <w:gridCol w:w="859"/>
        <w:gridCol w:w="416"/>
        <w:gridCol w:w="271"/>
        <w:gridCol w:w="216"/>
        <w:gridCol w:w="632"/>
        <w:gridCol w:w="113"/>
        <w:gridCol w:w="109"/>
        <w:gridCol w:w="109"/>
        <w:gridCol w:w="109"/>
        <w:gridCol w:w="206"/>
        <w:gridCol w:w="200"/>
        <w:gridCol w:w="501"/>
        <w:gridCol w:w="109"/>
        <w:gridCol w:w="109"/>
        <w:gridCol w:w="109"/>
        <w:gridCol w:w="211"/>
        <w:gridCol w:w="826"/>
        <w:gridCol w:w="109"/>
        <w:gridCol w:w="109"/>
        <w:gridCol w:w="109"/>
        <w:gridCol w:w="109"/>
        <w:gridCol w:w="206"/>
        <w:gridCol w:w="200"/>
        <w:gridCol w:w="501"/>
        <w:gridCol w:w="109"/>
        <w:gridCol w:w="109"/>
        <w:gridCol w:w="109"/>
        <w:gridCol w:w="211"/>
        <w:gridCol w:w="826"/>
        <w:gridCol w:w="109"/>
        <w:gridCol w:w="109"/>
        <w:gridCol w:w="109"/>
        <w:gridCol w:w="109"/>
        <w:gridCol w:w="206"/>
        <w:gridCol w:w="200"/>
        <w:gridCol w:w="501"/>
        <w:gridCol w:w="109"/>
        <w:gridCol w:w="109"/>
        <w:gridCol w:w="109"/>
        <w:gridCol w:w="211"/>
        <w:gridCol w:w="976"/>
        <w:gridCol w:w="109"/>
        <w:gridCol w:w="109"/>
        <w:gridCol w:w="109"/>
        <w:gridCol w:w="109"/>
        <w:gridCol w:w="213"/>
        <w:gridCol w:w="193"/>
        <w:gridCol w:w="560"/>
      </w:tblGrid>
      <w:tr>
        <w:trPr/>
        <w:tc>
          <w:tcPr>
            <w:tcW w:w="12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07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Contractual Maturity as of December 31, 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to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Five to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after Ten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w:t>
            </w:r>
          </w:p>
          <w:p>
            <w:pPr>
              <w:pStyle w:val="TableContents"/>
              <w:bidi w:val="0"/>
              <w:spacing w:lineRule="auto" w:line="240" w:before="0" w:after="0"/>
              <w:jc w:val="center"/>
              <w:rPr/>
            </w:pPr>
            <w:r>
              <w:rPr>
                <w:rFonts w:ascii="Times New Roman;sans-serif" w:hAnsi="Times New Roman;sans-serif"/>
                <w:b w:val="false"/>
                <w:color w:val="000000"/>
                <w:sz w:val="20"/>
              </w:rPr>
              <w:t xml:space="preserve">Yield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Weighted Average</w:t>
              <w:br/>
              <w:t xml:space="preserve">Yield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Weighted Average</w:t>
              <w:br/>
              <w:t xml:space="preserve">Yield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Weighted Average</w:t>
              <w:br/>
              <w:t xml:space="preserve">Yield </w:t>
            </w:r>
            <w:r>
              <w:rPr>
                <w:rFonts w:ascii="Times New Roman;sans-serif" w:hAnsi="Times New Roman;sans-serif"/>
                <w:b w:val="false"/>
                <w:color w:val="000000"/>
                <w:sz w:val="13"/>
              </w:rPr>
              <w:t>(1)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Traditional securities:</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PACE assessments: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Traditional securities: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PACE assessments: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securities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2,633,044 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Estimated yield based on book price (amortized cost divided by par) using estimated prepayments and no change in interest rates.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breakdown of our asset backed securities by sector and ratings at carrying value based on the fair value of available for sale securities and amortized cost of held-to-maturity securities as of December 31, 2024:</w:t>
      </w:r>
    </w:p>
    <w:tbl>
      <w:tblPr>
        <w:tblW w:w="10149" w:type="dxa"/>
        <w:jc w:val="left"/>
        <w:tblInd w:w="0" w:type="dxa"/>
        <w:tblLayout w:type="fixed"/>
        <w:tblCellMar>
          <w:top w:w="28" w:type="dxa"/>
          <w:left w:w="28" w:type="dxa"/>
          <w:bottom w:w="28" w:type="dxa"/>
          <w:right w:w="28" w:type="dxa"/>
        </w:tblCellMar>
      </w:tblPr>
      <w:tblGrid>
        <w:gridCol w:w="124"/>
        <w:gridCol w:w="753"/>
        <w:gridCol w:w="753"/>
        <w:gridCol w:w="758"/>
        <w:gridCol w:w="109"/>
        <w:gridCol w:w="196"/>
        <w:gridCol w:w="736"/>
        <w:gridCol w:w="109"/>
        <w:gridCol w:w="209"/>
        <w:gridCol w:w="212"/>
        <w:gridCol w:w="256"/>
        <w:gridCol w:w="384"/>
        <w:gridCol w:w="384"/>
        <w:gridCol w:w="386"/>
        <w:gridCol w:w="210"/>
        <w:gridCol w:w="211"/>
        <w:gridCol w:w="375"/>
        <w:gridCol w:w="209"/>
        <w:gridCol w:w="212"/>
        <w:gridCol w:w="382"/>
        <w:gridCol w:w="165"/>
        <w:gridCol w:w="166"/>
        <w:gridCol w:w="309"/>
        <w:gridCol w:w="164"/>
        <w:gridCol w:w="167"/>
        <w:gridCol w:w="256"/>
        <w:gridCol w:w="152"/>
        <w:gridCol w:w="152"/>
        <w:gridCol w:w="357"/>
        <w:gridCol w:w="131"/>
        <w:gridCol w:w="131"/>
        <w:gridCol w:w="309"/>
        <w:gridCol w:w="210"/>
        <w:gridCol w:w="211"/>
        <w:gridCol w:w="301"/>
      </w:tblGrid>
      <w:tr>
        <w:trPr/>
        <w:tc>
          <w:tcPr>
            <w:tcW w:w="12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Expected Avg.</w:t>
              <w:br/>
              <w:t>Life in Years</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Credit Ratings</w:t>
            </w:r>
          </w:p>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Highest Rating if split rated</w:t>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br/>
              <w:t>Floating</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AAA</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AA</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BBB</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Not</w:t>
              <w:br/>
              <w:t xml:space="preserve">Rated </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 Commercial &amp; Industrial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Student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Securities: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securities portfolio primarily consists of high quality investments in mortgage-backed securities to government sponsored entities and other asset-backed securities and PACE assessments. All non-agency securities, composed of non-agency commercial mortgage-backed securities, collateralized loan obligations, non-agency mortgage-backed securities, and asset-backed securities, are senior tranche and approximately 86% carry AAA credit ratings and 14% carry A credit ratings or higher. Approximately 75% of this portfolio is classified as “available for sale.”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Lending-related income is an important component of our net interest income and is a main driver of our results of operations. Total loans, net of deferred origination fees and allowance for credit losses, were $4.61 billion as of December 31, 2024 compared to $4.35 billion as of December 31, 2023. Within our commercial loan portfolio, our primary focus has been on C&amp;I, multifamily and CRE lending. Within our retail loan portfolio, our primary focus has been on residential one-to-four family (1st lien) mortgages and residential solar loans.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purchase loans from other originating institutions that we believe provide attractive risk-adjusted returns or for CRA purposes. Over the last two years we have made the following loan purchases: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 2024, we purchased $19.7 million of residential mortgages, $2.3 million of commercial loans that are unconditionally guaranteed by the U.S. Government, and $11.8 million of commercial energy efficient loans.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In 2023, we purchased $39.2 million of residential solar loans, $13.7 million of residential mortgages, $1.7 million of commercial loans that are unconditionally guaranteed by the U.S. Government, $2.1 million of consumer home improvement loans and $10.8 million of commercial energy efficient loans.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plan to selectively evaluate the purchase of additional loan pools that meet our underwriting criteria as part of our strategic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following table sets </w:t>
      </w:r>
      <w:r>
        <w:rPr>
          <w:rFonts w:ascii="Times New Roman;sans-serif" w:hAnsi="Times New Roman;sans-serif"/>
          <w:b w:val="false"/>
          <w:color w:val="000000"/>
          <w:sz w:val="20"/>
        </w:rPr>
        <w:t>forth the composition of our loan portfolio, as of December 31, 2024 and December 31, 2023:</w:t>
      </w:r>
    </w:p>
    <w:tbl>
      <w:tblPr>
        <w:tblW w:w="10205" w:type="dxa"/>
        <w:jc w:val="left"/>
        <w:tblInd w:w="0" w:type="dxa"/>
        <w:tblLayout w:type="fixed"/>
        <w:tblCellMar>
          <w:top w:w="28" w:type="dxa"/>
          <w:left w:w="28" w:type="dxa"/>
          <w:bottom w:w="28" w:type="dxa"/>
          <w:right w:w="28" w:type="dxa"/>
        </w:tblCellMar>
      </w:tblPr>
      <w:tblGrid>
        <w:gridCol w:w="124"/>
        <w:gridCol w:w="1191"/>
        <w:gridCol w:w="1181"/>
        <w:gridCol w:w="1182"/>
        <w:gridCol w:w="109"/>
        <w:gridCol w:w="211"/>
        <w:gridCol w:w="976"/>
        <w:gridCol w:w="109"/>
        <w:gridCol w:w="109"/>
        <w:gridCol w:w="109"/>
        <w:gridCol w:w="109"/>
        <w:gridCol w:w="318"/>
        <w:gridCol w:w="315"/>
        <w:gridCol w:w="738"/>
        <w:gridCol w:w="109"/>
        <w:gridCol w:w="109"/>
        <w:gridCol w:w="109"/>
        <w:gridCol w:w="211"/>
        <w:gridCol w:w="976"/>
        <w:gridCol w:w="109"/>
        <w:gridCol w:w="109"/>
        <w:gridCol w:w="109"/>
        <w:gridCol w:w="109"/>
        <w:gridCol w:w="362"/>
        <w:gridCol w:w="294"/>
        <w:gridCol w:w="818"/>
      </w:tblGrid>
      <w:tr>
        <w:trPr/>
        <w:tc>
          <w:tcPr>
            <w:tcW w:w="12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loans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 mortgages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 mortgages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 mortgages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loans </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loans, net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loan portfolio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loan portfolio comprised 63.3% of our total loan portfolio at December 31, 2024 and 57.5% of our total loan portfolio at December 31, 2023. The major categories of our commercial loan portfolio are discussed below:</w:t>
      </w:r>
    </w:p>
    <w:p>
      <w:pPr>
        <w:pStyle w:val="TextBody"/>
        <w:bidi w:val="0"/>
        <w:spacing w:lineRule="auto" w:line="288" w:before="240" w:after="283"/>
        <w:jc w:val="both"/>
        <w:rPr/>
      </w:pPr>
      <w:r>
        <w:rPr>
          <w:rFonts w:ascii="Times New Roman;sans-serif" w:hAnsi="Times New Roman;sans-serif"/>
          <w:b w:val="false"/>
          <w:i/>
          <w:color w:val="000000"/>
          <w:sz w:val="20"/>
        </w:rPr>
        <w:t xml:space="preserve">C&amp;I. </w:t>
      </w:r>
      <w:r>
        <w:rPr>
          <w:rFonts w:ascii="Times New Roman;sans-serif" w:hAnsi="Times New Roman;sans-serif"/>
          <w:b w:val="false"/>
          <w:color w:val="000000"/>
          <w:sz w:val="20"/>
        </w:rPr>
        <w:t>Our C&amp;I loans are generally made to small and medium-sized manufacturers and wholesale, retail and service-based businesses to provide either working capital or to finance major capital expenditures. In addition, our C&amp;I portfolio includes commercial solar financings; for many of these we are the sole lender, while for some others we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December 31, 2024 by exposure was $8.6 million with a median size of $0.8 million. We have shifted our lending strategy to focus on developing full customer relationships including deposits, cash management, and lending. The businesses that we focus on are generally mission aligned with our core values, including organic and natural products, sustainable companies, clean energy, nonprofits, and B Corporations</w:t>
      </w:r>
      <w:r>
        <w:rPr>
          <w:color w:val="000000"/>
        </w:rPr>
        <w:t xml:space="preserve"> </w:t>
      </w:r>
      <w:r>
        <w:rPr>
          <w:rFonts w:ascii="Times New Roman;sans-serif" w:hAnsi="Times New Roman;sans-serif"/>
          <w:b w:val="false"/>
          <w:color w:val="000000"/>
          <w:sz w:val="13"/>
        </w:rPr>
        <w:t>TM</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C&amp;I loans totaled $1.18 billion at December 31, 2024, which comprised 25.2% of our total loan portfolio. During the year ended 2024, the C&amp;I loan portfolio increased by 16.3% from $1.01 billion at December 31, 2023.</w:t>
      </w:r>
    </w:p>
    <w:p>
      <w:pPr>
        <w:pStyle w:val="TextBody"/>
        <w:bidi w:val="0"/>
        <w:spacing w:lineRule="auto" w:line="288" w:before="240" w:after="283"/>
        <w:jc w:val="both"/>
        <w:rPr/>
      </w:pPr>
      <w:r>
        <w:rPr>
          <w:rFonts w:ascii="Times New Roman;sans-serif" w:hAnsi="Times New Roman;sans-serif"/>
          <w:b w:val="false"/>
          <w:i/>
          <w:color w:val="000000"/>
          <w:sz w:val="20"/>
        </w:rPr>
        <w:t>Multifamily</w:t>
      </w:r>
      <w:r>
        <w:rPr>
          <w:rFonts w:ascii="Times New Roman;sans-serif" w:hAnsi="Times New Roman;sans-serif"/>
          <w:b w:val="false"/>
          <w:color w:val="000000"/>
          <w:sz w:val="20"/>
        </w:rPr>
        <w:t>. Our multifamily loans are generally used to purchase or refinance apartment buildings of five units or more, which collateralize the loan, in major metropolitan areas within our markets. Multifamily loans have 73% of their exposure in New York City—our largest geographic concentration. Our multifamily loans have been underwritten under stringent guidelines on loan-to-value and debt service coverage ratios that are designed to mitigate credit and concentration risk in this loan category. The average current LTV of our multifamily loans is approximately 54%.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multifamily loans totaled $1.35 billion at December 31, 2024, which comprised 28.9% of our total loan portfolio. During the year ended 2024, the multifamily loan portfolio increased by 17.7% from $1.15 billion at December 31, 2023.</w:t>
      </w:r>
    </w:p>
    <w:p>
      <w:pPr>
        <w:pStyle w:val="TextBody"/>
        <w:bidi w:val="0"/>
        <w:spacing w:lineRule="auto" w:line="288" w:before="240" w:after="283"/>
        <w:jc w:val="both"/>
        <w:rPr/>
      </w:pPr>
      <w:r>
        <w:rPr>
          <w:rFonts w:ascii="Times New Roman;sans-serif" w:hAnsi="Times New Roman;sans-serif"/>
          <w:b w:val="false"/>
          <w:i/>
          <w:color w:val="000000"/>
          <w:sz w:val="20"/>
        </w:rPr>
        <w:t xml:space="preserve">CRE. </w:t>
      </w:r>
      <w:r>
        <w:rPr>
          <w:rFonts w:ascii="Times New Roman;sans-serif" w:hAnsi="Times New Roman;sans-serif"/>
          <w:b w:val="false"/>
          <w:color w:val="000000"/>
          <w:sz w:val="20"/>
        </w:rPr>
        <w:t>Our CRE loans are used to purchase or refinance office buildings, owner-occupied office buildings, retail centers, industrial facilities, mixed-used buildings, and education centers. Our CRE loans totaled $411.4 million at December 31, 2024, which comprised 8.8% of our total loan portfolio. During the year ended December 31, 2024, the CRE loan portfolio increased by 16.4% from $353.4 million at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loan portfolio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retail loan portfolio comprised 36.7% of our total loan portfolio at December 31, 2024 and 42.5% of our loan portfolio at December 31, 2023. The major categories of our retail loan portfolio are discussed below:</w:t>
      </w:r>
    </w:p>
    <w:p>
      <w:pPr>
        <w:pStyle w:val="TextBody"/>
        <w:bidi w:val="0"/>
        <w:spacing w:lineRule="auto" w:line="288" w:before="240" w:after="283"/>
        <w:jc w:val="both"/>
        <w:rPr/>
      </w:pPr>
      <w:r>
        <w:rPr>
          <w:rFonts w:ascii="Times New Roman;sans-serif" w:hAnsi="Times New Roman;sans-serif"/>
          <w:b w:val="false"/>
          <w:i/>
          <w:color w:val="000000"/>
          <w:sz w:val="20"/>
        </w:rPr>
        <w:t>Residential real estate lending</w:t>
      </w:r>
      <w:r>
        <w:rPr>
          <w:rFonts w:ascii="Times New Roman;sans-serif" w:hAnsi="Times New Roman;sans-serif"/>
          <w:b w:val="false"/>
          <w:i/>
          <w:color w:val="000000"/>
          <w:sz w:val="22"/>
        </w:rPr>
        <w:t>.</w:t>
      </w:r>
      <w:r>
        <w:rPr>
          <w:color w:val="000000"/>
        </w:rPr>
        <w:t> </w:t>
      </w:r>
      <w:r>
        <w:rPr>
          <w:rFonts w:ascii="Times New Roman;sans-serif" w:hAnsi="Times New Roman;sans-serif"/>
          <w:b w:val="false"/>
          <w:color w:val="000000"/>
          <w:sz w:val="20"/>
        </w:rPr>
        <w:t>Our residential one-to-four family mortgage loans are residential mortgages that are primarily secured by single-family homes, which can be owner occupied or investor owned. These loans are either originated by our loan officers or purchased from other originators with the servicing retained by such originators. Our residential real estate lending portfolio is 99% first mortgage loans and 1% second mortgage loans. As of December 31, 2024, approximately 80% of our residential one-to-four family mortgage loans were either originated by our loan officers or were acquired in our acquisition of New Resource Bank, and approximately 20% were purchased or acquired. Our residential real estate lending loans totaled $1.31 billion at December 31, 2024, which comprised 76.7% of our retail loan portfolio and 28.1% of our total loan portfolio. During the year ended December 31, 2024, our residential real estate lending loans decreased by 7.9% from $1.43 billion at December 31, 2023.</w:t>
      </w:r>
    </w:p>
    <w:p>
      <w:pPr>
        <w:pStyle w:val="TextBody"/>
        <w:bidi w:val="0"/>
        <w:spacing w:lineRule="auto" w:line="288" w:before="240" w:after="283"/>
        <w:jc w:val="both"/>
        <w:rPr/>
      </w:pPr>
      <w:r>
        <w:rPr>
          <w:rFonts w:ascii="Times New Roman;sans-serif" w:hAnsi="Times New Roman;sans-serif"/>
          <w:b w:val="false"/>
          <w:i/>
          <w:color w:val="000000"/>
          <w:sz w:val="20"/>
        </w:rPr>
        <w:t xml:space="preserve">Consumer solar. </w:t>
      </w:r>
      <w:r>
        <w:rPr>
          <w:rFonts w:ascii="Times New Roman;sans-serif" w:hAnsi="Times New Roman;sans-serif"/>
          <w:b w:val="false"/>
          <w:color w:val="000000"/>
          <w:sz w:val="20"/>
        </w:rPr>
        <w:t xml:space="preserve">Our consumer solar portfolio is comprised of purchased residential solar loans, secured by Uniform Commercial Code ("UCC") financing statements. Our consumer solar loans totaled $365.5 million at December 31, 2024, which comprised 7.8% of our total loan portfolio, compared to $408.3 million, or 9.3%, of our total loan portfolio at December 31, 2023. </w:t>
      </w:r>
    </w:p>
    <w:p>
      <w:pPr>
        <w:pStyle w:val="TextBody"/>
        <w:bidi w:val="0"/>
        <w:spacing w:lineRule="auto" w:line="288" w:before="240" w:after="283"/>
        <w:jc w:val="both"/>
        <w:rPr/>
      </w:pPr>
      <w:r>
        <w:rPr>
          <w:rFonts w:ascii="Times New Roman;sans-serif" w:hAnsi="Times New Roman;sans-serif"/>
          <w:b w:val="false"/>
          <w:i/>
          <w:color w:val="000000"/>
          <w:sz w:val="20"/>
        </w:rPr>
        <w:t xml:space="preserve">Consumer and other. </w:t>
      </w:r>
      <w:r>
        <w:rPr>
          <w:rFonts w:ascii="Times New Roman;sans-serif" w:hAnsi="Times New Roman;sans-serif"/>
          <w:b w:val="false"/>
          <w:color w:val="000000"/>
          <w:sz w:val="20"/>
        </w:rPr>
        <w:t>Our consumer and other portfolio is comprised of purchased student loans, unsecured consumer loans and overdraft lines. Our consumer and other loans totaled $34.6 million at December 31, 2024, which comprised 0.8% of our total loan portfolio, compared to $41.3 million, or 0.9% of our total loan portfolio, at December 31,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Maturities and Sensitivity of Loans to Changes in Interest Rates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loans held for investment portfolio at December 31, 2024 by maturity date.</w:t>
      </w:r>
    </w:p>
    <w:tbl>
      <w:tblPr>
        <w:tblW w:w="10205" w:type="dxa"/>
        <w:jc w:val="left"/>
        <w:tblInd w:w="0" w:type="dxa"/>
        <w:tblLayout w:type="fixed"/>
        <w:tblCellMar>
          <w:top w:w="28" w:type="dxa"/>
          <w:left w:w="28" w:type="dxa"/>
          <w:bottom w:w="28" w:type="dxa"/>
          <w:right w:w="28" w:type="dxa"/>
        </w:tblCellMar>
      </w:tblPr>
      <w:tblGrid>
        <w:gridCol w:w="124"/>
        <w:gridCol w:w="630"/>
        <w:gridCol w:w="579"/>
        <w:gridCol w:w="563"/>
        <w:gridCol w:w="109"/>
        <w:gridCol w:w="109"/>
        <w:gridCol w:w="221"/>
        <w:gridCol w:w="866"/>
        <w:gridCol w:w="114"/>
        <w:gridCol w:w="109"/>
        <w:gridCol w:w="109"/>
        <w:gridCol w:w="109"/>
        <w:gridCol w:w="214"/>
        <w:gridCol w:w="992"/>
        <w:gridCol w:w="110"/>
        <w:gridCol w:w="109"/>
        <w:gridCol w:w="109"/>
        <w:gridCol w:w="109"/>
        <w:gridCol w:w="299"/>
        <w:gridCol w:w="1171"/>
        <w:gridCol w:w="154"/>
        <w:gridCol w:w="109"/>
        <w:gridCol w:w="109"/>
        <w:gridCol w:w="109"/>
        <w:gridCol w:w="211"/>
        <w:gridCol w:w="976"/>
        <w:gridCol w:w="109"/>
        <w:gridCol w:w="109"/>
        <w:gridCol w:w="109"/>
        <w:gridCol w:w="109"/>
        <w:gridCol w:w="211"/>
        <w:gridCol w:w="976"/>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After one but</w:t>
              <w:br/>
              <w:t>within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After 5 years but within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After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1,313,617 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and 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 xml:space="preserve">Total Loans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517,412 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1,663,553 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4,672,924 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loans held for investment with maturity due after December 31, 2025:</w:t>
      </w:r>
    </w:p>
    <w:tbl>
      <w:tblPr>
        <w:tblW w:w="7562" w:type="dxa"/>
        <w:jc w:val="left"/>
        <w:tblInd w:w="0" w:type="dxa"/>
        <w:tblLayout w:type="fixed"/>
        <w:tblCellMar>
          <w:top w:w="28" w:type="dxa"/>
          <w:left w:w="28" w:type="dxa"/>
          <w:bottom w:w="28" w:type="dxa"/>
          <w:right w:w="28" w:type="dxa"/>
        </w:tblCellMar>
      </w:tblPr>
      <w:tblGrid>
        <w:gridCol w:w="124"/>
        <w:gridCol w:w="854"/>
        <w:gridCol w:w="854"/>
        <w:gridCol w:w="857"/>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and 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the allowance at a level we believe is sufficient to absorb current expected credit losses in our loan portfolio. For further discussion of the adoption of and methodology under the CECL standard, refer to Note 1 to the Consolidated Financial Statements in Item 8 of this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presents, by loan type, the changes in the allowance for the periods indicated. With the adoption of the CECL standard, the allowance for credit losses for the year ended December 31, 2024 and December 31, 2023 is calculated under the expected credit losses model. For the year ended December 31, 2022, the allowance on loans presented is the allowance for loan losses using the incurred loss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tbl>
      <w:tblPr>
        <w:tblW w:w="7917" w:type="dxa"/>
        <w:jc w:val="left"/>
        <w:tblInd w:w="0" w:type="dxa"/>
        <w:tblLayout w:type="fixed"/>
        <w:tblCellMar>
          <w:top w:w="28" w:type="dxa"/>
          <w:left w:w="28" w:type="dxa"/>
          <w:bottom w:w="28" w:type="dxa"/>
          <w:right w:w="28" w:type="dxa"/>
        </w:tblCellMar>
      </w:tblPr>
      <w:tblGrid>
        <w:gridCol w:w="1326"/>
        <w:gridCol w:w="1165"/>
        <w:gridCol w:w="1168"/>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 of ASU No. 2016-13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and industrial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Multifamily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Construction and land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Consumer and 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loan charge-offs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loans previously charged-off: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and industrial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Multifamily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Construction and land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Consumer and 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loan recoveries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charge-offs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credit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end of period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Times New Roman;sans-serif" w:hAnsi="Times New Roman;sans-serif"/>
          <w:b w:val="false"/>
          <w:color w:val="000000"/>
          <w:sz w:val="20"/>
        </w:rPr>
        <w:t xml:space="preserve">The allowance for credit losses decreased </w:t>
      </w:r>
      <w:r>
        <w:rPr>
          <w:rFonts w:ascii="Times New Roman;sans-serif" w:hAnsi="Times New Roman;sans-serif"/>
          <w:b w:val="false"/>
          <w:color w:val="000000"/>
          <w:sz w:val="20"/>
          <w:shd w:fill="FFFFFF" w:val="clear"/>
        </w:rPr>
        <w:t>$5.6 million</w:t>
      </w:r>
      <w:r>
        <w:rPr>
          <w:color w:val="000000"/>
        </w:rPr>
        <w:t xml:space="preserve"> </w:t>
      </w:r>
      <w:r>
        <w:rPr>
          <w:rFonts w:ascii="Times New Roman;sans-serif" w:hAnsi="Times New Roman;sans-serif"/>
          <w:b w:val="false"/>
          <w:color w:val="000000"/>
          <w:sz w:val="20"/>
        </w:rPr>
        <w:t xml:space="preserve">to </w:t>
      </w:r>
      <w:r>
        <w:rPr>
          <w:rFonts w:ascii="Times New Roman;sans-serif" w:hAnsi="Times New Roman;sans-serif"/>
          <w:b w:val="false"/>
          <w:color w:val="000000"/>
          <w:sz w:val="20"/>
          <w:shd w:fill="FFFFFF" w:val="clear"/>
        </w:rPr>
        <w:t>$60.1 million</w:t>
      </w:r>
      <w:r>
        <w:rPr>
          <w:color w:val="000000"/>
        </w:rPr>
        <w:t xml:space="preserve"> </w:t>
      </w:r>
      <w:r>
        <w:rPr>
          <w:rFonts w:ascii="Times New Roman;sans-serif" w:hAnsi="Times New Roman;sans-serif"/>
          <w:b w:val="false"/>
          <w:color w:val="000000"/>
          <w:sz w:val="20"/>
        </w:rPr>
        <w:t xml:space="preserve">at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 xml:space="preserve">from </w:t>
      </w:r>
      <w:r>
        <w:rPr>
          <w:rFonts w:ascii="Times New Roman;sans-serif" w:hAnsi="Times New Roman;sans-serif"/>
          <w:b w:val="false"/>
          <w:color w:val="000000"/>
          <w:sz w:val="20"/>
          <w:shd w:fill="FFFFFF" w:val="clear"/>
        </w:rPr>
        <w:t>$65.7 million</w:t>
      </w:r>
      <w:r>
        <w:rPr>
          <w:color w:val="000000"/>
        </w:rPr>
        <w:t xml:space="preserve"> </w:t>
      </w:r>
      <w:r>
        <w:rPr>
          <w:rFonts w:ascii="Times New Roman;sans-serif" w:hAnsi="Times New Roman;sans-serif"/>
          <w:b w:val="false"/>
          <w:color w:val="000000"/>
          <w:sz w:val="20"/>
        </w:rPr>
        <w:t>at December 31, 2023. On January 1, 2023, the adoption of the CECL standard increased the allowance for credit losses on loans by $21.2 million to recognize the Day 1 cumulative effect, primarily attributed to our consumer solar portfolio. The ratio of allowance to total loans was 1.29% at December 31, 2024 and 1.49% at December 31, 2023. Considering the Day 1 cumulative effect, the ratio of allowance to total loans at January 1, 2023 was 1.61%.</w:t>
      </w:r>
    </w:p>
    <w:p>
      <w:pPr>
        <w:pStyle w:val="TextBody"/>
        <w:bidi w:val="0"/>
        <w:spacing w:lineRule="auto" w:line="288" w:before="2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allowance for credit losses on held-to-maturity securities was $0.7 million compared to $0.7 million at December 31, 2023. On January 1, 2023, an allowance of $0.7 million was recorded to recognize the Day 1 cumulative effect, primarily attributed to commercial and residential PACE assessments. Additionally, the allowance for expected credit losses on off-balance sheet loan exposures was increased by $2.7 million to recognize the Day 1 cumulative impact of adopting the CECL standard.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both"/>
        <w:rPr>
          <w:rFonts w:ascii="Times New Roman;sans-serif" w:hAnsi="Times New Roman;sans-serif"/>
          <w:b/>
          <w:i/>
          <w:color w:val="000000"/>
          <w:sz w:val="20"/>
        </w:rPr>
      </w:pPr>
      <w:r>
        <w:rPr>
          <w:rFonts w:ascii="Times New Roman;sans-serif" w:hAnsi="Times New Roman;sans-serif"/>
          <w:b/>
          <w:i/>
          <w:color w:val="000000"/>
          <w:sz w:val="20"/>
        </w:rPr>
        <w:t>Allocation of Allowance for Credit Losses on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allocation of the allowance and the percentage of the total amount of loans in each loan category listed as of the dates indicated: </w:t>
      </w:r>
    </w:p>
    <w:tbl>
      <w:tblPr>
        <w:tblW w:w="10205" w:type="dxa"/>
        <w:jc w:val="left"/>
        <w:tblInd w:w="0" w:type="dxa"/>
        <w:tblLayout w:type="fixed"/>
        <w:tblCellMar>
          <w:top w:w="28" w:type="dxa"/>
          <w:left w:w="28" w:type="dxa"/>
          <w:bottom w:w="28" w:type="dxa"/>
          <w:right w:w="28" w:type="dxa"/>
        </w:tblCellMar>
      </w:tblPr>
      <w:tblGrid>
        <w:gridCol w:w="761"/>
        <w:gridCol w:w="632"/>
        <w:gridCol w:w="617"/>
        <w:gridCol w:w="216"/>
        <w:gridCol w:w="739"/>
        <w:gridCol w:w="111"/>
        <w:gridCol w:w="111"/>
        <w:gridCol w:w="111"/>
        <w:gridCol w:w="111"/>
        <w:gridCol w:w="318"/>
        <w:gridCol w:w="248"/>
        <w:gridCol w:w="528"/>
        <w:gridCol w:w="109"/>
        <w:gridCol w:w="109"/>
        <w:gridCol w:w="109"/>
        <w:gridCol w:w="216"/>
        <w:gridCol w:w="739"/>
        <w:gridCol w:w="111"/>
        <w:gridCol w:w="111"/>
        <w:gridCol w:w="111"/>
        <w:gridCol w:w="111"/>
        <w:gridCol w:w="318"/>
        <w:gridCol w:w="248"/>
        <w:gridCol w:w="528"/>
        <w:gridCol w:w="109"/>
        <w:gridCol w:w="109"/>
        <w:gridCol w:w="109"/>
        <w:gridCol w:w="216"/>
        <w:gridCol w:w="739"/>
        <w:gridCol w:w="111"/>
        <w:gridCol w:w="111"/>
        <w:gridCol w:w="111"/>
        <w:gridCol w:w="111"/>
        <w:gridCol w:w="301"/>
        <w:gridCol w:w="250"/>
        <w:gridCol w:w="605"/>
      </w:tblGrid>
      <w:tr>
        <w:trPr/>
        <w:tc>
          <w:tcPr>
            <w:tcW w:w="7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December 31, 2022</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of total loans</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allowance for credit losses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allocation of the allowance for credit losses on securities and the percentage of the total amount of held-to-maturity securities in each security category listed. The table is only applicable for the years ended December 31, 2024 and December 31, 2023 due to CECL adoption as of January 1, 2023: </w:t>
      </w:r>
    </w:p>
    <w:tbl>
      <w:tblPr>
        <w:tblW w:w="10205" w:type="dxa"/>
        <w:jc w:val="left"/>
        <w:tblInd w:w="0" w:type="dxa"/>
        <w:tblLayout w:type="fixed"/>
        <w:tblCellMar>
          <w:top w:w="28" w:type="dxa"/>
          <w:left w:w="28" w:type="dxa"/>
          <w:bottom w:w="28" w:type="dxa"/>
          <w:right w:w="28" w:type="dxa"/>
        </w:tblCellMar>
      </w:tblPr>
      <w:tblGrid>
        <w:gridCol w:w="984"/>
        <w:gridCol w:w="847"/>
        <w:gridCol w:w="814"/>
        <w:gridCol w:w="219"/>
        <w:gridCol w:w="485"/>
        <w:gridCol w:w="113"/>
        <w:gridCol w:w="113"/>
        <w:gridCol w:w="113"/>
        <w:gridCol w:w="113"/>
        <w:gridCol w:w="541"/>
        <w:gridCol w:w="541"/>
        <w:gridCol w:w="1351"/>
        <w:gridCol w:w="109"/>
        <w:gridCol w:w="109"/>
        <w:gridCol w:w="109"/>
        <w:gridCol w:w="219"/>
        <w:gridCol w:w="484"/>
        <w:gridCol w:w="113"/>
        <w:gridCol w:w="113"/>
        <w:gridCol w:w="113"/>
        <w:gridCol w:w="113"/>
        <w:gridCol w:w="505"/>
        <w:gridCol w:w="505"/>
        <w:gridCol w:w="1479"/>
      </w:tblGrid>
      <w:tr>
        <w:trPr/>
        <w:tc>
          <w:tcPr>
            <w:tcW w:w="98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of total held-to-maturity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of total held-to-maturity securities</w:t>
            </w:r>
          </w:p>
        </w:tc>
      </w:tr>
      <w:tr>
        <w:trPr/>
        <w:tc>
          <w:tcPr>
            <w:tcW w:w="2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Traditional securities:</w:t>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traditional securities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PACE assessments:</w:t>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portfolio</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allowance for credit losses on securities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Nonperforming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about our nonperforming assets as of December 31, 2024,December 31, 2023 and December 31, 2022 :</w:t>
      </w:r>
    </w:p>
    <w:tbl>
      <w:tblPr>
        <w:tblW w:w="10205" w:type="dxa"/>
        <w:jc w:val="left"/>
        <w:tblInd w:w="0" w:type="dxa"/>
        <w:tblLayout w:type="fixed"/>
        <w:tblCellMar>
          <w:top w:w="28" w:type="dxa"/>
          <w:left w:w="28" w:type="dxa"/>
          <w:bottom w:w="28" w:type="dxa"/>
          <w:right w:w="28" w:type="dxa"/>
        </w:tblCellMar>
      </w:tblPr>
      <w:tblGrid>
        <w:gridCol w:w="1954"/>
        <w:gridCol w:w="1542"/>
        <w:gridCol w:w="1547"/>
        <w:gridCol w:w="268"/>
        <w:gridCol w:w="918"/>
        <w:gridCol w:w="344"/>
        <w:gridCol w:w="109"/>
        <w:gridCol w:w="109"/>
        <w:gridCol w:w="109"/>
        <w:gridCol w:w="362"/>
        <w:gridCol w:w="659"/>
        <w:gridCol w:w="441"/>
        <w:gridCol w:w="109"/>
        <w:gridCol w:w="109"/>
        <w:gridCol w:w="109"/>
        <w:gridCol w:w="356"/>
        <w:gridCol w:w="646"/>
        <w:gridCol w:w="514"/>
      </w:tblGrid>
      <w:tr>
        <w:trPr/>
        <w:tc>
          <w:tcPr>
            <w:tcW w:w="195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90 days past due and accruing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held for sale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 Commercial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16,041 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 Retail</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assets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25,870 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34,203 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28,649 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Nonaccrual loans:</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and industrial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Multifamily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real estate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Construction and land development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16,041 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Consumer solar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Consumer and other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nonaccrual loans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21,009 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21,699 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assets to total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assets to total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Nonaccrual loans to total loans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loans to nonaccrual loans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286.00 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207.53 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loans to total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charge-offs to average loans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Ratio of net recoveries (charge-offs) to average loans outstanding during the period:</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and industrial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Multifamily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real estate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Construction and land development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Consumer and other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rPr>
        <w:t xml:space="preserve">Nonperforming assets totaled </w:t>
      </w:r>
      <w:r>
        <w:rPr>
          <w:rFonts w:ascii="Times New Roman;sans-serif" w:hAnsi="Times New Roman;sans-serif"/>
          <w:b w:val="false"/>
          <w:color w:val="000000"/>
          <w:sz w:val="20"/>
          <w:shd w:fill="FFFFFF" w:val="clear"/>
        </w:rPr>
        <w:t>$25.9 million</w:t>
      </w:r>
      <w:r>
        <w:rPr>
          <w:rFonts w:ascii="Times New Roman;sans-serif" w:hAnsi="Times New Roman;sans-serif"/>
          <w:b w:val="false"/>
          <w:color w:val="000000"/>
          <w:sz w:val="20"/>
        </w:rPr>
        <w:t xml:space="preserve">, or 0.31% of period-end total assets at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a decrease of $8.3 million, compared with $34.2 million, or 0.43% of period-end total assets at December 31, 2023. The decrease in nonperforming assets at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compared to December 31, 2023 was primarily driven by an decrease in commercial and industrial loans on nonaccrual status.</w:t>
      </w:r>
    </w:p>
    <w:p>
      <w:pPr>
        <w:pStyle w:val="TextBody"/>
        <w:bidi w:val="0"/>
        <w:spacing w:lineRule="auto" w:line="288" w:before="240" w:after="283"/>
        <w:jc w:val="both"/>
        <w:rPr/>
      </w:pPr>
      <w:r>
        <w:rPr>
          <w:rFonts w:ascii="Times New Roman;sans-serif" w:hAnsi="Times New Roman;sans-serif"/>
          <w:b w:val="false"/>
          <w:color w:val="000000"/>
          <w:sz w:val="20"/>
        </w:rPr>
        <w:t>Refer to "</w:t>
      </w:r>
      <w:r>
        <w:rPr>
          <w:rFonts w:ascii="Times New Roman;sans-serif" w:hAnsi="Times New Roman;sans-serif"/>
          <w:b w:val="false"/>
          <w:i/>
          <w:color w:val="000000"/>
          <w:sz w:val="20"/>
        </w:rPr>
        <w:t>Allowance for Credit Losses</w:t>
      </w:r>
      <w:r>
        <w:rPr>
          <w:rFonts w:ascii="Times New Roman;sans-serif" w:hAnsi="Times New Roman;sans-serif"/>
          <w:b w:val="false"/>
          <w:color w:val="000000"/>
          <w:sz w:val="20"/>
        </w:rPr>
        <w:t>" for discussion on the allowance for credit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Potential problem loans are loans which management has doubts as to the ability of the borrowers to comply with the present loan repayment terms. Potential problem loans are performing loans and include our special mention and substandard-accruing commercial loans and/or loans 30-89 days past due. Potential problem loans are not included in the nonperforming assets table above and totaled $109.4 million, or 1.3% of total assets, at December 31, 2024, as follows: $79.9 million are commercial loans currently in workout that management expects will be rehabilitated; $6.2 million are residential real estate loans at 30-89 days delinquent and $5.6 million are consumer loans at 30-89 days delinquent.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 $8.2 million multifamily loan that was in the process of being refinanced has been included as 30-89 days past due as it was past the maturity date. This loan was subsequently refinanced and is performing in accordance with the updated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Resell Agreements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As of December 31, 2024, w</w:t>
      </w:r>
      <w:r>
        <w:rPr>
          <w:rFonts w:ascii="Times New Roman;sans-serif" w:hAnsi="Times New Roman;sans-serif"/>
          <w:b w:val="false"/>
          <w:color w:val="000000"/>
          <w:sz w:val="20"/>
        </w:rPr>
        <w:t xml:space="preserve">e entered into $23.7 million in short term investments of resell agreements backed by residential mortgage loans, with a weighted interest rate of 6.91%.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w</w:t>
      </w:r>
      <w:r>
        <w:rPr>
          <w:rFonts w:ascii="Times New Roman;sans-serif" w:hAnsi="Times New Roman;sans-serif"/>
          <w:b w:val="false"/>
          <w:color w:val="000000"/>
          <w:sz w:val="20"/>
        </w:rPr>
        <w:t xml:space="preserve">e entered into $50.0 million of short term investments of resell agreements backed by residential first-lien mortgage loans, with a weighted interest rate of 6.34%.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Deferred Tax Asset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a deferred tax asset, net of deferred tax liabilities, of $42.4 million at December 31, 2024 and $56.6 million at December 31, 2023. As of December 31, 2024, our deferred tax assets were fully realizable with no valuation allowance held against the balance. Our management concluded that it was more-likely-than-not that the entire amount will be realized.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evaluate the recoverability of our net deferred tax asset on a periodic basis and record decreases (increases) as a deferred tax provision (benefit) in the Consolidated Statements of Income as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Deposits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represent our primary source of funds. We are focused on growing our core deposits through relationship-based banking with our business and consumer clients. Total deposits were $7.18 billion at December 31, 2024, compared to $7.01 billion at December 31, 2023. We believe that our strong deposit franchise is attributable to our mission-based strategy of developing and maintaining relationships with our clients who share similar values and through maintaining a high level of service.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ICS accounts, Certificate of Deposit Account Registry Service accounts, and brokered certificates of deposit. We bank politically active customers, such as campaigns, PACs, and state and national party committees, which we refer to as political deposits. These deposits exhibit seasonality based on election cycles. As of December 31, 2024 and December 31, 2023, we had approximately $969.6 million and $1.19 billion, respectively, in on-balance sheet and off-balance sheet political deposits which are primarily in demand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average balance amounts and the average rates paid on deposits held by us for the years ended December 31, 2024, December 31, 2023 and December 31, 2022.</w:t>
      </w:r>
    </w:p>
    <w:tbl>
      <w:tblPr>
        <w:tblW w:w="13325" w:type="dxa"/>
        <w:jc w:val="left"/>
        <w:tblInd w:w="0" w:type="dxa"/>
        <w:tblLayout w:type="fixed"/>
        <w:tblCellMar>
          <w:top w:w="28" w:type="dxa"/>
          <w:left w:w="28" w:type="dxa"/>
          <w:bottom w:w="28" w:type="dxa"/>
          <w:right w:w="28" w:type="dxa"/>
        </w:tblCellMar>
      </w:tblPr>
      <w:tblGrid>
        <w:gridCol w:w="575"/>
        <w:gridCol w:w="506"/>
        <w:gridCol w:w="510"/>
        <w:gridCol w:w="196"/>
        <w:gridCol w:w="871"/>
        <w:gridCol w:w="109"/>
        <w:gridCol w:w="109"/>
        <w:gridCol w:w="109"/>
        <w:gridCol w:w="109"/>
        <w:gridCol w:w="196"/>
        <w:gridCol w:w="736"/>
        <w:gridCol w:w="109"/>
        <w:gridCol w:w="109"/>
        <w:gridCol w:w="109"/>
        <w:gridCol w:w="109"/>
        <w:gridCol w:w="297"/>
        <w:gridCol w:w="169"/>
        <w:gridCol w:w="398"/>
        <w:gridCol w:w="109"/>
        <w:gridCol w:w="109"/>
        <w:gridCol w:w="109"/>
        <w:gridCol w:w="196"/>
        <w:gridCol w:w="871"/>
        <w:gridCol w:w="109"/>
        <w:gridCol w:w="109"/>
        <w:gridCol w:w="109"/>
        <w:gridCol w:w="109"/>
        <w:gridCol w:w="196"/>
        <w:gridCol w:w="646"/>
        <w:gridCol w:w="109"/>
        <w:gridCol w:w="109"/>
        <w:gridCol w:w="109"/>
        <w:gridCol w:w="109"/>
        <w:gridCol w:w="297"/>
        <w:gridCol w:w="169"/>
        <w:gridCol w:w="398"/>
        <w:gridCol w:w="109"/>
        <w:gridCol w:w="109"/>
        <w:gridCol w:w="109"/>
        <w:gridCol w:w="196"/>
        <w:gridCol w:w="871"/>
        <w:gridCol w:w="109"/>
        <w:gridCol w:w="109"/>
        <w:gridCol w:w="109"/>
        <w:gridCol w:w="109"/>
        <w:gridCol w:w="196"/>
        <w:gridCol w:w="646"/>
        <w:gridCol w:w="109"/>
        <w:gridCol w:w="109"/>
        <w:gridCol w:w="109"/>
        <w:gridCol w:w="109"/>
        <w:gridCol w:w="302"/>
        <w:gridCol w:w="164"/>
        <w:gridCol w:w="453"/>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2524" w:type="dxa"/>
            <w:gridSpan w:val="12"/>
            <w:tcBorders/>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 Rate Paid</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demand and transaction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deposit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Brokered CDs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7,405,653 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6,921,420 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6,922,870 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participation through ICS, our off-balance sheet deposits totaled zero at December 31, 2024 and $303.1 million at December 31,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uninsured deposits of $3.71 billion, $4.04 billion, and $4.52 billion for the years ended 2024, 2023, and 2022, respectively. The decrease in uninsured deposits compared to the prior year is driven by customers moving excess funds into reciprocal deposit products.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time certificates of deposit and other time deposits of $250,000 or more outstanding at December 31, 2024 are summarized as follows:</w:t>
      </w:r>
    </w:p>
    <w:tbl>
      <w:tblPr>
        <w:tblW w:w="6008" w:type="dxa"/>
        <w:jc w:val="left"/>
        <w:tblInd w:w="0" w:type="dxa"/>
        <w:tblLayout w:type="fixed"/>
        <w:tblCellMar>
          <w:top w:w="28" w:type="dxa"/>
          <w:left w:w="28" w:type="dxa"/>
          <w:bottom w:w="28" w:type="dxa"/>
          <w:right w:w="28" w:type="dxa"/>
        </w:tblCellMar>
      </w:tblPr>
      <w:tblGrid>
        <w:gridCol w:w="1309"/>
        <w:gridCol w:w="1151"/>
        <w:gridCol w:w="1154"/>
        <w:gridCol w:w="465"/>
        <w:gridCol w:w="1590"/>
        <w:gridCol w:w="339"/>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0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 as of December 31, 2024</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three months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three but within six months </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six months but within twelve months </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twelve months </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48,482 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and loan portfolios and deposits. The complexity of liquidity management increases due to the varying levels of management control that can be exerted over different elements of the balance sheet. For example, the timing of maturities of our investment portfolio is fairly predictable and subject to a high degree of control when we make investment decisions. Net deposit inflows and outflows, however, are far less predictable and are not subject to the same degree of certainty.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18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 </w:t>
      </w:r>
    </w:p>
    <w:p>
      <w:pPr>
        <w:pStyle w:val="TextBody"/>
        <w:bidi w:val="0"/>
        <w:spacing w:lineRule="auto" w:line="288" w:before="240" w:after="283"/>
        <w:jc w:val="both"/>
        <w:rPr/>
      </w:pPr>
      <w:r>
        <w:rPr>
          <w:rFonts w:ascii="Times New Roman;sans-serif" w:hAnsi="Times New Roman;sans-serif"/>
          <w:b w:val="false"/>
          <w:color w:val="000000"/>
          <w:sz w:val="20"/>
        </w:rPr>
        <w:t xml:space="preserve">At December 31, 2024, our cash and equivalents, which consist of cash and amounts due from banks and interest-bearing deposits in other financial institutions, amounted to $60.7 million, or 0.7% of total assets, compared to $90.6 million, or 1.1% of total assets at December 31, 2023. The $29.8 million, or 32.9%, decrease is due to normal business activities, strategic investment securities sales, and borrowings. Our available for sale securities at December 31, 2024 were $1.63 billion, or 19.7% of total assets, compared to $1.48 billion, or 18.6% of total assets at December 31, 2023. Available for sale securities with an aggregate fair value at </w:t>
      </w:r>
      <w:r>
        <w:rPr>
          <w:rFonts w:ascii="Times New Roman;sans-serif" w:hAnsi="Times New Roman;sans-serif"/>
          <w:b w:val="false"/>
          <w:color w:val="000000"/>
          <w:sz w:val="20"/>
          <w:shd w:fill="FFFFFF" w:val="clear"/>
        </w:rPr>
        <w:t xml:space="preserve">December 31, 2024 of </w:t>
      </w:r>
      <w:r>
        <w:rPr>
          <w:rFonts w:ascii="Times New Roman;sans-serif" w:hAnsi="Times New Roman;sans-serif"/>
          <w:b w:val="false"/>
          <w:color w:val="000000"/>
          <w:sz w:val="20"/>
        </w:rPr>
        <w:t>$1.05 billion were pledged to secure outstanding advances, letters of credit, provide additional borrowing potential, and collateralize municipal deposits. Additionally, mortgage loans with an unpaid principal balance of $2.45 billion were pledged to the FHLBNY to secure outstanding advances, letters of credit and to provide additional borrowing potential.</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w:t>
      </w:r>
      <w:r>
        <w:rPr>
          <w:rFonts w:ascii="Times New Roman;sans-serif" w:hAnsi="Times New Roman;sans-serif"/>
          <w:b w:val="false"/>
          <w:color w:val="000000"/>
          <w:sz w:val="20"/>
        </w:rPr>
        <w:t>loans be pledged to secure any advances. At December 31, 2024, we had $250.7 million in advances from the FHLBNY and a remaining credit availability of $1.78 billion. In addition, we maintain additional borrowing capacity of approximately $890.7 million with the Federal Reserve’s discount window that is secured by certain securities from our portfolio which are not pledged for other purposes. There was no outstanding balance related to borrowings from the Bank Term Funding Program ("BTFP") at December 31, 2024.</w:t>
      </w:r>
    </w:p>
    <w:p>
      <w:pPr>
        <w:pStyle w:val="TextBody"/>
        <w:bidi w:val="0"/>
        <w:spacing w:lineRule="auto" w:line="288" w:before="240" w:after="283"/>
        <w:jc w:val="both"/>
        <w:rPr/>
      </w:pPr>
      <w:r>
        <w:rPr>
          <w:rFonts w:ascii="Times New Roman;sans-serif" w:hAnsi="Times New Roman;sans-serif"/>
          <w:b w:val="false"/>
          <w:color w:val="000000"/>
          <w:sz w:val="20"/>
        </w:rPr>
        <w:t xml:space="preserve">We also had $63.7 million in subordinated debt, net of issuance costs. We had $5.9 million in repurchase of subordinated debt. </w:t>
      </w:r>
      <w:r>
        <w:rPr>
          <w:rFonts w:ascii="Times New Roman;sans-serif" w:hAnsi="Times New Roman;sans-serif"/>
          <w:b w:val="false"/>
          <w:color w:val="000000"/>
          <w:sz w:val="20"/>
          <w:shd w:fill="FFFFFF" w:val="clear"/>
        </w:rPr>
        <w:t>Our cash and borrowing capacity totale</w:t>
      </w:r>
      <w:r>
        <w:rPr>
          <w:rFonts w:ascii="Times New Roman;sans-serif" w:hAnsi="Times New Roman;sans-serif"/>
          <w:b w:val="false"/>
          <w:color w:val="000000"/>
          <w:sz w:val="20"/>
        </w:rPr>
        <w:t>d $2.74 billion of immediately available funds, in addition to unpledged securities with two-day availability of $441.0 million for total liquidity within two-days of $3.18 billion</w:t>
      </w:r>
      <w:r>
        <w:rPr>
          <w:rFonts w:ascii="Times New Roman;sans-serif" w:hAnsi="Times New Roman;sans-serif"/>
          <w:b w:val="false"/>
          <w:color w:val="000000"/>
          <w:sz w:val="20"/>
          <w:shd w:fill="FFFFFF" w:val="clear"/>
        </w:rPr>
        <w:t>, which provided coverage for 86% of total uninsured deposits.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agreements with Pace Funding Group LLC, which operates Home Run Financing, for the purchase of PACE assessment securities. As of December 31, 2024, the estimated remaining commitment was $100.0 million. This was increased to $250.0 million in February 2025 and extended to December 2026.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 Resources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 December 31, 2024 was $707.7 million, compared to $585.4 million at December 31, 2023, an increase of $122.3 million. The increase was primarily driven by $106.4 million in net income and a $27.4 million increase in accumulated other comprehensive income due to the mark to market on our available for sale securities portfolio, offset by $14.3 million in dividends paid at $0.46 per outstanding share, and $1.1 million in stock repurchases.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Basel III regulatory capital rules impose minimum capital requirements for bank holding companies and banks. Theese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regulatory capital ratios for the Company and the Bank at the dates indicated:</w:t>
      </w:r>
    </w:p>
    <w:tbl>
      <w:tblPr>
        <w:tblW w:w="10205" w:type="dxa"/>
        <w:jc w:val="left"/>
        <w:tblInd w:w="0" w:type="dxa"/>
        <w:tblLayout w:type="fixed"/>
        <w:tblCellMar>
          <w:top w:w="28" w:type="dxa"/>
          <w:left w:w="28" w:type="dxa"/>
          <w:bottom w:w="28" w:type="dxa"/>
          <w:right w:w="28" w:type="dxa"/>
        </w:tblCellMar>
      </w:tblPr>
      <w:tblGrid>
        <w:gridCol w:w="979"/>
        <w:gridCol w:w="714"/>
        <w:gridCol w:w="695"/>
        <w:gridCol w:w="211"/>
        <w:gridCol w:w="826"/>
        <w:gridCol w:w="109"/>
        <w:gridCol w:w="109"/>
        <w:gridCol w:w="109"/>
        <w:gridCol w:w="109"/>
        <w:gridCol w:w="308"/>
        <w:gridCol w:w="308"/>
        <w:gridCol w:w="317"/>
        <w:gridCol w:w="109"/>
        <w:gridCol w:w="109"/>
        <w:gridCol w:w="109"/>
        <w:gridCol w:w="211"/>
        <w:gridCol w:w="826"/>
        <w:gridCol w:w="109"/>
        <w:gridCol w:w="109"/>
        <w:gridCol w:w="109"/>
        <w:gridCol w:w="109"/>
        <w:gridCol w:w="255"/>
        <w:gridCol w:w="256"/>
        <w:gridCol w:w="317"/>
        <w:gridCol w:w="109"/>
        <w:gridCol w:w="109"/>
        <w:gridCol w:w="109"/>
        <w:gridCol w:w="211"/>
        <w:gridCol w:w="826"/>
        <w:gridCol w:w="109"/>
        <w:gridCol w:w="109"/>
        <w:gridCol w:w="109"/>
        <w:gridCol w:w="109"/>
        <w:gridCol w:w="308"/>
        <w:gridCol w:w="308"/>
        <w:gridCol w:w="367"/>
      </w:tblGrid>
      <w:tr>
        <w:trPr/>
        <w:tc>
          <w:tcPr>
            <w:tcW w:w="97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For Capital</w:t>
              <w:br/>
              <w:t>Adequacy Purposes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 Be Considered</w:t>
              <w:br/>
              <w:t>Well Capitalized</w:t>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Actual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r>
      <w:tr>
        <w:trPr/>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2024</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Bank:</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Bank: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 Amounts are shown exclusive of the capital conservation buffer of 2.50%.</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Bank was categorized as “well capitalized” under the prompt corrective action measures and met the capital conservation buffer requirements.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contractual obligations in the normal course of business that involve elements of credit risk, interest rate risk and liquidity risk. The following table summarizes these relations by contractual maturity date as of December 31, 2024:</w:t>
      </w:r>
    </w:p>
    <w:tbl>
      <w:tblPr>
        <w:tblW w:w="9792" w:type="dxa"/>
        <w:jc w:val="left"/>
        <w:tblInd w:w="0" w:type="dxa"/>
        <w:tblLayout w:type="fixed"/>
        <w:tblCellMar>
          <w:top w:w="28" w:type="dxa"/>
          <w:left w:w="28" w:type="dxa"/>
          <w:bottom w:w="28" w:type="dxa"/>
          <w:right w:w="28" w:type="dxa"/>
        </w:tblCellMar>
      </w:tblPr>
      <w:tblGrid>
        <w:gridCol w:w="124"/>
        <w:gridCol w:w="109"/>
        <w:gridCol w:w="649"/>
        <w:gridCol w:w="649"/>
        <w:gridCol w:w="651"/>
        <w:gridCol w:w="211"/>
        <w:gridCol w:w="826"/>
        <w:gridCol w:w="109"/>
        <w:gridCol w:w="109"/>
        <w:gridCol w:w="109"/>
        <w:gridCol w:w="109"/>
        <w:gridCol w:w="273"/>
        <w:gridCol w:w="1071"/>
        <w:gridCol w:w="141"/>
        <w:gridCol w:w="109"/>
        <w:gridCol w:w="109"/>
        <w:gridCol w:w="109"/>
        <w:gridCol w:w="211"/>
        <w:gridCol w:w="721"/>
        <w:gridCol w:w="109"/>
        <w:gridCol w:w="109"/>
        <w:gridCol w:w="109"/>
        <w:gridCol w:w="109"/>
        <w:gridCol w:w="211"/>
        <w:gridCol w:w="616"/>
        <w:gridCol w:w="109"/>
        <w:gridCol w:w="109"/>
        <w:gridCol w:w="109"/>
        <w:gridCol w:w="109"/>
        <w:gridCol w:w="329"/>
        <w:gridCol w:w="1125"/>
        <w:gridCol w:w="2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FHLBNY Advances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Subordinated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489,035 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63,703 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market risk is interest rate risk, which is defined as the risk of loss of net interest income or net interest margin because of changes in interest rates.</w:t>
      </w:r>
    </w:p>
    <w:p>
      <w:pPr>
        <w:pStyle w:val="TextBody"/>
        <w:bidi w:val="0"/>
        <w:spacing w:lineRule="auto" w:line="288" w:before="240" w:after="283"/>
        <w:jc w:val="both"/>
        <w:rPr/>
      </w:pPr>
      <w:r>
        <w:rPr>
          <w:rFonts w:ascii="Times New Roman;sans-serif" w:hAnsi="Times New Roman;sans-serif"/>
          <w:b w:val="false"/>
          <w:color w:val="000000"/>
          <w:sz w:val="20"/>
        </w:rPr>
        <w:t>We seek to measure and manage the potential impact of interest rate risk on our net interest income and net interest expense. Interest rate risk occurs when interest-earning assets and interest-bearing liabilities mature or re-price at different times, on a different basis or in unequal amounts. Interest rate risk also arises when our assets, liabilities and off-balance sheet contracts each respond differently to changes in interest rates, including as a result of explicit and implicit provisions in agreements related to such assets and liabilities and in off-balance sheet contracts that alter the applicable interest rate and cash flow characteristics as interest rates change. The two primary examples of such provisions that we are exposed to are the duration and rate sensitivity associated with indeterminate-maturity deposits (</w:t>
      </w:r>
      <w:r>
        <w:rPr>
          <w:rFonts w:ascii="Times New Roman;sans-serif" w:hAnsi="Times New Roman;sans-serif"/>
          <w:b w:val="false"/>
          <w:i/>
          <w:color w:val="000000"/>
          <w:sz w:val="20"/>
        </w:rPr>
        <w:t>e.g.</w:t>
      </w:r>
      <w:r>
        <w:rPr>
          <w:rFonts w:ascii="Times New Roman;sans-serif" w:hAnsi="Times New Roman;sans-serif"/>
          <w:b w:val="false"/>
          <w:color w:val="000000"/>
          <w:sz w:val="20"/>
        </w:rPr>
        <w:t>, non-interest-bearing checking accounts, negotiable order of withdrawal accounts, savings accounts and money market deposits accounts) and the rate of prepayment associated with fixed-rate lending and mortgage-backed securities. Interest rates may also affect loan demand, credit losses, mortgage origination volume and other items affecting earnings.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 Liability Management Committee, chaired by our Treasurer, manages our interest rate risk according to written policies approved by our Board of Directors. Changes in our risk profiles are monitored and managed on a continual basis while risk limits are based on quarterly calculations. We use two primary models to monitor interest rate risk: economic value of equity and net interest income simulations. Scenarios include parallel shifts, ramped shifts, twists of yield curves and other adverse impacts. In addition, we monitor the impact of changes to various assumptions including asset prepayments and deposit repricing and decay assumptions. Our risk management infrastructure also requires the Asset Liability Management Committee to periodically review and disclose all key assumptions used, compare these assumptions and observations to actual historical experience, and check model reliability and validity by sample testing data inputs, back testing and third party validation.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interest rate risk by monitoring calculated risk measures and balance sheet trends such as growth in fixed rate loans, deposit trends and other factors that affect our risk profile. In order to counter changes in risk, we evaluate costs and other trade-offs associated with changing the composition of assets and liabilities; such as selling fixed rate securities, extending the term of borrowings, derivative hedging transactions, changing pricing of loans or deposits or selling residential mortgage loans in the secondary market. We do not engage in speculative trading activities relating to interest rates, foreign exchange rates, commodity prices, equities or credit.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credit risk. Credit risk is the risk that borrowers or counterparties will be unable or unwilling to repay their obligations in accordance with the underlying contractual terms. We manage and control credit risk in the loan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also includes an independent credit review process that assesses compliance with commercial, real estate and other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 We manage and control credit risk in the securities portfolio by adhering to investment policies established by management. Our written investment policies ensure that our risk is diversified and monitored, and we only invest in securities that have strong credit quality. The credit risk associated with each investment is thoroughly reviewed, and certain investments are required to undergo stress testing of variables to ensure the Company is not subject to undue credit risk.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Interest Rate Risk</w:t>
      </w:r>
    </w:p>
    <w:p>
      <w:pPr>
        <w:pStyle w:val="TextBody"/>
        <w:bidi w:val="0"/>
        <w:spacing w:lineRule="auto" w:line="288" w:before="240" w:after="283"/>
        <w:jc w:val="both"/>
        <w:rPr/>
      </w:pPr>
      <w:r>
        <w:rPr>
          <w:rFonts w:ascii="Times New Roman;sans-serif" w:hAnsi="Times New Roman;sans-serif"/>
          <w:b w:val="false"/>
          <w:color w:val="000000"/>
          <w:sz w:val="20"/>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changes to our net interest income and economic value of equity in hypothetical rising and declining rate scenarios calculated as of December 31, 2024 are presented in the following table. The projections assume immediate, parallel shifts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downward of the yield curve of 100, 200, 300 and 400 basis points and immediate, parallel shifts upward of the yield curve of 100, 200 and 300 basis points.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tbl>
      <w:tblPr>
        <w:tblW w:w="10205" w:type="dxa"/>
        <w:jc w:val="left"/>
        <w:tblInd w:w="0" w:type="dxa"/>
        <w:tblLayout w:type="fixed"/>
        <w:tblCellMar>
          <w:top w:w="28" w:type="dxa"/>
          <w:left w:w="28" w:type="dxa"/>
          <w:bottom w:w="28" w:type="dxa"/>
          <w:right w:w="28" w:type="dxa"/>
        </w:tblCellMar>
      </w:tblPr>
      <w:tblGrid>
        <w:gridCol w:w="124"/>
        <w:gridCol w:w="1015"/>
        <w:gridCol w:w="1015"/>
        <w:gridCol w:w="1018"/>
        <w:gridCol w:w="109"/>
        <w:gridCol w:w="109"/>
        <w:gridCol w:w="109"/>
        <w:gridCol w:w="438"/>
        <w:gridCol w:w="438"/>
        <w:gridCol w:w="439"/>
        <w:gridCol w:w="124"/>
        <w:gridCol w:w="124"/>
        <w:gridCol w:w="124"/>
        <w:gridCol w:w="527"/>
        <w:gridCol w:w="498"/>
        <w:gridCol w:w="500"/>
        <w:gridCol w:w="124"/>
        <w:gridCol w:w="124"/>
        <w:gridCol w:w="124"/>
        <w:gridCol w:w="392"/>
        <w:gridCol w:w="392"/>
        <w:gridCol w:w="393"/>
        <w:gridCol w:w="124"/>
        <w:gridCol w:w="124"/>
        <w:gridCol w:w="124"/>
        <w:gridCol w:w="457"/>
        <w:gridCol w:w="457"/>
        <w:gridCol w:w="659"/>
      </w:tblGrid>
      <w:tr>
        <w:trPr/>
        <w:tc>
          <w:tcPr>
            <w:tcW w:w="12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Market Interest Rates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Increase (Decrease) in: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Immediate Shift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Economic Value of</w:t>
              <w:br/>
              <w:t>Equity</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Economic Value of</w:t>
              <w:br/>
              <w:t>Equity ($ in thousands)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1 Net Interest</w:t>
              <w:br/>
              <w:t>Income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1 Net Interest</w:t>
              <w:br/>
              <w:t>Income ($ 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(317,148)</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(21,249)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(191,348)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(9,346)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(72,895)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(7,698)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(6,390)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(93,436)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(16,534)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(264,541.1)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(27,389)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(583,218.2)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(44,716)</w:t>
            </w:r>
          </w:p>
        </w:tc>
      </w:tr>
    </w:tbl>
    <w:p>
      <w:pPr>
        <w:pStyle w:val="TextBody"/>
        <w:bidi w:val="0"/>
        <w:spacing w:before="216"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8.      Financial Statements and Supplementary Data</w:t>
      </w:r>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Index to the Financial Statements</w:t>
      </w:r>
    </w:p>
    <w:tbl>
      <w:tblPr>
        <w:tblW w:w="10081" w:type="dxa"/>
        <w:jc w:val="left"/>
        <w:tblInd w:w="0" w:type="dxa"/>
        <w:tblLayout w:type="fixed"/>
        <w:tblCellMar>
          <w:top w:w="28" w:type="dxa"/>
          <w:left w:w="28" w:type="dxa"/>
          <w:bottom w:w="28" w:type="dxa"/>
          <w:right w:w="28" w:type="dxa"/>
        </w:tblCellMar>
      </w:tblPr>
      <w:tblGrid>
        <w:gridCol w:w="3484"/>
        <w:gridCol w:w="3061"/>
        <w:gridCol w:w="3070"/>
        <w:gridCol w:w="136"/>
        <w:gridCol w:w="136"/>
        <w:gridCol w:w="194"/>
      </w:tblGrid>
      <w:tr>
        <w:trPr/>
        <w:tc>
          <w:tcPr>
            <w:tcW w:w="3484"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4f25749c4972acadec6e129385c2_139">
              <w:r>
                <w:rPr>
                  <w:rStyle w:val="InternetLink"/>
                  <w:rFonts w:ascii="Times New Roman;sans-serif" w:hAnsi="Times New Roman;sans-serif"/>
                  <w:b w:val="false"/>
                  <w:color w:val="000080"/>
                  <w:sz w:val="20"/>
                  <w:u w:val="single"/>
                </w:rPr>
                <w:t xml:space="preserve">Consolidated Statements of Financial Condition as of </w:t>
              </w:r>
            </w:hyperlink>
            <w:r>
              <w:rPr>
                <w:rFonts w:ascii="Times New Roman;sans-serif" w:hAnsi="Times New Roman;sans-serif"/>
                <w:b w:val="false"/>
                <w:color w:val="0E32E1"/>
                <w:sz w:val="20"/>
                <w:u w:val="single"/>
              </w:rPr>
              <w:t>December 31, 2024 and 2023</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394f25749c4972acadec6e129385c2_139">
              <w:r>
                <w:rPr>
                  <w:rStyle w:val="InternetLink"/>
                  <w:rFonts w:ascii="Times New Roman;sans-serif" w:hAnsi="Times New Roman;sans-serif"/>
                  <w:b w:val="false"/>
                  <w:strike w:val="false"/>
                  <w:dstrike w:val="false"/>
                  <w:color w:val="000000"/>
                  <w:sz w:val="20"/>
                  <w:u w:val="none"/>
                  <w:effect w:val="none"/>
                </w:rPr>
                <w:t>80</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4f25749c4972acadec6e129385c2_142">
              <w:r>
                <w:rPr>
                  <w:rStyle w:val="InternetLink"/>
                  <w:rFonts w:ascii="Times New Roman;sans-serif" w:hAnsi="Times New Roman;sans-serif"/>
                  <w:b w:val="false"/>
                  <w:color w:val="000080"/>
                  <w:sz w:val="20"/>
                  <w:u w:val="single"/>
                </w:rPr>
                <w:t>Consolidated Statements of Income for the years ended</w:t>
              </w:r>
            </w:hyperlink>
            <w:r>
              <w:rPr>
                <w:rFonts w:ascii="Times New Roman;sans-serif" w:hAnsi="Times New Roman;sans-serif"/>
                <w:b w:val="false"/>
                <w:color w:val="0E32E1"/>
                <w:sz w:val="20"/>
                <w:u w:val="single"/>
              </w:rPr>
              <w:t xml:space="preserve"> December 31, 2024, 2023, and 2022</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394f25749c4972acadec6e129385c2_142">
              <w:r>
                <w:rPr>
                  <w:rStyle w:val="InternetLink"/>
                  <w:rFonts w:ascii="Times New Roman;sans-serif" w:hAnsi="Times New Roman;sans-serif"/>
                  <w:b w:val="false"/>
                  <w:strike w:val="false"/>
                  <w:dstrike w:val="false"/>
                  <w:color w:val="000000"/>
                  <w:sz w:val="20"/>
                  <w:u w:val="none"/>
                  <w:effect w:val="none"/>
                </w:rPr>
                <w:t>81</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4f25749c4972acadec6e129385c2_145">
              <w:r>
                <w:rPr>
                  <w:rStyle w:val="InternetLink"/>
                  <w:rFonts w:ascii="Times New Roman;sans-serif" w:hAnsi="Times New Roman;sans-serif"/>
                  <w:b w:val="false"/>
                  <w:color w:val="000080"/>
                  <w:sz w:val="20"/>
                  <w:u w:val="single"/>
                </w:rPr>
                <w:t>Consolidated Statements of Comprehensive Income</w:t>
              </w:r>
            </w:hyperlink>
            <w:hyperlink w:anchor="iac394f25749c4972acadec6e129385c2_145">
              <w:r>
                <w:rPr>
                  <w:rStyle w:val="InternetLink"/>
                  <w:rFonts w:ascii="Times New Roman;sans-serif" w:hAnsi="Times New Roman;sans-serif"/>
                  <w:b w:val="false"/>
                  <w:color w:val="000080"/>
                  <w:sz w:val="20"/>
                  <w:u w:val="single"/>
                </w:rPr>
                <w:t xml:space="preserve"> (Loss)</w:t>
              </w:r>
            </w:hyperlink>
            <w:hyperlink w:anchor="iac394f25749c4972acadec6e129385c2_145">
              <w:r>
                <w:rPr>
                  <w:rStyle w:val="InternetLink"/>
                  <w:rFonts w:ascii="Times New Roman;sans-serif" w:hAnsi="Times New Roman;sans-serif"/>
                  <w:b w:val="false"/>
                  <w:color w:val="000080"/>
                  <w:sz w:val="20"/>
                  <w:u w:val="single"/>
                </w:rPr>
                <w:t xml:space="preserve"> for the years ended </w:t>
              </w:r>
            </w:hyperlink>
            <w:r>
              <w:rPr>
                <w:rFonts w:ascii="Times New Roman;sans-serif" w:hAnsi="Times New Roman;sans-serif"/>
                <w:b w:val="false"/>
                <w:color w:val="0E32E1"/>
                <w:sz w:val="20"/>
                <w:u w:val="single"/>
              </w:rPr>
              <w:t>December 31, 2024, 2023, and 2022</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394f25749c4972acadec6e129385c2_145">
              <w:r>
                <w:rPr>
                  <w:rStyle w:val="InternetLink"/>
                  <w:rFonts w:ascii="Times New Roman;sans-serif" w:hAnsi="Times New Roman;sans-serif"/>
                  <w:b w:val="false"/>
                  <w:strike w:val="false"/>
                  <w:dstrike w:val="false"/>
                  <w:color w:val="000000"/>
                  <w:sz w:val="20"/>
                  <w:u w:val="none"/>
                  <w:effect w:val="none"/>
                </w:rPr>
                <w:t>82</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4f25749c4972acadec6e129385c2_148">
              <w:r>
                <w:rPr>
                  <w:rStyle w:val="InternetLink"/>
                  <w:rFonts w:ascii="Times New Roman;sans-serif" w:hAnsi="Times New Roman;sans-serif"/>
                  <w:b w:val="false"/>
                  <w:color w:val="000080"/>
                  <w:sz w:val="20"/>
                  <w:u w:val="single"/>
                </w:rPr>
                <w:t xml:space="preserve">Consolidated Statements of Changes in Stockholders' Equity for the years ended </w:t>
              </w:r>
            </w:hyperlink>
            <w:r>
              <w:rPr>
                <w:rFonts w:ascii="Times New Roman;sans-serif" w:hAnsi="Times New Roman;sans-serif"/>
                <w:b w:val="false"/>
                <w:color w:val="0E32E1"/>
                <w:sz w:val="20"/>
                <w:u w:val="single"/>
              </w:rPr>
              <w:t>December 31, 2024, 2023, and 2022</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394f25749c4972acadec6e129385c2_148">
              <w:r>
                <w:rPr>
                  <w:rStyle w:val="InternetLink"/>
                  <w:rFonts w:ascii="Times New Roman;sans-serif" w:hAnsi="Times New Roman;sans-serif"/>
                  <w:b w:val="false"/>
                  <w:strike w:val="false"/>
                  <w:dstrike w:val="false"/>
                  <w:color w:val="000000"/>
                  <w:sz w:val="20"/>
                  <w:u w:val="none"/>
                  <w:effect w:val="none"/>
                </w:rPr>
                <w:t>83</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4f25749c4972acadec6e129385c2_151">
              <w:r>
                <w:rPr>
                  <w:rStyle w:val="InternetLink"/>
                  <w:rFonts w:ascii="Times New Roman;sans-serif" w:hAnsi="Times New Roman;sans-serif"/>
                  <w:b w:val="false"/>
                  <w:color w:val="000080"/>
                  <w:sz w:val="20"/>
                  <w:u w:val="single"/>
                </w:rPr>
                <w:t xml:space="preserve">Consolidated Statements of Cash Flows for the years ended </w:t>
              </w:r>
            </w:hyperlink>
            <w:r>
              <w:rPr>
                <w:rFonts w:ascii="Times New Roman;sans-serif" w:hAnsi="Times New Roman;sans-serif"/>
                <w:b w:val="false"/>
                <w:color w:val="0E32E1"/>
                <w:sz w:val="20"/>
                <w:u w:val="single"/>
              </w:rPr>
              <w:t>December 31, 2024, 2023, and 2022</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394f25749c4972acadec6e129385c2_151">
              <w:r>
                <w:rPr>
                  <w:rStyle w:val="InternetLink"/>
                  <w:rFonts w:ascii="Times New Roman;sans-serif" w:hAnsi="Times New Roman;sans-serif"/>
                  <w:b w:val="false"/>
                  <w:strike w:val="false"/>
                  <w:dstrike w:val="false"/>
                  <w:color w:val="000000"/>
                  <w:sz w:val="20"/>
                  <w:u w:val="none"/>
                  <w:effect w:val="none"/>
                </w:rPr>
                <w:t>84</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4f25749c4972acadec6e129385c2_154">
              <w:r>
                <w:rPr>
                  <w:rStyle w:val="InternetLink"/>
                  <w:rFonts w:ascii="Times New Roman;sans-serif" w:hAnsi="Times New Roman;sans-serif"/>
                  <w:b w:val="false"/>
                  <w:color w:val="0E32E1"/>
                  <w:sz w:val="20"/>
                  <w:u w:val="single"/>
                </w:rPr>
                <w:t>Notes to the Consolidated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394f25749c4972acadec6e129385c2_154">
              <w:r>
                <w:rPr>
                  <w:rStyle w:val="InternetLink"/>
                  <w:rFonts w:ascii="Times New Roman;sans-serif" w:hAnsi="Times New Roman;sans-serif"/>
                  <w:b w:val="false"/>
                  <w:strike w:val="false"/>
                  <w:dstrike w:val="false"/>
                  <w:color w:val="000000"/>
                  <w:sz w:val="20"/>
                  <w:u w:val="none"/>
                  <w:effect w:val="none"/>
                </w:rPr>
                <w:t>86</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4f25749c4972acadec6e129385c2_217">
              <w:r>
                <w:rPr>
                  <w:rStyle w:val="InternetLink"/>
                  <w:rFonts w:ascii="Times New Roman;sans-serif" w:hAnsi="Times New Roman;sans-serif"/>
                  <w:b w:val="false"/>
                  <w:color w:val="000080"/>
                  <w:sz w:val="20"/>
                  <w:u w:val="single"/>
                </w:rPr>
                <w:t xml:space="preserve">Report of Independent Registered Accounting Firm, </w:t>
              </w:r>
            </w:hyperlink>
            <w:r>
              <w:rPr>
                <w:rFonts w:ascii="Times New Roman;sans-serif" w:hAnsi="Times New Roman;sans-serif"/>
                <w:b w:val="false"/>
                <w:color w:val="0E32E1"/>
                <w:sz w:val="20"/>
                <w:u w:val="single"/>
              </w:rPr>
              <w:t>Crowe LLP, New York, New York (PCAOB ID 173)</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394f25749c4972acadec6e129385c2_217">
              <w:r>
                <w:rPr>
                  <w:rStyle w:val="InternetLink"/>
                  <w:rFonts w:ascii="Times New Roman;sans-serif" w:hAnsi="Times New Roman;sans-serif"/>
                  <w:b w:val="false"/>
                  <w:strike w:val="false"/>
                  <w:dstrike w:val="false"/>
                  <w:color w:val="000000"/>
                  <w:sz w:val="20"/>
                  <w:u w:val="none"/>
                  <w:effect w:val="none"/>
                </w:rPr>
                <w:t>142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84"/>
        <w:gridCol w:w="2080"/>
        <w:gridCol w:w="1977"/>
        <w:gridCol w:w="249"/>
        <w:gridCol w:w="1107"/>
        <w:gridCol w:w="138"/>
        <w:gridCol w:w="138"/>
        <w:gridCol w:w="138"/>
        <w:gridCol w:w="138"/>
        <w:gridCol w:w="249"/>
        <w:gridCol w:w="1107"/>
        <w:gridCol w:w="200"/>
      </w:tblGrid>
      <w:tr>
        <w:trPr/>
        <w:tc>
          <w:tcPr>
            <w:tcW w:w="2684"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Financial Condition</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(Dollars in thousands except for per share amounts)</w:t>
            </w:r>
          </w:p>
        </w:tc>
      </w:tr>
      <w:tr>
        <w:trPr/>
        <w:tc>
          <w:tcPr>
            <w:tcW w:w="10205"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 in banks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60,749 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90,570 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Available for sale, at fair value:</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Traditional securities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1,477,047 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1,429,739 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Property Assessed Clean Energy ("PACE") assessments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1,629,058 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1,483,042 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Held-to-maturity, at amortized cost:</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Traditional securities, net of allowance for credit losses of $49 and $54, respectively</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542,246 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620,232 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PACE assessments, net of allowance for credit losses of $655 and $667, respectively</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1,043,959 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1,076,602 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1,586,205 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1,696,834 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sale</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receivable, net of deferred loan origination fees and costs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4,672,924 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4,411,319 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(60,086)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(65,691)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receivable, net</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4,612,838 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4,345,628 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Resell agreements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Home Loan Bank of New York ("FHLBNY") stock, at cost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receivable</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Bank-owned life insurance</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lease asset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 net</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investments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assets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8,256,892 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7,972,324 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7,180,605 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7,011,988 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314,409 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304,927 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30,646 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liabilities</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7,549,238 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7,386,960 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4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 (70,000,000 shares authorized; 30,809,484 and 30,736,141 shares issued, respectively, and 30,670,982 and 30,428,359 shares outstanding, respectively)</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288,656 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288,232 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480,144 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388,033 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 net of income taxes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(86,004)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(138,502 and 307,782 shares, respectively)</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Amalgamated Financial Corp. stockholders' equity</w:t>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707,654 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585,231 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stockholders' equity</w:t>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707,654 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585,364 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liabilities and stockholders’ equity</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8,256,892 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7,972,324 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600"/>
        <w:jc w:val="left"/>
        <w:rPr/>
      </w:pPr>
      <w:r>
        <w:rPr/>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2019"/>
        <w:gridCol w:w="1621"/>
        <w:gridCol w:w="1626"/>
        <w:gridCol w:w="213"/>
        <w:gridCol w:w="834"/>
        <w:gridCol w:w="109"/>
        <w:gridCol w:w="109"/>
        <w:gridCol w:w="109"/>
        <w:gridCol w:w="109"/>
        <w:gridCol w:w="213"/>
        <w:gridCol w:w="834"/>
        <w:gridCol w:w="109"/>
        <w:gridCol w:w="109"/>
        <w:gridCol w:w="109"/>
        <w:gridCol w:w="109"/>
        <w:gridCol w:w="213"/>
        <w:gridCol w:w="834"/>
        <w:gridCol w:w="109"/>
        <w:gridCol w:w="109"/>
        <w:gridCol w:w="109"/>
        <w:gridCol w:w="109"/>
        <w:gridCol w:w="109"/>
        <w:gridCol w:w="109"/>
        <w:gridCol w:w="109"/>
        <w:gridCol w:w="163"/>
      </w:tblGrid>
      <w:tr>
        <w:trPr/>
        <w:tc>
          <w:tcPr>
            <w:tcW w:w="201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388"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Income</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(Dollars in thousands, except for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5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Loans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Securities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Interest-bearing deposits in banks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and dividend income</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Deposits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Borrowed funds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expense</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interest income after provision for credit losses</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Trust Department fees </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Service charges on deposit accounts </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Bank-owned life insurance income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Losses on sale of securities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Gain (loss) on sale of loans and changes in fair value on loans held-for-sale, net </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on other real estate owned, net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Equity method investments income (loss)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income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income</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Compensation and employee benefits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Occupancy and depreciation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Professional fees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Data processing</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Office maintenance and depreciation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intangible assets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 and promotion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Federal deposit insurance premiums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expense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expense</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tax expense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basic</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600"/>
        <w:jc w:val="left"/>
        <w:rPr/>
      </w:pPr>
      <w:r>
        <w:rPr/>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1914"/>
        <w:gridCol w:w="1643"/>
        <w:gridCol w:w="1658"/>
        <w:gridCol w:w="257"/>
        <w:gridCol w:w="1008"/>
        <w:gridCol w:w="132"/>
        <w:gridCol w:w="132"/>
        <w:gridCol w:w="132"/>
        <w:gridCol w:w="132"/>
        <w:gridCol w:w="257"/>
        <w:gridCol w:w="1008"/>
        <w:gridCol w:w="132"/>
        <w:gridCol w:w="132"/>
        <w:gridCol w:w="132"/>
        <w:gridCol w:w="132"/>
        <w:gridCol w:w="257"/>
        <w:gridCol w:w="948"/>
        <w:gridCol w:w="199"/>
      </w:tblGrid>
      <w:tr>
        <w:trPr/>
        <w:tc>
          <w:tcPr>
            <w:tcW w:w="191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Comprehensive Income (Loss)</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5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521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521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total obligation for postretirement benefits, prior service credit, and other benefits</w:t>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securities:</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securities available for sale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Reclassification adjustment for losses realized in income </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net unrealized loss on securities transferred to held-to-maturity</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securities</w:t>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cash flow hedges:</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on cash flow hedges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losses realized in income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on cash flow hedges</w:t>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(loss), before tax </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(157,490)</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taxes</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(114,116)</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net of taxes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110,681 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(32,639)</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600"/>
        <w:jc w:val="left"/>
        <w:rPr/>
      </w:pPr>
      <w:r>
        <w:rPr/>
      </w:r>
    </w:p>
    <w:p>
      <w:pPr>
        <w:pStyle w:val="TextBody"/>
        <w:bidi w:val="0"/>
        <w:spacing w:before="0" w:after="600"/>
        <w:jc w:val="left"/>
        <w:rPr/>
      </w:pPr>
      <w:r>
        <w:rPr/>
      </w:r>
    </w:p>
    <w:tbl>
      <w:tblPr>
        <w:tblW w:w="46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8"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Statements of Changes in Stockholders’ Equity</w:t>
              <w:br/>
              <w:t>(Dollars in thousands)</w:t>
            </w:r>
          </w:p>
        </w:tc>
      </w:tr>
    </w:tbl>
    <w:tbl>
      <w:tblPr>
        <w:tblW w:w="13590" w:type="dxa"/>
        <w:jc w:val="left"/>
        <w:tblInd w:w="0" w:type="dxa"/>
        <w:tblLayout w:type="fixed"/>
        <w:tblCellMar>
          <w:top w:w="28" w:type="dxa"/>
          <w:left w:w="28" w:type="dxa"/>
          <w:bottom w:w="28" w:type="dxa"/>
          <w:right w:w="28" w:type="dxa"/>
        </w:tblCellMar>
      </w:tblPr>
      <w:tblGrid>
        <w:gridCol w:w="701"/>
        <w:gridCol w:w="234"/>
        <w:gridCol w:w="236"/>
        <w:gridCol w:w="109"/>
        <w:gridCol w:w="109"/>
        <w:gridCol w:w="721"/>
        <w:gridCol w:w="255"/>
        <w:gridCol w:w="256"/>
        <w:gridCol w:w="109"/>
        <w:gridCol w:w="109"/>
        <w:gridCol w:w="109"/>
        <w:gridCol w:w="202"/>
        <w:gridCol w:w="450"/>
        <w:gridCol w:w="114"/>
        <w:gridCol w:w="109"/>
        <w:gridCol w:w="109"/>
        <w:gridCol w:w="109"/>
        <w:gridCol w:w="196"/>
        <w:gridCol w:w="751"/>
        <w:gridCol w:w="109"/>
        <w:gridCol w:w="109"/>
        <w:gridCol w:w="109"/>
        <w:gridCol w:w="109"/>
        <w:gridCol w:w="196"/>
        <w:gridCol w:w="751"/>
        <w:gridCol w:w="109"/>
        <w:gridCol w:w="109"/>
        <w:gridCol w:w="109"/>
        <w:gridCol w:w="109"/>
        <w:gridCol w:w="246"/>
        <w:gridCol w:w="832"/>
        <w:gridCol w:w="138"/>
        <w:gridCol w:w="109"/>
        <w:gridCol w:w="109"/>
        <w:gridCol w:w="109"/>
        <w:gridCol w:w="196"/>
        <w:gridCol w:w="571"/>
        <w:gridCol w:w="109"/>
        <w:gridCol w:w="109"/>
        <w:gridCol w:w="109"/>
        <w:gridCol w:w="109"/>
        <w:gridCol w:w="200"/>
        <w:gridCol w:w="768"/>
        <w:gridCol w:w="113"/>
        <w:gridCol w:w="109"/>
        <w:gridCol w:w="109"/>
        <w:gridCol w:w="109"/>
        <w:gridCol w:w="317"/>
        <w:gridCol w:w="706"/>
        <w:gridCol w:w="178"/>
        <w:gridCol w:w="109"/>
        <w:gridCol w:w="109"/>
        <w:gridCol w:w="109"/>
        <w:gridCol w:w="196"/>
        <w:gridCol w:w="751"/>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31,130,143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297,975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260,047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5,409</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563,742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563,875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declared on AREMCO class B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common stock,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(669,176)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(114,116)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30,700,198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286,947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330,275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(108,707)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508,822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508,955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of adoption of ASU No. 2016-13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January 1, 2023 adjusted for change in accounting principle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30,700,198 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(108,707)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490,997 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common stock,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(474,689)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30,428,359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288,232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388,033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(86,004)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585,231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585,364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Employee Stock Purchase Plan and Dividend Reinvestment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common stock,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AREMCO class B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30,670,982</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308</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288,656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480,144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(58,637)</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707,654</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707,654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600"/>
        <w:jc w:val="left"/>
        <w:rPr/>
      </w:pPr>
      <w:r>
        <w:rPr/>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2124"/>
        <w:gridCol w:w="1686"/>
        <w:gridCol w:w="1694"/>
        <w:gridCol w:w="267"/>
        <w:gridCol w:w="1049"/>
        <w:gridCol w:w="138"/>
        <w:gridCol w:w="138"/>
        <w:gridCol w:w="138"/>
        <w:gridCol w:w="138"/>
        <w:gridCol w:w="267"/>
        <w:gridCol w:w="915"/>
        <w:gridCol w:w="138"/>
        <w:gridCol w:w="109"/>
        <w:gridCol w:w="109"/>
        <w:gridCol w:w="109"/>
        <w:gridCol w:w="231"/>
        <w:gridCol w:w="795"/>
        <w:gridCol w:w="160"/>
      </w:tblGrid>
      <w:tr>
        <w:trPr/>
        <w:tc>
          <w:tcPr>
            <w:tcW w:w="2124"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69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Cash Flows</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513" w:type="dxa"/>
            <w:gridSpan w:val="6"/>
            <w:tcBorders/>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513" w:type="dxa"/>
            <w:gridSpan w:val="6"/>
            <w:tcBorders/>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513" w:type="dxa"/>
            <w:gridSpan w:val="6"/>
            <w:tcBorders/>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513" w:type="dxa"/>
            <w:gridSpan w:val="6"/>
            <w:tcBorders/>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513" w:type="dxa"/>
            <w:gridSpan w:val="6"/>
            <w:tcBorders/>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513" w:type="dxa"/>
            <w:gridSpan w:val="6"/>
            <w:tcBorders/>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513" w:type="dxa"/>
            <w:gridSpan w:val="6"/>
            <w:tcBorders/>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513" w:type="dxa"/>
            <w:gridSpan w:val="6"/>
            <w:tcBorders/>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513" w:type="dxa"/>
            <w:gridSpan w:val="6"/>
            <w:tcBorders/>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reconcile net income to net cash provided by operating activities: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intangible assets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Deferred income tax expense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 expense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OTTI gain recognized in earnings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loss from equity method investments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loss on sale of securities available for sale</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sale of loans and change in fair value on loans held-for-sale, net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loss on sale of other real estate owned</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gain on redemption of bank-owned life insurance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gain on repurchase of subordinated debt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sales of loans held for sale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Originations of loans held for sale</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in cash surrender value of bank-owned life insurance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Decrease in accrued interest receivable</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Decrease (increase) in other assets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Increase (decrease) in other liabilities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cash provided by operating activities</w:t>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124,065 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increase in loans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(360,157)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(317,211)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sales of loans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Purchase of securities available for sale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(824,549)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Purchase of securities held-to-maturity</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(264,498)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sales of securities available for sale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Maturities, principal payments and redemptions of securities available for sale</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Maturities, principal payments and redemptions of securities held-to-maturity</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Decrease (increase) in resell agreements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Decrease (increase) in equity method investments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Decrease (increase) in FHLBNY stock, net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Purchases of premises and equipment, net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redemption of bank-owned life insurance</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sale of other real estate owned</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cash provided by (used in) investing activities</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(315,947)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(1,202,491)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increase in deposits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(decrease) in other borrowings, net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Repurchase of subordinated debt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stock issued under Employee Stock Purchase Plan and Dividend Reinvestment Plan</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600"/>
        <w:jc w:val="left"/>
        <w:rPr/>
      </w:pPr>
      <w:r>
        <w:rPr/>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2308"/>
        <w:gridCol w:w="1981"/>
        <w:gridCol w:w="1987"/>
        <w:gridCol w:w="211"/>
        <w:gridCol w:w="826"/>
        <w:gridCol w:w="109"/>
        <w:gridCol w:w="109"/>
        <w:gridCol w:w="109"/>
        <w:gridCol w:w="109"/>
        <w:gridCol w:w="211"/>
        <w:gridCol w:w="721"/>
        <w:gridCol w:w="109"/>
        <w:gridCol w:w="109"/>
        <w:gridCol w:w="109"/>
        <w:gridCol w:w="109"/>
        <w:gridCol w:w="211"/>
        <w:gridCol w:w="721"/>
        <w:gridCol w:w="156"/>
      </w:tblGrid>
      <w:tr>
        <w:trPr/>
        <w:tc>
          <w:tcPr>
            <w:tcW w:w="2308"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Redemption of AREMCO class B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Repurchase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on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Payments related to repurchase of common stock for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(266,945)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paid during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taxes paid during the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non-cash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Right-of-use assets obtained in exchange for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Loans transferred from held-for-sale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Loans transferred to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Purchase of securities available for sale, net not settled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Securities available for sale transferred to held-to-maturity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Cumulative change due to adoption of ASU No. 2016-13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    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Nature of Operations and 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Amalgamated Financial Corp., a Delaware public benefit corporation (the "Company"), was formed on August 25, 2020 to serve as the holding company for Amalgamated Bank and is a bank holding company registered with the Federal Reserve Board of Governors under the Bank Holding Company Act of 1956, as amended. On March 1, 2021 the Company acquired all of the outstanding stock of Amalgamated Bank, a New York state-chartered commercial bank in a statutory share exchange transaction (the “Reorganization”) effected under New York law and in accordance with the terms of a Plan of Acquisition dated September 4, 2020. Pursuant to the Reorganization, the Bank became the sole subsidiary of the Company, the Company became the holding company for the Bank and the stockholders of the Bank became stockholders of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was formed in 1923 as Amalgamated Bank of New York by the Amalgamated Clothing Workers of America, one of the country’s oldest labor unions.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audited consolidated financial statements presented in this Annual Report on Form 10-K include the collective results of the Holding Company and its wholly-owned subsidiary, the Bank, which are collectively herein referred to as the “Company.”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Accounting and Changes in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and reporting policies of the Company conform to generally accepted accounting principles ("GAAP") in the United States of America, or GAAP and predominant practices within the banking industry. The Company uses the accrual basis of accounting for financial statement purposes.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the Company and its majority-owned and wholly-owned subsidiaries. All significant inter-company transactions and balances are eliminated in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liabilities and disclosures of contingent assets and liabilities at the date of the financial statements, as well as the reported amounts of revenues and expenses during the reporting period. In particular, estimates and assumptions are used in measuring the fair value of certain financial instruments, determining the appropriateness of the allowance for credit losses (“allowance”), evaluating potential other-than-temporary securities impairment, assessing the ability to realize deferred tax assets, and the valuation of share-based payment awards. Estimates and assumptions are based on available information and judgment; therefore actual results could differ from those estimates.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reporting cash flows, cash, cash equivalents, and restricted cash include cash, due from banks, interest-bearing deposits in other banks and federal funds sold with original maturities of three months or less. The Company had $0.7 million and $0.4 million in restricted cash as of December 31, 2024 and December 31, 2023, respectively and is included in total cash and cash equivalents on the Consolidated Statements of Financial Condition. The Company’s restricted cash reflects funds held in other financial institutions to secure business operating rights or contractually obligated minimum account funding requirements.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investments in debt securities are designated as either trading, available for sale or held-to-maturity depending on the intent and ability to hold the securities. The initial designation is made at the time of purchase.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the Company had no securities designated as trading.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available for sale are carried at fair value, with any net unrealized appreciation or depreciation in fair value reported net of taxes as a component of accumulated other comprehensive income (loss) in stockholders’ equity. Debt securities held-to-maturity are carried at amortized cost provided management does not have the intent to sell these securities and does not anticipate that it will be necessary to sell these securities before the full recovery of principal and interest, which may be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(discounts) on debt securities are amortized (accreted) to income using the level yield method to the contractual maturity date adjusted for actual prepayment experience.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sale of securities are determined using the specific identification method and are reported in non-interest income.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instruments are carried at fair value in the Company’s financial statements as part of Other assets for derivatives with positive fair values and Other liabilities for derivatives with negative fair values. The accounting for changes in the fair value of a derivative instrument is dependent upon whether or not it qualifies and has been designated as a hedge for accounting purposes, and further, by the type of hedging relationship.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derivative contract, the Company designates the derivative as one of three types based on the 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cash flow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 When hedge accounting is discontinued on a fair value hedge that no longer qualifies as an effective hedge, the derivative continues to be reported at fair value in the statement of condition, but the carrying amount of the hedged item is no longer adjusted for future changes in fair value. The adjustment to the carrying amount of the hedged item that existed at the date hedge accounting is discontinued is amortized over the remaining life of the hedged item into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statement of condition or to specific firm commitments or forecasted transactions.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hedge accounting is discontinued, subsequent changes in fair value of the derivative are recorded as non-interest income.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Loans Held for Sale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sale in the secondary market are carried at the lower of cost or estimated fair value in the aggregate. Loans originated for sale are recorded at cost and loans transferred to loans held for sale are transferred at fair value. Net unrealized losses, if any, are recognized through a valuation allowance by charges to current earnings. Gains or losses resulting from sales of loans held for sale, net of unamortized deferred fees and costs, are recognized at the time of sale and are included in other non-interest income on the Consolidated Statements of Income. The Company had $37.6 million and $1.8 million of loans classified as held for sale as of December 31, 2024 and December 31, 2023, respectively.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Loans and Loan Interest Income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are stated at the principal amount outstanding, net of charge-offs, deferred origination costs and fees and purchase premiums and discounts. Loan origination and commitment fees and certain direct and indirect costs incurred in connection with loan originations are deferred and amortized to income over the life of the related loans as an adjustment to yield. Premiums or discounts on purchased portfolios are amortized or accreted to income using the level yield method.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are considered modifications made to borrowers experiencing financial difficulty if the borrower is experiencing financial difficulty at the time of the modification and the modification is in the form of: (i) principal forgiveness; (ii) an interest rate reduction; (iii) other-than-insignificant payment delay; (iv) a term extension, or (v) any combination of the aforementioned. If a modification results in an effective interest rate less than the market rate for comparable loans with similar collection risks, a change in present value of cash flows of at least 10%, or is more than minor based on the specific facts and circumstances, the modification is accounted for as a new receivable. Absent these conditions, the modification is accounted for as a continuation of the existing receivable.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Allowance for Credit Losses</w:t>
      </w:r>
    </w:p>
    <w:p>
      <w:pPr>
        <w:pStyle w:val="TextBody"/>
        <w:bidi w:val="0"/>
        <w:spacing w:lineRule="auto" w:line="288" w:before="240" w:after="283"/>
        <w:jc w:val="both"/>
        <w:rPr/>
      </w:pPr>
      <w:r>
        <w:rPr>
          <w:rFonts w:ascii="Times New Roman;sans-serif" w:hAnsi="Times New Roman;sans-serif"/>
          <w:b w:val="false"/>
          <w:color w:val="000000"/>
          <w:sz w:val="20"/>
          <w:u w:val="single"/>
        </w:rPr>
        <w:t>Allowance for Credit Losses - Available for Sale Securities:</w:t>
      </w:r>
      <w:r>
        <w:rPr>
          <w:color w:val="000000"/>
        </w:rPr>
        <w:t xml:space="preserve"> </w:t>
      </w:r>
      <w:r>
        <w:rPr>
          <w:rFonts w:ascii="Times New Roman;sans-serif" w:hAnsi="Times New Roman;sans-serif"/>
          <w:b w:val="false"/>
          <w:color w:val="000000"/>
          <w:sz w:val="20"/>
        </w:rPr>
        <w:t>Any available for sale security in an unrealized loss position is assessed for Management's intent to sell, or if it is more likely than not that it will be required to sell before the recovery of its amortized cost basis. If either criteria regarding intent or requirement to sell is met, the security's amortized cost basis is written down to fair value through income. Accrued interest receivable is excluded from the estimate of expected credit losses, as accrued interest receivable is reversed for securities placed on nonaccrual status. Securities issued by U.S. government entities are either explicitly or implicitly guaranteed by the U.S. government, and are highly rated by major ratings agencies and have a long history of no credit losses. For debt securities that do not meet the aforementioned criteria, the Company evaluates whether the decline in fair value has resulted from expected credit losses or other factors in making this assessment. Management considers the extent in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is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pStyle w:val="TextBody"/>
        <w:bidi w:val="0"/>
        <w:spacing w:lineRule="auto" w:line="288" w:before="240" w:after="283"/>
        <w:jc w:val="both"/>
        <w:rPr/>
      </w:pPr>
      <w:r>
        <w:rPr>
          <w:rFonts w:ascii="Times New Roman;sans-serif" w:hAnsi="Times New Roman;sans-serif"/>
          <w:b w:val="false"/>
          <w:color w:val="000000"/>
          <w:sz w:val="20"/>
          <w:u w:val="single"/>
        </w:rPr>
        <w:t>Allowance for Credit Losses - Held-to-maturity Securities:</w:t>
      </w:r>
      <w:r>
        <w:rPr>
          <w:color w:val="000000"/>
        </w:rPr>
        <w:t xml:space="preserve"> </w:t>
      </w:r>
      <w:r>
        <w:rPr>
          <w:rFonts w:ascii="Times New Roman;sans-serif" w:hAnsi="Times New Roman;sans-serif"/>
          <w:b w:val="false"/>
          <w:color w:val="000000"/>
          <w:sz w:val="20"/>
        </w:rPr>
        <w:t xml:space="preserve">Management measures expected credit losses on held-to-maturity securities on a collective basis by security type. The Company’s methodology to measure the allowance for credit losses incorporates both quantitative and qualitative information to assess lifetime expected credit losses. The calculation is based on projected annual default rates, loss severities, and prepayment rates. Expected credit losses are estimated over the contractual term of the securities, adjusted for forecasted prepayments when appropriate.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 is excluded from the estimate of expected credit losses, as accrued interest receivable is reversed for securities placed on nonaccrual status. The Company has identified the following portfolio segments and measures the allowance for credit losses using the following methodology: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Non-GSE residential and commercial mortgage-backed securities held by the Company are secured by pools of commercial or residential certificates.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Asset-backed securities ("ABS") held by the Company are secured by pools of consumer products such as student loans, consumer loans, and consumer residential solar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assessed clean energy ("PACE assessments") held by the Company are secured low loan-to-value long-term funding for energy efficient and renewable energy projects for residential or commercial projects.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securities held by the Company include corporate securities, municipal securities and small investments community reinvestment act investments secured by loans.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GSE and U.S. Treasury securities are either explicitly or implicitly guaranteed by the U.S. government, and are highly rated by major rating agencies and have a long history of no credit losses, therefore the Company does not estimate or recognize an allowance for credit losses on these securities.</w:t>
      </w:r>
    </w:p>
    <w:p>
      <w:pPr>
        <w:pStyle w:val="TextBody"/>
        <w:bidi w:val="0"/>
        <w:spacing w:lineRule="auto" w:line="288" w:before="240" w:after="283"/>
        <w:jc w:val="both"/>
        <w:rPr/>
      </w:pPr>
      <w:r>
        <w:rPr>
          <w:rFonts w:ascii="Times New Roman;sans-serif" w:hAnsi="Times New Roman;sans-serif"/>
          <w:b w:val="false"/>
          <w:color w:val="000000"/>
          <w:sz w:val="20"/>
          <w:u w:val="single"/>
        </w:rPr>
        <w:t>Allowance for Credit Losses - Loans:</w:t>
      </w:r>
      <w:r>
        <w:rPr>
          <w:color w:val="000000"/>
        </w:rPr>
        <w:t xml:space="preserve"> </w:t>
      </w:r>
      <w:r>
        <w:rPr>
          <w:rFonts w:ascii="Times New Roman;sans-serif" w:hAnsi="Times New Roman;sans-serif"/>
          <w:b w:val="false"/>
          <w:color w:val="000000"/>
          <w:sz w:val="20"/>
        </w:rPr>
        <w:t>The allowance for credit losses is a valuation account that is deducted from the amortized cost basis of a financial asset or a group of financial assets so that the balance sheet reflects the net amount the Company expects to collect. Amortized cost is the principal balance outstanding, net of purchase premiums and discounts, and deferred fees and costs. Accrued interest receivable on loans is excluded from the estimate of expected credit losses, as accrued interest receivable is reversed for loans placed on nonaccrual status. Subsequent changes (favorable and unfavorable) in expected credit losses are recognized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calculates the estimation of the allowance for credit losses on loans on a quarterly basis. The Company’s methodology to measure the allowance for credit losses incorporates both quantitative and qualitative information to assess lifetime expected credit losses at the portfolio segment level. The quantitative component of the allowance model calculates future loan level balances by considering the loan segment baseline loss rate based on a peer group and severity rate, with the exception of the consumer solar segment which is based on the Company's loss history for this segment. Expected credit losses are estimated over the contractual term of the loans, adjusted for forecasted prepayments when appropriate. The baseline loss rate is adjusted for relevant macroeconomic variables by loan segment that consider forecasted economic conditions. The adjusted loss rate is calculated for an eight quarter forecast period then reverts to the historical loss rate on a straight-line basis over four quarters. The loan level cash flows are discounted at the effective interest rate to calculate a loan level allowance which is aggregated at the loan segment level to arrive at the estimated allowance.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parameters are developed using available information relating to past events, current conditions, and reasonable and supportable forecasts. Historical credit experience provides the basis for the estimation of expected credit losses, with qualitative adjustments made to loan segments for differences in current loan-specific risk characteristics such as differences in underwriting standards, portfolio mix, delinquency levels and terms, as well as for changes in environmental conditions, such as changes in unemployment rates, property values or other relevant factors.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business of the Company is lending in commercial and industrial loans, multifamily mortgage loans, commercial real estate loans, residential real estate mortgage loans, consumer solar, and consumer and other loans. The Company considers its primary lending area to be the states of New York and California, and Washington, D.C. A substantial portion of the Company’s loans are secured by real estate in these areas. Accordingly, the ultimate collectability of the loan portfolio is susceptible to changes in market and economic conditions in this region.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on loans is measured on a collective (pool) basis when similar risk characteristics exist. The Company has identified the following portfolio segments and measures the allowance for credit losses using the methods described above.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 Loans - Loans in this classification are made to businesses and include term loans, lines of credit, and senior secured loans to corporations. Generally, these loans are secured by assets of the business and repayment is expected from the cash flows of the business. A weakened economy, and resultant decreased consumer and/or business spending, will have an effect on the credit quality in this loan class.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Multifamily Mortgage Loans - Loans in this classification include income producing residential investment properties of five or more families. Loans are made to established owners with a proven and demonstrable record of strong performance. Repayment is derived generally from the rental income generated from the property and may be supplemented by the owners’ personal cash flow. Credit risk arises with an increase in vacancy rates, property mismanagement and the predominance of non-recourse loans that are customary in the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 - Loans in this classification include income producing investment properties and owner-occupied real estate used for business purposes. The underlying properties are located largely in the Company’s primary market area. The cash flows of the income producing investment properties are adversely impacted by a downturn in the economy as evidenced by increased vacancy rates, which in turn, will have an effect on credit quality. In the case of owner-occupied real estate used for business purposes, a weakened economy and resultant decreased consumer and/or business spending will have an adverse effect on credit quality.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 Loans - Loans in this classification primarily include land loans to local individuals, contractors and developers for developing the land for sale or for the purpose of making improvements thereon. Repayment is derived primarily from sale of the lots/units including any pre-sold units. Credit risk is affected by market conditions, time to sell at an adequate price and cost overruns. To a lesser extent, this class includes commercial development projects that the Company finances, which in most cases are interest only during construction, and then convert to permanent financing. Construction delays, cost overruns, market conditions and the availability of permanent financing, to the extent such permanent financing is not being provided by the Bank, all affect the credit risk in this loan class.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 - Loans in this classification are generally secured by owner-occupied residential real estate and repayment is dependent on the credit quality of the individual borrower. Loans in this class are secured by both first liens and second liens. The overall health of the economy, including unemployment rates and housing prices, can have an effect on the credit quality in this loan class.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Consumer Solar Loans - Loans in this classification are secured by Uniform Commercial Code filings. This portfolio is comprised of residential solar loans. Repayment is dependent on the credit quality of the individual borrower and, if applicable, sale of the collateral securing the loan. Therefore, the overall health of the economy, including unemployment rates and housing prices, will have an effect on the credit quality in this loan class.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Consumer and Other Loans - Loans in this classification are unsecured. This portfolio is comprised of student loans and other consumer products. Repayment is dependent on the credit quality of the individual borrower. Therefore, the overall health of the economy, including unemployment rates and housing prices, will have an effect on the credit quality in this loan class.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that are determined to have unique risk characteristics are evaluated on an individual basis by Management. Loans evaluated individually are not included in the collective evaluation. Factors that may be considered are borrower delinquency trends and nonaccrual status, probability of foreclosure or note sale, changes in the borrower’s circumstances or cash collections, borrower’s industry, or other facts and circumstances of the loan or collateral.</w:t>
      </w:r>
    </w:p>
    <w:p>
      <w:pPr>
        <w:pStyle w:val="TextBody"/>
        <w:bidi w:val="0"/>
        <w:spacing w:lineRule="auto" w:line="288" w:before="240" w:after="283"/>
        <w:jc w:val="both"/>
        <w:rPr/>
      </w:pPr>
      <w:r>
        <w:rPr>
          <w:rFonts w:ascii="Times New Roman;sans-serif" w:hAnsi="Times New Roman;sans-serif"/>
          <w:b w:val="false"/>
          <w:color w:val="000000"/>
          <w:sz w:val="20"/>
          <w:u w:val="single"/>
        </w:rPr>
        <w:t>Individually Evaluated Loans with an ACL:</w:t>
      </w:r>
      <w:r>
        <w:rPr>
          <w:color w:val="000000"/>
        </w:rPr>
        <w:t xml:space="preserve"> </w:t>
      </w:r>
      <w:r>
        <w:rPr>
          <w:rFonts w:ascii="Times New Roman;sans-serif" w:hAnsi="Times New Roman;sans-serif"/>
          <w:b w:val="false"/>
          <w:color w:val="000000"/>
          <w:sz w:val="20"/>
        </w:rPr>
        <w:t>For collateral-dependent loans where the Company has determined that foreclosure of the collateral is probable, or where the borrower is experiencing financial difficulty and the Company expects repayment of the loan to be provided substantially through the operation or sale of the collateral, the ACL is measured based on the difference between the fair value of the collateral, less the estimated costs to sell, and the amortized cost basis of the loan as of the measurement date. The fair value of real estate collateral is determined based on recent appraised values. The fair value of non-real estate collateral, may be determined based on an appraisal, net book value per the borrower’s financial statements, aging reports, or by reference to market activity, adjusted or discounted based on management’s historical knowledge, changes in market conditions from the time of the valuation and management’s expertise and knowledge of the borrower and its business. For non-collateral dependent loans, ACL is measured based on the difference between the present value of expected cash flows and the amortized cost basis of the loan as of the measurement date.</w:t>
      </w:r>
    </w:p>
    <w:p>
      <w:pPr>
        <w:pStyle w:val="TextBody"/>
        <w:bidi w:val="0"/>
        <w:spacing w:lineRule="auto" w:line="288" w:before="240" w:after="283"/>
        <w:jc w:val="both"/>
        <w:rPr/>
      </w:pPr>
      <w:r>
        <w:rPr>
          <w:rFonts w:ascii="Times New Roman;sans-serif" w:hAnsi="Times New Roman;sans-serif"/>
          <w:b w:val="false"/>
          <w:color w:val="000000"/>
          <w:sz w:val="20"/>
          <w:u w:val="single"/>
        </w:rPr>
        <w:t>Allowance for Credit Losses on Off-Balance Sheet Credit Exposures:</w:t>
      </w:r>
      <w:r>
        <w:rPr>
          <w:color w:val="000000"/>
        </w:rPr>
        <w:t xml:space="preserve"> </w:t>
      </w:r>
      <w:r>
        <w:rPr>
          <w:rFonts w:ascii="Times New Roman;sans-serif" w:hAnsi="Times New Roman;sans-serif"/>
          <w:b w:val="false"/>
          <w:color w:val="000000"/>
          <w:sz w:val="20"/>
        </w:rPr>
        <w:t>The Company estimates expected credit losses over the contractual period in which the Company is exposed to credit risk via a contractual obligation to extend credit, unless that obligation is unconditionally cancellable by the Company for its security and loan portfolios. The allowance for credit losses on off-balance sheet credit exposures is recorded in other liabilities on the consolidated statements of financial condition, and adjusted through the credit loss expense which is recorded in the provision for credit losses on the consolidated statements of income. The estimate includes consideration of the likelihood that funding will occur and an estimate of expected credit losses on commitments expected to be funded over its estimated life, which is the same as the expected loss factor as determined based on the corresponding portfolio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FHLBNY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membership with the FHLBNY, the Company is required to hold FHLBNY stock in an amount equal to 0.125% of its aggregate mortgage related assets plus 4.5% of its outstanding FHLBNY advances. The Company’s holdings of FHLBNY stock are pledged against outstanding advances. FHLBNY stock is a non-marketable equity security and is, therefore, reported at cost, which equals par value (the amount at which shares have been redeemed in the past). The investment is periodically evaluated for impairment based on, among other things, the capital adequacy of the FHLBNY and its overall financial condition.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Real Estate Owned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real estate owned (“OREO”) properties acquired through, or in lieu of, foreclosure are recorded initially at fair value less costs to sell. Any write-down of the recorded investment in the related loan is charged to the allowance prior to transfer. OREO assets are subsequently accounted for at lower of cost or fair value less estimated costs to sell. If fair value declines subsequent to foreclosure, a valuation allowance is recorded through non-interest income. Costs relating to the development and improvement of other real estate owned are capitalized. Costs relating to holding other real estate owned, including real estate taxes, insurance and maintenance, are charged to expense as incurred. The balance of OREO was $0 at both December 31, 2024 and December 31,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Goodwill and Intangible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resulting from business combinations is generally determined as the excess of the fair value of the consideration transferred over the fair value of the net assets acquired and liabilities assumed as of the acquisition date. Goodwill and indefinite-lived intangible assets are not amortized, but tested for impairment at least annually, or more frequently if events and circumstances exist that indicate the carrying amount of the asset may be impaired. The Company elected June 30 as the annual date for impairment testing. Other intangible assets with definite useful lives are amortized over their estimated useful lives to their estimated residual values. Core deposit intangible assets are amortized on an accelerated method over their estimated useful lives of ten years.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Premises and Equipment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Premises and equipment are stated at cost less accumulated depreciation and amortization. Depreciation of furniture, fixtures, and equipment is computed by the straight-line method over the estimated useful lives of the related assets. Furniture and fixtures are generally depreciated over ten years. Equipment, computer hardware and computer software are normally depreciated over three to seven years. Amortization of leasehold improvements is computed by the straight-line method over their estimated useful lives or the terms of the leases, whichever is shorter. Fully depreciated assets with no determinable salvage value are disposed. Repairs and maintenance are charged to expense as incurred.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whether a contract is or contains a lease at inception. For leases with terms greater than twelve months under which the Company is lessee, right-of-use ("ROU") assets and lease liabilities are recorded at the commencement date. Lease liabilities are initially recorded based on the present value of future lease payments over the lease term. ROU assets are initially recorded at the amount of the associated lease liabilities plus prepaid lease payments and initial direct costs, less any lease incentives received. The cost of short term leases is recognized on a straight line basis over the lease term. The lease term includes options to extend if the exercise of those options is reasonably certain and includes termination options if there is reasonable certainty the options will not be exercised. The Company uses its incremental borrowing rate (“IBR”) as the discount rate to the remaining lease payments to derive a present value calculation for initial measurement of lease liabilities. The IBR reflects the interest rate the Company would have to pay to borrow on a collateralized basis over a similar term for an amount equal to the lease payments. Leases are classified as financing or operating leases at commencement. All of the Company's leases are classified as operating leases as of December 31, 2024. Operating lease cost is recognized in the Consolidated Statements of Income on a straight line basis over the lease terms. Variable lease costs are recognized in the period in which the obligation for those costs is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Bank-Owned Life Insurance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bank-owned life insurance (“BOLI”). BOLI involves the purchase of life insurance policies by the Company on a select group of employees. The Company is the owner and beneficiary of the policies. The insurance and earnings thereon is used to offset a portion of future employee benefit costs. BOLI is carried at the cash surrender value of the underlying policies. Earnings from BOLI, as well as changes in cash surrender value, are recognized as non-interest income.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Advertising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advertising and promotion costs as incurred.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two components of income tax expense: current and deferred. Current income tax expense (benefit) approximates cash to be paid (refunded) for income taxes for the applicable period. Deferred income tax expense (benefit) results from differences between assets and liabilities measured for financial reporting and for income-tax return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as a deferred tax asset on its Consolidated Statement of Financial Condition an amount equal to the tax credit and tax loss carry-forwards and tax deductions (tax benefits) that we believe will be available to us to offset or reduce the amounts of our income taxes in future periods. Under applicable federal and state income tax laws and regulations, such tax benefits will expire if not used within specified periods of time. Accordingly, the ability to fully utilize our deferred tax asset may depend on the amount of taxable income that we generate during those time periods. At least once each year, or more frequently, if warranted, we make estimates of future taxable income that we believe we are likely to generate during those future periods. If we conclude, on the basis of those estimates and the amount of the tax benefits available to us, that it is more likely than not that we will be able to fully utilize those tax benefits prior to their expiration, we recognize the deferred tax asset in full on our Consolidated Statement of Financial Condition. If, however, we conclude on the basis of those estimates and the amount of the tax benefits available to us that it has become more likely than not that we will be unable to utilize those tax benefits in full prior to their expiration, then we would establish (or increase any existing) a valuation allowance to reduce the deferred tax asset on our Consolidated Statement of Financial Condition to the amount which we believe we are more likely than not to be able to utilize. Such a reduction is implemented by recognizing a non-cash charge that would have the effect of increasing the provision, or reducing any benefit, for income taxes that we would otherwise have recorded in our Consolidated Statements of Income. The determination of whether and the extent to which we will be able to utilize our deferred tax asset involves management judgments and assumptions that are subject to period-to-period changes as a result of changes in tax laws, changes in the market, or economic conditions that could affect our operating results or variances between our actual operating results and our projected operating results, as well as other factors.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measuring the amount of current taxes to be paid (or refunded) management considers the merit of various tax treatments in the context of statutory, judicial and regulatory guidance. Management also considers results of recent tax audits and historical experience. While management considers the amount of income taxes payable (or receivable) to be appropriate based on information currently available, future additions or reductions to such amounts may be necessary due to unanticipated events or changes in circumstances. Management has not taken, and does not expect to take, any position in a tax return which it deems to be uncertain.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interest and penalties related to income tax matters in income tax expense.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deferral method of accounting is used for investments that generate investment tax credits. Under this method, the investment tax credits are recognized as a reduction of the related asset. Contributions made by the Company are recognized as an increase of the related asset, and distributions are recognized as a reduction. Income and loss generated by the investment is recognized as a corresponding increase or reduction in the related asset.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Post-Retirement Benefit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several post-retirement benefit plans for current and former employees and certain directors. Contributions to the trustee of a multi-employer defined benefit pension plan are recorded as expense in the period of contribution. Plan obligations and related expenses for other post-retirement plans are calculated using actuarial methodologies. The measurement of such obligations and expenses requires management to make certain assumptions, in particular the discount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rate, which is evaluated on an annual basis. Other factors include retirement patterns, mortality and turnover assumptions. The Company uses a December 31 measurement date for its post-retirement benefit plans.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Comprehensive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includes net income and all other changes in equity during a period, except those resulting from investments by owners and distributions to owners. Other comprehensive income includes income, expenses, gains and losses that under generally accepted accounting principles are included in comprehensive income but excluded from net income. Other comprehensive income (loss) and accumulated other comprehensive income (loss) are reported net of deferred income taxes. Accumulated other comprehensive income for the Company includes unrealized holding gains or losses on available for sale securities, unaccreted unrealized losses on securities transferred to held-to-maturity, unrealized holding gains on cash flow hedges, and actuarial gains or losses on the Company’s pension plans. FASB ASC 715</w:t>
        <w:noBreakHyphen/>
        <w:t>30 “Compensation – Retirement Benefits – Defined Benefit Plans – Pension” requires employers to recognize the overfunded or underfunded status of a defined benefit postretirement plan as an asset or liability in its statement of financial position and to recognize changes in that funded status in the year the changes occur through comprehensive income.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is recorded in accordance with FASB ASC No. 718, “Accounting for Stock-Based Compensation” which requires the Company to record compensation cost for stock options and restricted stock granted to employees and directors in return for employee service. The cost is measured at the fair value of the options and restricted stock when granted, and this cost is expensed over the service period, which is normally the vesting period of the options and restricted stock. Forfeitures of options and restricted stock result in a retirement of the related award and a reversal of the cost previously incurred. The Company grants time-based restricted stock units (“RSUs”) that are subject to a time-based vesting schedule, and performance-based RSUs that are subject to the achievement of the Company's corporate goals. The Company's stock-based compensation plans are further described in Note 12, Employee Benefit Plans.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investments in certain variable interest entities (“VIEs”). The Company considers a voting rights entity to be a subsidiary and consolidates if the Company has a controlling financial interest in the entity. VIEs are consolidated if the Company has the power to direct the activities of the VIE that significantly impact financial performance and has the obligation to absorb losses or the right to receive benefits that could potentially be significant to the VIE (i.e., the Company is the primary beneficiary).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VIEs where the Company is not the primary beneficiary of a VIE are accounted for using the equity method of accounting. The determination of whether the Company is the primary beneficiary of a VIE is reassessed on an ongoing basis. The consolidation status may change as a result of these reassessments.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investments are included in Equity Investments on the Company’s Consolidated Statements of Financial Condition. The maximum potential exposure to losses relative to investments in VIEs is generally limited to the sum of the outstanding balance, future funding commitments and any related loans to the entity, both funded and unfunded. Loans to these entities are underwritten in substantially the same manner as other loans and are generally secured. Additional disclosures regarding VIEs are further described in Note 18, Variable Interest Entities.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Resell Agreements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short-term resell agreements backed by residential first-lien mortgage loans. The Company obtains possession of collateral with a market value equal to or in excess of the principal amount loaned under resell agreements. The Company had $23.7 million and $50.0 million in resell agreements as of December 31, 2024 and December 31, 2023, respectively. The resell agreements were entered into at par, and earned $5.9 million, $0.7 million, and $4.2 million in interest income for the years ended December 31, 2024, 2023, and 2022, respectively. Interest income on resell agreements is reported in interest income from securities on the Consolidated Statements of Income.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Public companies are required to report certain financial information about significant revenue-producing segments of the business for which such information is available and utilized by the chief operating decision maker.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Transfers of Financial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Treasury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Treasury stock is carried at cost. Shares issued out of treasury are valued based on the weighted average cost.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year amounts to conform to the current year presentation. The reclassifications had no impact to net income on the Consolidated Statements of Income or the stockholders' equity on the Consolidated Statements of Changes in Stockholders’ Equity.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2.    RECENT ACCOUNTING PRONOUNCEMENTS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Accounting Standards Effective in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ASU No. 2016-13, Financial Instruments - Credit Losses (Topic 326) - Measurement of Credit Losses on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ASU No. 2016-13 inclusive of subsequent amendments as of January 1, 2023. ASU No. 2016-13 amends guidance on reporting credit losses for assets held on an amortized cost basis and available-for-sale debt securities, as well as off balance sheet credit exposures. For assets held at amortized cost, ASU No. 2016-13 eliminates the probable incurred recognition threshold in current GAAP and, instead, requires an entity to reflect its current estimate of all expected credit losses. The amendments in ASU No. 2016-13 replace the incurred loss impairment methodology with a methodology that reflects the measurement of expected credit losses based on relevant information about past events, including historical loss experience, current conditions, and reasonable and supportable forecasts that affect the collectability of the reported amounts. The allowance for credit losses is a valuation account that is deducted from the amortized cost basis of financial assets to present the net amount expected to be collected. For available for sale debt securities, credit losses will be presented as an allowance rather than as a write-down. For the Company, the amendments affected loans, debt securities, off-balance sheet credit exposures, and any other financial assets not excluded from the scope that have the contractual right to receive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ASU No. 2016-13 on a modified retrospective basis with a cumulative-effect adjustment to retained earnings as of the adoption date and, accordingly, the Company recorded a $24.6 million increase to the allowance for credit losses, a $6.8 million increase to deferred tax assets, and a decrease of $17.8 million to retained earnings as of January 1, 2023. The results for prior period amounts continue to be reported in accordance with previously applicable GAAP.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illustrates the impact of the adoption of ASU 2016-13.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62"/>
        <w:gridCol w:w="1375"/>
        <w:gridCol w:w="1387"/>
        <w:gridCol w:w="296"/>
        <w:gridCol w:w="1013"/>
        <w:gridCol w:w="153"/>
        <w:gridCol w:w="109"/>
        <w:gridCol w:w="109"/>
        <w:gridCol w:w="109"/>
        <w:gridCol w:w="223"/>
        <w:gridCol w:w="718"/>
        <w:gridCol w:w="115"/>
        <w:gridCol w:w="109"/>
        <w:gridCol w:w="109"/>
        <w:gridCol w:w="109"/>
        <w:gridCol w:w="523"/>
        <w:gridCol w:w="1794"/>
        <w:gridCol w:w="392"/>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Tax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Adjustment to Retained Earnings</w:t>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held-to-maturity securities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loans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off-balance sheet credit exposures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Day 1 Adjustment for Adoption of ASU 2016-13</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17,825 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Accounting Standards Effective in 2024 and onward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2023-02, Investments - Equity Method and Joint Ventures (Topic 323) - Accounting for Investments in Tax Credit Structures Using the Proportional Amortization Method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2023, the FASB issued ASU 2023-02, Investments - Equity Method and Joint Ventures (Topic 323): Accounting for Investments in Tax Credit Structures Using the Proportional Amortization Method, which is intended to expand the use of the proportional amortization method of accounting, previously allowed only for investments in low-income housing tax credit structures, to equity investments in other tax credit structures that meet certain criteria. The proportional amortization method results in the tax credit investment being amortized in proportion to the allocation of tax credits and other tax benefits in each period, and net presentation within the income tax line item. This expansion to other investments simplifies the accounting for reporting entities and can provide users with a better understanding of these investments. The Company adopted the standard for the year ended December 31, 2024. The adoption did not impact the existing equity investments in tax structures.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2023-07, Segment Reporting (Topic 280) - Improvements to Reportable Segment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27, 2023, the FASB issued ASU 2023-07, Segment Reporting (Topic 280): Improvements to Reportable Segment Disclosures, which is intended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adopted the standard for the year ended December 31, 2024. The adoption resulted in a disclosure requirement but did not result in a material impact on the Company’s Consolidated Financial Statements See Note 20.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Accounting Standards recently issued but not yet Effective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2023-09, Income Taxes (Topic 740) - Improvements to Income Tax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14, 2023, the FASB issued ASU 2023-09, Income Taxes (Topic 740): Improvements to Income Tax Disclosures, which is intended to enhance the transparency and decision usefulness of income tax disclosures. The amendments in ASU 2023-09 address investor requests for enhanced income tax information primarily through changes to the rate reconciliation and income taxes paid information. The update will be effective for annual periods beginning after December 15, 2024, and early adoption is permitted. The Company is currently evaluating the impact of this standard on our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3.    ACCUMULATED OTHER COMPREHENSIVE INCOME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unrealized gains and losses, net of taxes, on securities available for sale in accumulated other comprehensive income (loss) in the Consolidated Statements of Changes in Stockholders’ Equity. Gains and losses on securities available for sale are reclassified to operations as the gains or losses are recognized. Other-than-temporary impairment losses on debt securities are reflected in earnings as realized losses to the extent the impairment is related to credit losses. The amount of the impairment related to other factors is recognized in other comprehensive income (loss). The Company also recognizes as a component of other comprehensive income (loss) the actuarial gains or losses as well as the prior service costs or credits that arise during the period from post-retirement benefit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components and related income tax effects were as follows:</w:t>
      </w:r>
    </w:p>
    <w:tbl>
      <w:tblPr>
        <w:tblW w:w="10205" w:type="dxa"/>
        <w:jc w:val="left"/>
        <w:tblInd w:w="0" w:type="dxa"/>
        <w:tblLayout w:type="fixed"/>
        <w:tblCellMar>
          <w:top w:w="28" w:type="dxa"/>
          <w:left w:w="28" w:type="dxa"/>
          <w:bottom w:w="28" w:type="dxa"/>
          <w:right w:w="28" w:type="dxa"/>
        </w:tblCellMar>
      </w:tblPr>
      <w:tblGrid>
        <w:gridCol w:w="2095"/>
        <w:gridCol w:w="1795"/>
        <w:gridCol w:w="1810"/>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857"/>
        <w:gridCol w:w="156"/>
      </w:tblGrid>
      <w:tr>
        <w:trPr/>
        <w:tc>
          <w:tcPr>
            <w:tcW w:w="209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51" w:type="dxa"/>
            <w:gridSpan w:val="6"/>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obligation for postretirement benefits and for prior service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prior service expense included in other expense for the year ended December 31, 2024, and in compensation and employee benefits for the year ended December 31, 2023 and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obligation for other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total obligation for postretirement benefits and for prior service credit and for other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total obligation for postretirement benefits and prior service credit and for other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losses realized in income on sale of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net unrealized loss on securities transferred to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(losses)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gains (losses) on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losses realized in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gains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(114,116)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accumulated other comprehensive income (loss) balances, net of income taxes:</w:t>
      </w:r>
    </w:p>
    <w:tbl>
      <w:tblPr>
        <w:tblW w:w="10205" w:type="dxa"/>
        <w:jc w:val="left"/>
        <w:tblInd w:w="0" w:type="dxa"/>
        <w:tblLayout w:type="fixed"/>
        <w:tblCellMar>
          <w:top w:w="28" w:type="dxa"/>
          <w:left w:w="28" w:type="dxa"/>
          <w:bottom w:w="28" w:type="dxa"/>
          <w:right w:w="28" w:type="dxa"/>
        </w:tblCellMar>
      </w:tblPr>
      <w:tblGrid>
        <w:gridCol w:w="511"/>
        <w:gridCol w:w="357"/>
        <w:gridCol w:w="360"/>
        <w:gridCol w:w="109"/>
        <w:gridCol w:w="254"/>
        <w:gridCol w:w="782"/>
        <w:gridCol w:w="131"/>
        <w:gridCol w:w="109"/>
        <w:gridCol w:w="109"/>
        <w:gridCol w:w="109"/>
        <w:gridCol w:w="271"/>
        <w:gridCol w:w="973"/>
        <w:gridCol w:w="140"/>
        <w:gridCol w:w="109"/>
        <w:gridCol w:w="109"/>
        <w:gridCol w:w="109"/>
        <w:gridCol w:w="384"/>
        <w:gridCol w:w="1344"/>
        <w:gridCol w:w="201"/>
        <w:gridCol w:w="109"/>
        <w:gridCol w:w="109"/>
        <w:gridCol w:w="109"/>
        <w:gridCol w:w="109"/>
        <w:gridCol w:w="109"/>
        <w:gridCol w:w="312"/>
        <w:gridCol w:w="712"/>
        <w:gridCol w:w="161"/>
        <w:gridCol w:w="109"/>
        <w:gridCol w:w="109"/>
        <w:gridCol w:w="109"/>
        <w:gridCol w:w="291"/>
        <w:gridCol w:w="1163"/>
        <w:gridCol w:w="223"/>
      </w:tblGrid>
      <w:tr>
        <w:trPr/>
        <w:tc>
          <w:tcPr>
            <w:tcW w:w="5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 on benefits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 on available for 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Unaccreted unrealized loss on securities transferred to held-to-maturity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Accumulated Other Comprehensive Loss</w:t>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2022</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7,511</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5,409</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(157,490)</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(1,652)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(95,539)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(11,516)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(108,707)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(1,481)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(74,348)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(10,175)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(86,004)</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(1,364)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(49,136)</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(8,608)</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471</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(58,637)</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4.    INVESTMENT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investment securities available for sale and held-to-maturity as of December 31, 2024 are as follows:</w:t>
      </w:r>
    </w:p>
    <w:tbl>
      <w:tblPr>
        <w:tblW w:w="10205" w:type="dxa"/>
        <w:jc w:val="left"/>
        <w:tblInd w:w="0" w:type="dxa"/>
        <w:tblLayout w:type="fixed"/>
        <w:tblCellMar>
          <w:top w:w="28" w:type="dxa"/>
          <w:left w:w="28" w:type="dxa"/>
          <w:bottom w:w="28" w:type="dxa"/>
          <w:right w:w="28" w:type="dxa"/>
        </w:tblCellMar>
      </w:tblPr>
      <w:tblGrid>
        <w:gridCol w:w="1407"/>
        <w:gridCol w:w="919"/>
        <w:gridCol w:w="715"/>
        <w:gridCol w:w="109"/>
        <w:gridCol w:w="109"/>
        <w:gridCol w:w="109"/>
        <w:gridCol w:w="109"/>
        <w:gridCol w:w="109"/>
        <w:gridCol w:w="214"/>
        <w:gridCol w:w="994"/>
        <w:gridCol w:w="110"/>
        <w:gridCol w:w="109"/>
        <w:gridCol w:w="109"/>
        <w:gridCol w:w="109"/>
        <w:gridCol w:w="332"/>
        <w:gridCol w:w="972"/>
        <w:gridCol w:w="176"/>
        <w:gridCol w:w="109"/>
        <w:gridCol w:w="109"/>
        <w:gridCol w:w="109"/>
        <w:gridCol w:w="270"/>
        <w:gridCol w:w="1081"/>
        <w:gridCol w:w="141"/>
        <w:gridCol w:w="109"/>
        <w:gridCol w:w="109"/>
        <w:gridCol w:w="109"/>
        <w:gridCol w:w="211"/>
        <w:gridCol w:w="976"/>
        <w:gridCol w:w="161"/>
      </w:tblGrid>
      <w:tr>
        <w:trPr/>
        <w:tc>
          <w:tcPr>
            <w:tcW w:w="14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sponsored entities ("GSE") certificates &amp; Collateralized mortgage obligations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and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1,477,047 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1,696,237 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1,629,058 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Unrecognized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Unrecognized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542,295 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499,564 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1,044,614 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(111,458)</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Total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1,586,909 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1,432,720 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 net of allowance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1,586,205 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available for sale securities with a fair value of $1.05 billion were pledged and held-to-maturity securities with a fair value of $473.2 million were pledged. The majority of the securities were pledged to the FHLBNY to secure outstanding advances, letters of credit and to provide additional borrowing potential. In addition, securities were pledged to provide capacity to borrow from the Federal Reserve Bank and to collateralize municipal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investment securities available for sale and held-to-maturity as of December 31, 2023 are as follows:            </w:t>
      </w:r>
    </w:p>
    <w:tbl>
      <w:tblPr>
        <w:tblW w:w="10205" w:type="dxa"/>
        <w:jc w:val="left"/>
        <w:tblInd w:w="0" w:type="dxa"/>
        <w:tblLayout w:type="fixed"/>
        <w:tblCellMar>
          <w:top w:w="28" w:type="dxa"/>
          <w:left w:w="28" w:type="dxa"/>
          <w:bottom w:w="28" w:type="dxa"/>
          <w:right w:w="28" w:type="dxa"/>
        </w:tblCellMar>
      </w:tblPr>
      <w:tblGrid>
        <w:gridCol w:w="1307"/>
        <w:gridCol w:w="842"/>
        <w:gridCol w:w="819"/>
        <w:gridCol w:w="220"/>
        <w:gridCol w:w="1020"/>
        <w:gridCol w:w="113"/>
        <w:gridCol w:w="109"/>
        <w:gridCol w:w="109"/>
        <w:gridCol w:w="109"/>
        <w:gridCol w:w="498"/>
        <w:gridCol w:w="1075"/>
        <w:gridCol w:w="192"/>
        <w:gridCol w:w="109"/>
        <w:gridCol w:w="109"/>
        <w:gridCol w:w="109"/>
        <w:gridCol w:w="367"/>
        <w:gridCol w:w="1268"/>
        <w:gridCol w:w="157"/>
        <w:gridCol w:w="109"/>
        <w:gridCol w:w="109"/>
        <w:gridCol w:w="109"/>
        <w:gridCol w:w="211"/>
        <w:gridCol w:w="976"/>
        <w:gridCol w:w="159"/>
      </w:tblGrid>
      <w:tr>
        <w:trPr/>
        <w:tc>
          <w:tcPr>
            <w:tcW w:w="130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and CMOs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and CMOs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1,429,739 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1,585,334 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Unrecognized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Unrecognized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w:t>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620,286 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1,077,269 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(103,178)</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974,091 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1,697,555 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 net of allowance for credit losses</w:t>
            </w:r>
          </w:p>
        </w:tc>
        <w:tc>
          <w:tcPr>
            <w:tcW w:w="2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1,696,834 </w:t>
            </w:r>
          </w:p>
        </w:tc>
        <w:tc>
          <w:tcPr>
            <w:tcW w:w="1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available for sale securities with a fair value of $909.9 million were pledged; $512.3 million held-to-maturity securities were pledged. The majority of the securities were pledged to the FHLBNY to secure outstanding advances, letters of credit and to provide additional borrowing potential. In addition, securities were pledged to provide capacity to borrow from the Federal Reserve and to collateralize municipal deposits.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and December 31, 2023, there were no transfers of securities between available for sale and held-to-maturity.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amortized cost and fair value of debt securities available for sale and held-to-maturity, exclusive of mortgage-backed securities, by their contractual maturity as of December 31, 2024. Actual maturities may differ from contractual maturities because borrowers may have the right to call or prepay obligations with or without penalty:</w:t>
      </w:r>
    </w:p>
    <w:tbl>
      <w:tblPr>
        <w:tblW w:w="9262" w:type="dxa"/>
        <w:jc w:val="left"/>
        <w:tblInd w:w="0" w:type="dxa"/>
        <w:tblLayout w:type="fixed"/>
        <w:tblCellMar>
          <w:top w:w="28" w:type="dxa"/>
          <w:left w:w="28" w:type="dxa"/>
          <w:bottom w:w="28" w:type="dxa"/>
          <w:right w:w="28" w:type="dxa"/>
        </w:tblCellMar>
      </w:tblPr>
      <w:tblGrid>
        <w:gridCol w:w="124"/>
        <w:gridCol w:w="109"/>
        <w:gridCol w:w="1038"/>
        <w:gridCol w:w="1038"/>
        <w:gridCol w:w="1043"/>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Held-to-maturity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764" w:type="dxa"/>
            <w:gridSpan w:val="1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and gains and losses realized on sales of securities are summarized below:</w:t>
      </w:r>
    </w:p>
    <w:tbl>
      <w:tblPr>
        <w:tblW w:w="7202" w:type="dxa"/>
        <w:jc w:val="left"/>
        <w:tblInd w:w="0" w:type="dxa"/>
        <w:tblLayout w:type="fixed"/>
        <w:tblCellMar>
          <w:top w:w="28" w:type="dxa"/>
          <w:left w:w="28" w:type="dxa"/>
          <w:bottom w:w="28" w:type="dxa"/>
          <w:right w:w="28" w:type="dxa"/>
        </w:tblCellMar>
      </w:tblPr>
      <w:tblGrid>
        <w:gridCol w:w="124"/>
        <w:gridCol w:w="834"/>
        <w:gridCol w:w="834"/>
        <w:gridCol w:w="837"/>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sales of held-to-maturity securities during the year ended December 31, 2024, December 31, 2023 or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controls and monitors inherent credit risk in its securities portfolio through due diligence, diversification, concentration limits, periodic securities reviews, and by investing in low risk securities. This includes high quality Non-Agency Securities, low LTV PACE Bonds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 At December 31, 2024 and December 31, 2023, there were no holdings of securities of any one issuer, other than the U.S. Government and its agencies, in an amount greater than 10%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summarizes the fair value and unrealized losses for available for sale securities as of December 31, 2024 and December 31, 2023, respectively, segregated between securities that have been in an unrealized loss position for less than twelve months and those that have been in a continuous unrealized loss position for twelve months or longer at the respective dates: </w:t>
      </w:r>
    </w:p>
    <w:tbl>
      <w:tblPr>
        <w:tblW w:w="10205" w:type="dxa"/>
        <w:jc w:val="left"/>
        <w:tblInd w:w="0" w:type="dxa"/>
        <w:tblLayout w:type="fixed"/>
        <w:tblCellMar>
          <w:top w:w="28" w:type="dxa"/>
          <w:left w:w="28" w:type="dxa"/>
          <w:bottom w:w="28" w:type="dxa"/>
          <w:right w:w="28" w:type="dxa"/>
        </w:tblCellMar>
      </w:tblPr>
      <w:tblGrid>
        <w:gridCol w:w="792"/>
        <w:gridCol w:w="638"/>
        <w:gridCol w:w="637"/>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79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8"/>
              </w:rPr>
            </w:pPr>
            <w:r>
              <w:rPr>
                <w:rFonts w:ascii="Times New Roman;sans-serif" w:hAnsi="Times New Roman;sans-serif"/>
                <w:b/>
                <w:color w:val="000000"/>
                <w:sz w:val="18"/>
              </w:rPr>
              <w:t>Less Than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8"/>
              </w:rPr>
            </w:pPr>
            <w:r>
              <w:rPr>
                <w:rFonts w:ascii="Times New Roman;sans-serif" w:hAnsi="Times New Roman;sans-serif"/>
                <w:b/>
                <w:color w:val="000000"/>
                <w:sz w:val="18"/>
              </w:rPr>
              <w:t>Twelve Months or Longer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56" w:type="dxa"/>
            <w:gridSpan w:val="18"/>
            <w:tcBorders/>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80"/>
        <w:gridCol w:w="495"/>
        <w:gridCol w:w="493"/>
        <w:gridCol w:w="211"/>
        <w:gridCol w:w="721"/>
        <w:gridCol w:w="109"/>
        <w:gridCol w:w="109"/>
        <w:gridCol w:w="109"/>
        <w:gridCol w:w="109"/>
        <w:gridCol w:w="249"/>
        <w:gridCol w:w="551"/>
        <w:gridCol w:w="131"/>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5"/>
      </w:tblGrid>
      <w:tr>
        <w:trPr/>
        <w:tc>
          <w:tcPr>
            <w:tcW w:w="68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or Longer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4615" w:type="dxa"/>
            <w:gridSpan w:val="18"/>
            <w:tcBorders/>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Available for sale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upon adoption of the Current Expected Credit Losses ("CECL") standard, no allowance for credit losses was recorded on available for sale securities. During the year ended December 31, 2023, the Company sold a corporate bond due to concerns over the issuer and recognized a loss of $1.2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none of the Company’s available for sale debt securities were in an unrealized loss position due to credit and therefore no allowance for credit losses on available for 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Company’s security investments that are temporarily impaired as of December 31, 2024,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Held-to-maturity securities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 losses are either explicitly or implicitly guaranteed by the U.S. government, and are highly rated by major rating agencies and have a long history of no credit losses.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the exception of PACE assessments, which are generally not rated, our traditional securities were rated investment grade by at least one nationally recognized statistical rating organization with only $11.0 million rated below investment grade. All issues were current as to their interest payments. We have had insignificant losses on PACE assessments that we have invested in and are not aware of any significant losses in the PACE bonds sector given the low loan-to-value position and the superior lien position on the property. Management considers that the temporary impairment of these investments as of December 31, 2024 is primarily due to an increase in interest rates and spreads since the time these investments were acquired.</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Accrued interest receivable on securities totaling </w:t>
      </w:r>
      <w:r>
        <w:rPr>
          <w:rFonts w:ascii="Times New Roman;sans-serif" w:hAnsi="Times New Roman;sans-serif"/>
          <w:b w:val="false"/>
          <w:color w:val="000000"/>
          <w:sz w:val="20"/>
        </w:rPr>
        <w:t>$38.7 million</w:t>
      </w:r>
      <w:r>
        <w:rPr>
          <w:color w:val="000000"/>
          <w:shd w:fill="FFFFFF" w:val="clear"/>
        </w:rPr>
        <w:t xml:space="preserve"> </w:t>
      </w:r>
      <w:r>
        <w:rPr>
          <w:rFonts w:ascii="Times New Roman;sans-serif" w:hAnsi="Times New Roman;sans-serif"/>
          <w:b w:val="false"/>
          <w:color w:val="000000"/>
          <w:sz w:val="20"/>
          <w:shd w:fill="FFFFFF" w:val="clear"/>
        </w:rPr>
        <w:t>and $35.1 million at December 31, 2024 and December 31, 2023, respectively, was included in other assets in the consolidated balance sheet and excluded from the amortized cost and estimated fair value totals in the table above.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following table presents the activity in the allowance for credit losses for securities held-to-maturity for the years ended </w:t>
      </w:r>
      <w:r>
        <w:rPr>
          <w:rFonts w:ascii="Times New Roman;sans-serif" w:hAnsi="Times New Roman;sans-serif"/>
          <w:b w:val="false"/>
          <w:color w:val="000000"/>
          <w:sz w:val="20"/>
        </w:rPr>
        <w:t xml:space="preserve">December 31, 2023 and </w:t>
      </w:r>
      <w:r>
        <w:rPr>
          <w:rFonts w:ascii="Times New Roman;sans-serif" w:hAnsi="Times New Roman;sans-serif"/>
          <w:b w:val="false"/>
          <w:color w:val="000000"/>
          <w:sz w:val="20"/>
          <w:shd w:fill="FFFFFF" w:val="clear"/>
        </w:rPr>
        <w:t>December 31, 2024:</w:t>
      </w:r>
    </w:p>
    <w:tbl>
      <w:tblPr>
        <w:tblW w:w="10205" w:type="dxa"/>
        <w:jc w:val="left"/>
        <w:tblInd w:w="0" w:type="dxa"/>
        <w:tblLayout w:type="fixed"/>
        <w:tblCellMar>
          <w:top w:w="28" w:type="dxa"/>
          <w:left w:w="28" w:type="dxa"/>
          <w:bottom w:w="28" w:type="dxa"/>
          <w:right w:w="28" w:type="dxa"/>
        </w:tblCellMar>
      </w:tblPr>
      <w:tblGrid>
        <w:gridCol w:w="1028"/>
        <w:gridCol w:w="877"/>
        <w:gridCol w:w="867"/>
        <w:gridCol w:w="732"/>
        <w:gridCol w:w="1408"/>
        <w:gridCol w:w="380"/>
        <w:gridCol w:w="109"/>
        <w:gridCol w:w="109"/>
        <w:gridCol w:w="109"/>
        <w:gridCol w:w="431"/>
        <w:gridCol w:w="953"/>
        <w:gridCol w:w="223"/>
        <w:gridCol w:w="109"/>
        <w:gridCol w:w="109"/>
        <w:gridCol w:w="109"/>
        <w:gridCol w:w="399"/>
        <w:gridCol w:w="882"/>
        <w:gridCol w:w="206"/>
        <w:gridCol w:w="109"/>
        <w:gridCol w:w="109"/>
        <w:gridCol w:w="109"/>
        <w:gridCol w:w="211"/>
        <w:gridCol w:w="466"/>
        <w:gridCol w:w="161"/>
      </w:tblGrid>
      <w:tr>
        <w:trPr/>
        <w:tc>
          <w:tcPr>
            <w:tcW w:w="102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Non-GSE commercial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Commercial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Residential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2023</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 of ASU No. 2016-13</w:t>
            </w:r>
          </w:p>
        </w:tc>
        <w:tc>
          <w:tcPr>
            <w:tcW w:w="2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(recovery of) credit losses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(recovery of) credit losses</w:t>
            </w:r>
          </w:p>
        </w:tc>
        <w:tc>
          <w:tcPr>
            <w:tcW w:w="2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Federal Home Loan Bank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owned 156,932 shares and 43,892 shares at a cost of $100 per share at December 31, 2024 and December 31, 2023, respectively. Dividend income on FHLBNY stock amounted to approximately $0.4 million, $0.8 million, $0.5 million during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5.    LOANS RECEIVABLE,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receivable at amortized cost, net of deferred loan origination fees and costs, are summarized as follows:</w:t>
      </w:r>
    </w:p>
    <w:tbl>
      <w:tblPr>
        <w:tblW w:w="6117" w:type="dxa"/>
        <w:jc w:val="left"/>
        <w:tblInd w:w="0" w:type="dxa"/>
        <w:tblLayout w:type="fixed"/>
        <w:tblCellMar>
          <w:top w:w="28" w:type="dxa"/>
          <w:left w:w="28" w:type="dxa"/>
          <w:bottom w:w="28" w:type="dxa"/>
          <w:right w:w="28" w:type="dxa"/>
        </w:tblCellMar>
      </w:tblPr>
      <w:tblGrid>
        <w:gridCol w:w="124"/>
        <w:gridCol w:w="1008"/>
        <w:gridCol w:w="1008"/>
        <w:gridCol w:w="1013"/>
        <w:gridCol w:w="211"/>
        <w:gridCol w:w="97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receivable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4,411,319 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4,345,628 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commercial and industrial loans are government guaranteed loans with a balance of $198.5 million at December 31, 2024 and $225.6 million at December 31, 2023. Due to these loans being fully guaranteed by the United States government, no allowance for credit losses is recorded in relation to these loans at December 31, 2024 or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the past due status of the Company’s loans as of December 31, 2024:</w:t>
      </w:r>
    </w:p>
    <w:tbl>
      <w:tblPr>
        <w:tblW w:w="11132" w:type="dxa"/>
        <w:jc w:val="left"/>
        <w:tblInd w:w="0" w:type="dxa"/>
        <w:tblLayout w:type="fixed"/>
        <w:tblCellMar>
          <w:top w:w="28" w:type="dxa"/>
          <w:left w:w="28" w:type="dxa"/>
          <w:bottom w:w="28" w:type="dxa"/>
          <w:right w:w="28" w:type="dxa"/>
        </w:tblCellMar>
      </w:tblPr>
      <w:tblGrid>
        <w:gridCol w:w="124"/>
        <w:gridCol w:w="449"/>
        <w:gridCol w:w="374"/>
        <w:gridCol w:w="348"/>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79"/>
        <w:gridCol w:w="537"/>
        <w:gridCol w:w="145"/>
        <w:gridCol w:w="109"/>
        <w:gridCol w:w="109"/>
        <w:gridCol w:w="109"/>
        <w:gridCol w:w="211"/>
        <w:gridCol w:w="721"/>
        <w:gridCol w:w="109"/>
        <w:gridCol w:w="109"/>
        <w:gridCol w:w="109"/>
        <w:gridCol w:w="109"/>
        <w:gridCol w:w="109"/>
        <w:gridCol w:w="109"/>
        <w:gridCol w:w="211"/>
        <w:gridCol w:w="97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30-59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60-89 Days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90 Days or </w:t>
              <w:br/>
              <w:t>More</w:t>
              <w:br/>
              <w:t>Delinquent</w:t>
              <w:br/>
              <w:t>and Still</w:t>
              <w:br/>
              <w:t>Accruing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br/>
              <w:t>Receivable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portfolio</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4,672,924 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Within the table above is an $8.2 million multifamily loan that was in the process of being refinanced at December 31, 2024, and has been included as 30-89 days past due as it was past the maturity date. This loan was subsequently refinanced and is performing in accordance with the updated terms.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the past due status of the Company’s loans as of December 31, 2023:</w:t>
      </w:r>
    </w:p>
    <w:tbl>
      <w:tblPr>
        <w:tblW w:w="11023" w:type="dxa"/>
        <w:jc w:val="left"/>
        <w:tblInd w:w="0" w:type="dxa"/>
        <w:tblLayout w:type="fixed"/>
        <w:tblCellMar>
          <w:top w:w="28" w:type="dxa"/>
          <w:left w:w="28" w:type="dxa"/>
          <w:bottom w:w="28" w:type="dxa"/>
          <w:right w:w="28" w:type="dxa"/>
        </w:tblCellMar>
      </w:tblPr>
      <w:tblGrid>
        <w:gridCol w:w="488"/>
        <w:gridCol w:w="363"/>
        <w:gridCol w:w="335"/>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79"/>
        <w:gridCol w:w="537"/>
        <w:gridCol w:w="145"/>
        <w:gridCol w:w="109"/>
        <w:gridCol w:w="109"/>
        <w:gridCol w:w="109"/>
        <w:gridCol w:w="211"/>
        <w:gridCol w:w="721"/>
        <w:gridCol w:w="109"/>
        <w:gridCol w:w="109"/>
        <w:gridCol w:w="109"/>
        <w:gridCol w:w="109"/>
        <w:gridCol w:w="109"/>
        <w:gridCol w:w="109"/>
        <w:gridCol w:w="211"/>
        <w:gridCol w:w="976"/>
        <w:gridCol w:w="109"/>
        <w:gridCol w:w="109"/>
        <w:gridCol w:w="109"/>
        <w:gridCol w:w="109"/>
        <w:gridCol w:w="211"/>
        <w:gridCol w:w="97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60-89 Days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 Days or</w:t>
              <w:br/>
              <w:t>More</w:t>
              <w:br/>
              <w:t>Delinquent</w:t>
              <w:br/>
              <w:t>and Still</w:t>
              <w:br/>
              <w:t>Accruing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br/>
              <w:t>Receivable</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portfolio</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4,411,319 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Within the table above is a $12.0 million multifamily loan that was in the process of being refinanced at December 31, 2023, and has been included as 30-89 days past due as it was past the maturity date. This loan was subsequently refinanced and is performing in accordance with the updated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loan modifications granted to borrowers experiencing financial difficulty during the year ended December 31, 2024:</w:t>
      </w:r>
    </w:p>
    <w:tbl>
      <w:tblPr>
        <w:tblW w:w="8206" w:type="dxa"/>
        <w:jc w:val="left"/>
        <w:tblInd w:w="0" w:type="dxa"/>
        <w:tblLayout w:type="fixed"/>
        <w:tblCellMar>
          <w:top w:w="28" w:type="dxa"/>
          <w:left w:w="28" w:type="dxa"/>
          <w:bottom w:w="28" w:type="dxa"/>
          <w:right w:w="28" w:type="dxa"/>
        </w:tblCellMar>
      </w:tblPr>
      <w:tblGrid>
        <w:gridCol w:w="1102"/>
        <w:gridCol w:w="968"/>
        <w:gridCol w:w="974"/>
        <w:gridCol w:w="109"/>
        <w:gridCol w:w="109"/>
        <w:gridCol w:w="109"/>
        <w:gridCol w:w="297"/>
        <w:gridCol w:w="1019"/>
        <w:gridCol w:w="154"/>
        <w:gridCol w:w="115"/>
        <w:gridCol w:w="115"/>
        <w:gridCol w:w="115"/>
        <w:gridCol w:w="115"/>
        <w:gridCol w:w="115"/>
        <w:gridCol w:w="222"/>
        <w:gridCol w:w="761"/>
        <w:gridCol w:w="115"/>
        <w:gridCol w:w="109"/>
        <w:gridCol w:w="109"/>
        <w:gridCol w:w="109"/>
        <w:gridCol w:w="277"/>
        <w:gridCol w:w="277"/>
        <w:gridCol w:w="811"/>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1692" w:type="dxa"/>
            <w:gridSpan w:val="6"/>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Extension</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Portfolio</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financial effect of the modifications made to borrowers experiencing financial difficulty:</w:t>
      </w:r>
    </w:p>
    <w:tbl>
      <w:tblPr>
        <w:tblW w:w="7692" w:type="dxa"/>
        <w:jc w:val="left"/>
        <w:tblInd w:w="0" w:type="dxa"/>
        <w:tblLayout w:type="fixed"/>
        <w:tblCellMar>
          <w:top w:w="28" w:type="dxa"/>
          <w:left w:w="28" w:type="dxa"/>
          <w:bottom w:w="28" w:type="dxa"/>
          <w:right w:w="28" w:type="dxa"/>
        </w:tblCellMar>
      </w:tblPr>
      <w:tblGrid>
        <w:gridCol w:w="1102"/>
        <w:gridCol w:w="970"/>
        <w:gridCol w:w="973"/>
        <w:gridCol w:w="109"/>
        <w:gridCol w:w="109"/>
        <w:gridCol w:w="109"/>
        <w:gridCol w:w="1278"/>
        <w:gridCol w:w="1278"/>
        <w:gridCol w:w="1283"/>
        <w:gridCol w:w="109"/>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 Years of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Six loans were permanently modified during the year ended December 31, 2024. One CRE loan and one C&amp;I loan were modified during the year had a payment default during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loan modifications granted to borrowers experiencing financial difficulty during the year ended December 31, 2023:</w:t>
      </w:r>
    </w:p>
    <w:tbl>
      <w:tblPr>
        <w:tblW w:w="10205" w:type="dxa"/>
        <w:jc w:val="left"/>
        <w:tblInd w:w="0" w:type="dxa"/>
        <w:tblLayout w:type="fixed"/>
        <w:tblCellMar>
          <w:top w:w="28" w:type="dxa"/>
          <w:left w:w="28" w:type="dxa"/>
          <w:bottom w:w="28" w:type="dxa"/>
          <w:right w:w="28" w:type="dxa"/>
        </w:tblCellMar>
      </w:tblPr>
      <w:tblGrid>
        <w:gridCol w:w="954"/>
        <w:gridCol w:w="822"/>
        <w:gridCol w:w="809"/>
        <w:gridCol w:w="109"/>
        <w:gridCol w:w="109"/>
        <w:gridCol w:w="109"/>
        <w:gridCol w:w="276"/>
        <w:gridCol w:w="944"/>
        <w:gridCol w:w="142"/>
        <w:gridCol w:w="109"/>
        <w:gridCol w:w="109"/>
        <w:gridCol w:w="109"/>
        <w:gridCol w:w="588"/>
        <w:gridCol w:w="1721"/>
        <w:gridCol w:w="306"/>
        <w:gridCol w:w="109"/>
        <w:gridCol w:w="109"/>
        <w:gridCol w:w="109"/>
        <w:gridCol w:w="211"/>
        <w:gridCol w:w="721"/>
        <w:gridCol w:w="109"/>
        <w:gridCol w:w="109"/>
        <w:gridCol w:w="109"/>
        <w:gridCol w:w="109"/>
        <w:gridCol w:w="277"/>
        <w:gridCol w:w="266"/>
        <w:gridCol w:w="751"/>
      </w:tblGrid>
      <w:tr>
        <w:trPr/>
        <w:tc>
          <w:tcPr>
            <w:tcW w:w="95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Extension and 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Portfolio</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financial effect of the modifications made to borrowers experiencing financial difficulty:</w:t>
      </w:r>
    </w:p>
    <w:tbl>
      <w:tblPr>
        <w:tblW w:w="10205" w:type="dxa"/>
        <w:jc w:val="left"/>
        <w:tblInd w:w="0" w:type="dxa"/>
        <w:tblLayout w:type="fixed"/>
        <w:tblCellMar>
          <w:top w:w="28" w:type="dxa"/>
          <w:left w:w="28" w:type="dxa"/>
          <w:bottom w:w="28" w:type="dxa"/>
          <w:right w:w="28" w:type="dxa"/>
        </w:tblCellMar>
      </w:tblPr>
      <w:tblGrid>
        <w:gridCol w:w="882"/>
        <w:gridCol w:w="753"/>
        <w:gridCol w:w="755"/>
        <w:gridCol w:w="109"/>
        <w:gridCol w:w="109"/>
        <w:gridCol w:w="109"/>
        <w:gridCol w:w="939"/>
        <w:gridCol w:w="939"/>
        <w:gridCol w:w="943"/>
        <w:gridCol w:w="232"/>
        <w:gridCol w:w="232"/>
        <w:gridCol w:w="232"/>
        <w:gridCol w:w="1164"/>
        <w:gridCol w:w="1164"/>
        <w:gridCol w:w="1643"/>
      </w:tblGrid>
      <w:tr>
        <w:trPr/>
        <w:tc>
          <w:tcPr>
            <w:tcW w:w="88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 Years of Term Extension</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 Years of Term Extension and Payment Delay</w:t>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240" w:after="283"/>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Twelve loans were permanently modified during the year ended December 31, 2023. Three loans that were modified during the year had a payment default during the year ended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 (iii) 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allowance for credit loss. Non-rated loans generally include residential mortgages and consumer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below classifications follow regulatory guidelines and can be generally described as follows: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pass loans are of satisfactory quality (risk rating 1 through 6);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special mention loans have a potential weakness or risk that may result in the deterioration of future repayment (risk rating 7);</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substandard loans are inadequately protected by the current net worth and paying capacity of the borrower or of the collateral pledged (these loans have a well-defined weakness, and there is a distinct possibility that the Company will sustain some loss) (risk rating 8 and 9);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doubtful loans, based on existing circumstances, have weaknesses that make collection or liquidation in full highly questionable and improbable (risk rating 10).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residential loans are classified utilizing an inter-agency methodology that incorporates the extent of delinquency. Assigned risk rating grades are continuously updated as new information is obtained.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risk rating of the loans. Information below evaluates the Company’s risk category of loans by class as of December 31, 2024:</w:t>
      </w:r>
    </w:p>
    <w:tbl>
      <w:tblPr>
        <w:tblW w:w="10205" w:type="dxa"/>
        <w:jc w:val="left"/>
        <w:tblInd w:w="0" w:type="dxa"/>
        <w:tblLayout w:type="fixed"/>
        <w:tblCellMar>
          <w:top w:w="28" w:type="dxa"/>
          <w:left w:w="28" w:type="dxa"/>
          <w:bottom w:w="28" w:type="dxa"/>
          <w:right w:w="28" w:type="dxa"/>
        </w:tblCellMar>
      </w:tblPr>
      <w:tblGrid>
        <w:gridCol w:w="523"/>
        <w:gridCol w:w="434"/>
        <w:gridCol w:w="385"/>
        <w:gridCol w:w="196"/>
        <w:gridCol w:w="736"/>
        <w:gridCol w:w="109"/>
        <w:gridCol w:w="196"/>
        <w:gridCol w:w="736"/>
        <w:gridCol w:w="109"/>
        <w:gridCol w:w="196"/>
        <w:gridCol w:w="736"/>
        <w:gridCol w:w="109"/>
        <w:gridCol w:w="196"/>
        <w:gridCol w:w="736"/>
        <w:gridCol w:w="109"/>
        <w:gridCol w:w="197"/>
        <w:gridCol w:w="742"/>
        <w:gridCol w:w="109"/>
        <w:gridCol w:w="206"/>
        <w:gridCol w:w="773"/>
        <w:gridCol w:w="114"/>
        <w:gridCol w:w="367"/>
        <w:gridCol w:w="760"/>
        <w:gridCol w:w="204"/>
        <w:gridCol w:w="196"/>
        <w:gridCol w:w="871"/>
        <w:gridCol w:w="160"/>
      </w:tblGrid>
      <w:tr>
        <w:trPr/>
        <w:tc>
          <w:tcPr>
            <w:tcW w:w="52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Term Loans by Origination Year</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&amp; Prior</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loans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Loans Converted to Term</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155,917 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1,113,225 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and industrial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1,175,490 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Multifamily: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1,343,024 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multifamily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1,351,604 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407,325 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411,387 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6"/>
        <w:gridCol w:w="558"/>
        <w:gridCol w:w="562"/>
        <w:gridCol w:w="196"/>
        <w:gridCol w:w="736"/>
        <w:gridCol w:w="109"/>
        <w:gridCol w:w="196"/>
        <w:gridCol w:w="736"/>
        <w:gridCol w:w="109"/>
        <w:gridCol w:w="196"/>
        <w:gridCol w:w="871"/>
        <w:gridCol w:w="109"/>
        <w:gridCol w:w="196"/>
        <w:gridCol w:w="736"/>
        <w:gridCol w:w="109"/>
        <w:gridCol w:w="196"/>
        <w:gridCol w:w="871"/>
        <w:gridCol w:w="109"/>
        <w:gridCol w:w="196"/>
        <w:gridCol w:w="736"/>
        <w:gridCol w:w="109"/>
        <w:gridCol w:w="196"/>
        <w:gridCol w:w="406"/>
        <w:gridCol w:w="109"/>
        <w:gridCol w:w="196"/>
        <w:gridCol w:w="871"/>
        <w:gridCol w:w="155"/>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Residential real estate lending: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1,312,011 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residential real estate lending</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1,313,617 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Consumer solar: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362,927 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consumer solar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365,516 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Consumer and other: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consumer and other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Loans: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4,582,246 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4,672,924 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88" w:before="10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risk category of loans by class as of December 31, 2023:</w:t>
      </w:r>
    </w:p>
    <w:tbl>
      <w:tblPr>
        <w:tblW w:w="10205" w:type="dxa"/>
        <w:jc w:val="left"/>
        <w:tblInd w:w="0" w:type="dxa"/>
        <w:tblLayout w:type="fixed"/>
        <w:tblCellMar>
          <w:top w:w="28" w:type="dxa"/>
          <w:left w:w="28" w:type="dxa"/>
          <w:bottom w:w="28" w:type="dxa"/>
          <w:right w:w="28" w:type="dxa"/>
        </w:tblCellMar>
      </w:tblPr>
      <w:tblGrid>
        <w:gridCol w:w="523"/>
        <w:gridCol w:w="434"/>
        <w:gridCol w:w="385"/>
        <w:gridCol w:w="196"/>
        <w:gridCol w:w="736"/>
        <w:gridCol w:w="109"/>
        <w:gridCol w:w="196"/>
        <w:gridCol w:w="736"/>
        <w:gridCol w:w="109"/>
        <w:gridCol w:w="196"/>
        <w:gridCol w:w="736"/>
        <w:gridCol w:w="109"/>
        <w:gridCol w:w="196"/>
        <w:gridCol w:w="736"/>
        <w:gridCol w:w="109"/>
        <w:gridCol w:w="197"/>
        <w:gridCol w:w="742"/>
        <w:gridCol w:w="109"/>
        <w:gridCol w:w="206"/>
        <w:gridCol w:w="773"/>
        <w:gridCol w:w="114"/>
        <w:gridCol w:w="367"/>
        <w:gridCol w:w="760"/>
        <w:gridCol w:w="204"/>
        <w:gridCol w:w="196"/>
        <w:gridCol w:w="871"/>
        <w:gridCol w:w="160"/>
      </w:tblGrid>
      <w:tr>
        <w:trPr/>
        <w:tc>
          <w:tcPr>
            <w:tcW w:w="52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Term Loans by Origination Year</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&amp; Prior</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loans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Loans Converted to Term</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941,313 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and industrial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1,010,998 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Multifamily: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33"/>
        <w:gridCol w:w="532"/>
        <w:gridCol w:w="491"/>
        <w:gridCol w:w="196"/>
        <w:gridCol w:w="736"/>
        <w:gridCol w:w="109"/>
        <w:gridCol w:w="196"/>
        <w:gridCol w:w="871"/>
        <w:gridCol w:w="109"/>
        <w:gridCol w:w="196"/>
        <w:gridCol w:w="736"/>
        <w:gridCol w:w="109"/>
        <w:gridCol w:w="196"/>
        <w:gridCol w:w="736"/>
        <w:gridCol w:w="109"/>
        <w:gridCol w:w="196"/>
        <w:gridCol w:w="871"/>
        <w:gridCol w:w="109"/>
        <w:gridCol w:w="196"/>
        <w:gridCol w:w="736"/>
        <w:gridCol w:w="109"/>
        <w:gridCol w:w="196"/>
        <w:gridCol w:w="406"/>
        <w:gridCol w:w="109"/>
        <w:gridCol w:w="196"/>
        <w:gridCol w:w="871"/>
        <w:gridCol w:w="155"/>
      </w:tblGrid>
      <w:tr>
        <w:trPr/>
        <w:tc>
          <w:tcPr>
            <w:tcW w:w="7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1,137,453 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multifamily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1,148,120 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345,145 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Residential real estate lending: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residential real estate lending</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1,425,596 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Consumer solar: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405,849 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consumer solar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408,260 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Consumer and other: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consumer and other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Loans: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4,301,787 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4,411,319 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in the allowance by portfolio for the year ended December 31, 2024 are as follows:</w:t>
      </w:r>
    </w:p>
    <w:tbl>
      <w:tblPr>
        <w:tblW w:w="11424" w:type="dxa"/>
        <w:jc w:val="left"/>
        <w:tblInd w:w="0" w:type="dxa"/>
        <w:tblLayout w:type="fixed"/>
        <w:tblCellMar>
          <w:top w:w="28" w:type="dxa"/>
          <w:left w:w="28" w:type="dxa"/>
          <w:bottom w:w="28" w:type="dxa"/>
          <w:right w:w="28" w:type="dxa"/>
        </w:tblCellMar>
      </w:tblPr>
      <w:tblGrid>
        <w:gridCol w:w="419"/>
        <w:gridCol w:w="263"/>
        <w:gridCol w:w="264"/>
        <w:gridCol w:w="204"/>
        <w:gridCol w:w="673"/>
        <w:gridCol w:w="114"/>
        <w:gridCol w:w="109"/>
        <w:gridCol w:w="109"/>
        <w:gridCol w:w="109"/>
        <w:gridCol w:w="218"/>
        <w:gridCol w:w="620"/>
        <w:gridCol w:w="123"/>
        <w:gridCol w:w="109"/>
        <w:gridCol w:w="109"/>
        <w:gridCol w:w="109"/>
        <w:gridCol w:w="225"/>
        <w:gridCol w:w="639"/>
        <w:gridCol w:w="127"/>
        <w:gridCol w:w="109"/>
        <w:gridCol w:w="109"/>
        <w:gridCol w:w="109"/>
        <w:gridCol w:w="239"/>
        <w:gridCol w:w="678"/>
        <w:gridCol w:w="134"/>
        <w:gridCol w:w="109"/>
        <w:gridCol w:w="109"/>
        <w:gridCol w:w="109"/>
        <w:gridCol w:w="196"/>
        <w:gridCol w:w="646"/>
        <w:gridCol w:w="109"/>
        <w:gridCol w:w="109"/>
        <w:gridCol w:w="109"/>
        <w:gridCol w:w="109"/>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 Real Estate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 ACL</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(recovery of) credit losses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Charge-offs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 ACL</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activities in the allowance by portfolio for the year ended December 31, 2023 are as follows: </w:t>
      </w:r>
    </w:p>
    <w:tbl>
      <w:tblPr>
        <w:tblW w:w="10988" w:type="dxa"/>
        <w:jc w:val="left"/>
        <w:tblInd w:w="0" w:type="dxa"/>
        <w:tblLayout w:type="fixed"/>
        <w:tblCellMar>
          <w:top w:w="28" w:type="dxa"/>
          <w:left w:w="28" w:type="dxa"/>
          <w:bottom w:w="28" w:type="dxa"/>
          <w:right w:w="28" w:type="dxa"/>
        </w:tblCellMar>
      </w:tblPr>
      <w:tblGrid>
        <w:gridCol w:w="419"/>
        <w:gridCol w:w="263"/>
        <w:gridCol w:w="264"/>
        <w:gridCol w:w="204"/>
        <w:gridCol w:w="673"/>
        <w:gridCol w:w="114"/>
        <w:gridCol w:w="109"/>
        <w:gridCol w:w="109"/>
        <w:gridCol w:w="109"/>
        <w:gridCol w:w="218"/>
        <w:gridCol w:w="620"/>
        <w:gridCol w:w="123"/>
        <w:gridCol w:w="109"/>
        <w:gridCol w:w="109"/>
        <w:gridCol w:w="109"/>
        <w:gridCol w:w="225"/>
        <w:gridCol w:w="639"/>
        <w:gridCol w:w="127"/>
        <w:gridCol w:w="109"/>
        <w:gridCol w:w="109"/>
        <w:gridCol w:w="109"/>
        <w:gridCol w:w="283"/>
        <w:gridCol w:w="609"/>
        <w:gridCol w:w="15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 Real Estate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 ALLL</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ASU No. 2016-13</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 ACL</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(recovery of) credit losses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Charge-offs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 ACL</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in the allowance by portfolio for the year ended December 31, 2022 are as follows:</w:t>
      </w:r>
    </w:p>
    <w:tbl>
      <w:tblPr>
        <w:tblW w:w="11334" w:type="dxa"/>
        <w:jc w:val="left"/>
        <w:tblInd w:w="0" w:type="dxa"/>
        <w:tblLayout w:type="fixed"/>
        <w:tblCellMar>
          <w:top w:w="28" w:type="dxa"/>
          <w:left w:w="28" w:type="dxa"/>
          <w:bottom w:w="28" w:type="dxa"/>
          <w:right w:w="28" w:type="dxa"/>
        </w:tblCellMar>
      </w:tblPr>
      <w:tblGrid>
        <w:gridCol w:w="419"/>
        <w:gridCol w:w="263"/>
        <w:gridCol w:w="264"/>
        <w:gridCol w:w="204"/>
        <w:gridCol w:w="673"/>
        <w:gridCol w:w="114"/>
        <w:gridCol w:w="109"/>
        <w:gridCol w:w="109"/>
        <w:gridCol w:w="109"/>
        <w:gridCol w:w="218"/>
        <w:gridCol w:w="620"/>
        <w:gridCol w:w="123"/>
        <w:gridCol w:w="109"/>
        <w:gridCol w:w="109"/>
        <w:gridCol w:w="109"/>
        <w:gridCol w:w="225"/>
        <w:gridCol w:w="639"/>
        <w:gridCol w:w="127"/>
        <w:gridCol w:w="109"/>
        <w:gridCol w:w="109"/>
        <w:gridCol w:w="109"/>
        <w:gridCol w:w="283"/>
        <w:gridCol w:w="609"/>
        <w:gridCol w:w="159"/>
        <w:gridCol w:w="109"/>
        <w:gridCol w:w="109"/>
        <w:gridCol w:w="109"/>
        <w:gridCol w:w="196"/>
        <w:gridCol w:w="646"/>
        <w:gridCol w:w="109"/>
        <w:gridCol w:w="109"/>
        <w:gridCol w:w="109"/>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 Real Estate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loan losses:</w:t>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Beginning balance </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(recovery of) credit losses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Charge-offs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Ending balance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loans on nonaccrual status and the specific allowance as of December 31, 2024 are as follows:</w:t>
      </w:r>
    </w:p>
    <w:tbl>
      <w:tblPr>
        <w:tblW w:w="10149" w:type="dxa"/>
        <w:jc w:val="left"/>
        <w:tblInd w:w="0" w:type="dxa"/>
        <w:tblLayout w:type="fixed"/>
        <w:tblCellMar>
          <w:top w:w="28" w:type="dxa"/>
          <w:left w:w="28" w:type="dxa"/>
          <w:bottom w:w="28" w:type="dxa"/>
          <w:right w:w="28" w:type="dxa"/>
        </w:tblCellMar>
      </w:tblPr>
      <w:tblGrid>
        <w:gridCol w:w="1103"/>
        <w:gridCol w:w="969"/>
        <w:gridCol w:w="972"/>
        <w:gridCol w:w="109"/>
        <w:gridCol w:w="109"/>
        <w:gridCol w:w="109"/>
        <w:gridCol w:w="550"/>
        <w:gridCol w:w="1880"/>
        <w:gridCol w:w="284"/>
        <w:gridCol w:w="109"/>
        <w:gridCol w:w="109"/>
        <w:gridCol w:w="109"/>
        <w:gridCol w:w="547"/>
        <w:gridCol w:w="1599"/>
        <w:gridCol w:w="283"/>
        <w:gridCol w:w="109"/>
        <w:gridCol w:w="109"/>
        <w:gridCol w:w="109"/>
        <w:gridCol w:w="211"/>
        <w:gridCol w:w="61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Nonaccrual with No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Nonaccrual with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Reserve</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17,833 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amortized cost basis of loans on nonaccrual status and the specific allowance as of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are as follows:</w:t>
      </w:r>
    </w:p>
    <w:tbl>
      <w:tblPr>
        <w:tblW w:w="10149" w:type="dxa"/>
        <w:jc w:val="left"/>
        <w:tblInd w:w="0" w:type="dxa"/>
        <w:tblLayout w:type="fixed"/>
        <w:tblCellMar>
          <w:top w:w="28" w:type="dxa"/>
          <w:left w:w="28" w:type="dxa"/>
          <w:bottom w:w="28" w:type="dxa"/>
          <w:right w:w="28" w:type="dxa"/>
        </w:tblCellMar>
      </w:tblPr>
      <w:tblGrid>
        <w:gridCol w:w="1103"/>
        <w:gridCol w:w="968"/>
        <w:gridCol w:w="973"/>
        <w:gridCol w:w="109"/>
        <w:gridCol w:w="109"/>
        <w:gridCol w:w="109"/>
        <w:gridCol w:w="550"/>
        <w:gridCol w:w="1880"/>
        <w:gridCol w:w="284"/>
        <w:gridCol w:w="109"/>
        <w:gridCol w:w="109"/>
        <w:gridCol w:w="109"/>
        <w:gridCol w:w="547"/>
        <w:gridCol w:w="1599"/>
        <w:gridCol w:w="283"/>
        <w:gridCol w:w="109"/>
        <w:gridCol w:w="109"/>
        <w:gridCol w:w="109"/>
        <w:gridCol w:w="211"/>
        <w:gridCol w:w="61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Nonaccrual with No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Nonaccrual with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Reserve</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16,268 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26,262 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collateral dependent loans which were individually evaluated to determine expected credit losses as of December 31, 2024:</w:t>
      </w:r>
    </w:p>
    <w:tbl>
      <w:tblPr>
        <w:tblW w:w="10073" w:type="dxa"/>
        <w:jc w:val="left"/>
        <w:tblInd w:w="0" w:type="dxa"/>
        <w:tblLayout w:type="fixed"/>
        <w:tblCellMar>
          <w:top w:w="28" w:type="dxa"/>
          <w:left w:w="28" w:type="dxa"/>
          <w:bottom w:w="28" w:type="dxa"/>
          <w:right w:w="28" w:type="dxa"/>
        </w:tblCellMar>
      </w:tblPr>
      <w:tblGrid>
        <w:gridCol w:w="1103"/>
        <w:gridCol w:w="968"/>
        <w:gridCol w:w="973"/>
        <w:gridCol w:w="109"/>
        <w:gridCol w:w="109"/>
        <w:gridCol w:w="109"/>
        <w:gridCol w:w="590"/>
        <w:gridCol w:w="2016"/>
        <w:gridCol w:w="304"/>
        <w:gridCol w:w="109"/>
        <w:gridCol w:w="109"/>
        <w:gridCol w:w="109"/>
        <w:gridCol w:w="745"/>
        <w:gridCol w:w="2173"/>
        <w:gridCol w:w="547"/>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 Collateral 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Associated Allowance for Credit Losses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20,364 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collateral dependent loans which were individually evaluated to determine expected credit losses as of December 31, 2023:</w:t>
      </w:r>
    </w:p>
    <w:tbl>
      <w:tblPr>
        <w:tblW w:w="10072" w:type="dxa"/>
        <w:jc w:val="left"/>
        <w:tblInd w:w="0" w:type="dxa"/>
        <w:tblLayout w:type="fixed"/>
        <w:tblCellMar>
          <w:top w:w="28" w:type="dxa"/>
          <w:left w:w="28" w:type="dxa"/>
          <w:bottom w:w="28" w:type="dxa"/>
          <w:right w:w="28" w:type="dxa"/>
        </w:tblCellMar>
      </w:tblPr>
      <w:tblGrid>
        <w:gridCol w:w="1103"/>
        <w:gridCol w:w="970"/>
        <w:gridCol w:w="971"/>
        <w:gridCol w:w="109"/>
        <w:gridCol w:w="109"/>
        <w:gridCol w:w="109"/>
        <w:gridCol w:w="590"/>
        <w:gridCol w:w="2016"/>
        <w:gridCol w:w="304"/>
        <w:gridCol w:w="109"/>
        <w:gridCol w:w="109"/>
        <w:gridCol w:w="109"/>
        <w:gridCol w:w="946"/>
        <w:gridCol w:w="1823"/>
        <w:gridCol w:w="695"/>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 Collateral 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Associated Allowance for Credit Losses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20,855 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mortgage loans with an unpaid principal balance of $2.45 billion and $2.35 billion, respectively, were pledged to the FHLBNY to secure outstanding advances, letters of credit and to provide additional borrowing potential.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$1.9 million and $2.2 million of loans to related parties and affiliates as of December 31, 2024 and December 31, 2023,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Loans Held for Sale ("LHFS") on the Consolidated Statements of Financial Condition was $37.6 million and $1.8 million, respectively. Included in LHFS were certain non-performing loans of $4.9 million and $1.0 million as of December 31, 2024 and December 31, 2023, respectively. In addition, at December 31, 2024, there was a pool of $31.4 million performing residential loans in loans held-for-sale that are expected to close in the first quarter of 2025. Remaining loans in both periods were related to residential loans originated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6. PREMISES AND EQUIPMENT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Premises and equipment are summarized as follows:</w:t>
      </w:r>
    </w:p>
    <w:tbl>
      <w:tblPr>
        <w:tblW w:w="6144" w:type="dxa"/>
        <w:jc w:val="left"/>
        <w:tblInd w:w="0" w:type="dxa"/>
        <w:tblLayout w:type="fixed"/>
        <w:tblCellMar>
          <w:top w:w="28" w:type="dxa"/>
          <w:left w:w="28" w:type="dxa"/>
          <w:bottom w:w="28" w:type="dxa"/>
          <w:right w:w="28" w:type="dxa"/>
        </w:tblCellMar>
      </w:tblPr>
      <w:tblGrid>
        <w:gridCol w:w="1333"/>
        <w:gridCol w:w="1174"/>
        <w:gridCol w:w="1183"/>
        <w:gridCol w:w="211"/>
        <w:gridCol w:w="721"/>
        <w:gridCol w:w="109"/>
        <w:gridCol w:w="109"/>
        <w:gridCol w:w="109"/>
        <w:gridCol w:w="109"/>
        <w:gridCol w:w="211"/>
        <w:gridCol w:w="721"/>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premises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Projects in process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charged to operations amounted to $3.2 million, $3.5 million, and $3.5 million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7.    DEPOSITS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Deposits are summarized as follows:</w:t>
      </w:r>
    </w:p>
    <w:tbl>
      <w:tblPr>
        <w:tblW w:w="10205" w:type="dxa"/>
        <w:jc w:val="left"/>
        <w:tblInd w:w="0" w:type="dxa"/>
        <w:tblLayout w:type="fixed"/>
        <w:tblCellMar>
          <w:top w:w="28" w:type="dxa"/>
          <w:left w:w="28" w:type="dxa"/>
          <w:bottom w:w="28" w:type="dxa"/>
          <w:right w:w="28" w:type="dxa"/>
        </w:tblCellMar>
      </w:tblPr>
      <w:tblGrid>
        <w:gridCol w:w="124"/>
        <w:gridCol w:w="1004"/>
        <w:gridCol w:w="1004"/>
        <w:gridCol w:w="1011"/>
        <w:gridCol w:w="109"/>
        <w:gridCol w:w="211"/>
        <w:gridCol w:w="976"/>
        <w:gridCol w:w="109"/>
        <w:gridCol w:w="109"/>
        <w:gridCol w:w="109"/>
        <w:gridCol w:w="109"/>
        <w:gridCol w:w="403"/>
        <w:gridCol w:w="361"/>
        <w:gridCol w:w="899"/>
        <w:gridCol w:w="109"/>
        <w:gridCol w:w="109"/>
        <w:gridCol w:w="109"/>
        <w:gridCol w:w="211"/>
        <w:gridCol w:w="976"/>
        <w:gridCol w:w="109"/>
        <w:gridCol w:w="109"/>
        <w:gridCol w:w="109"/>
        <w:gridCol w:w="109"/>
        <w:gridCol w:w="388"/>
        <w:gridCol w:w="339"/>
        <w:gridCol w:w="990"/>
      </w:tblGrid>
      <w:tr>
        <w:trPr/>
        <w:tc>
          <w:tcPr>
            <w:tcW w:w="12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Rate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 accounts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certificates of deposit ("CDs")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scheduled maturities of time deposits as of December 31, 2024 are as follows:</w:t>
      </w:r>
    </w:p>
    <w:tbl>
      <w:tblPr>
        <w:tblW w:w="3202" w:type="dxa"/>
        <w:jc w:val="left"/>
        <w:tblInd w:w="0" w:type="dxa"/>
        <w:tblLayout w:type="fixed"/>
        <w:tblCellMar>
          <w:top w:w="28" w:type="dxa"/>
          <w:left w:w="28" w:type="dxa"/>
          <w:bottom w:w="28" w:type="dxa"/>
          <w:right w:w="28" w:type="dxa"/>
        </w:tblCellMar>
      </w:tblPr>
      <w:tblGrid>
        <w:gridCol w:w="124"/>
        <w:gridCol w:w="109"/>
        <w:gridCol w:w="109"/>
        <w:gridCol w:w="109"/>
        <w:gridCol w:w="109"/>
        <w:gridCol w:w="374"/>
        <w:gridCol w:w="374"/>
        <w:gridCol w:w="376"/>
        <w:gridCol w:w="109"/>
        <w:gridCol w:w="109"/>
        <w:gridCol w:w="109"/>
        <w:gridCol w:w="211"/>
        <w:gridCol w:w="8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Time deposits greater than $250,000 totaled $48.5 million as of December 31, 2024 and $42.2 million as of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will issue time deposits through the Certificate of Deposit Account Registry Service (“CDARS”) for the purpose of providing FDIC insurance to bank customers with balances in excess of FDIC insurance limits. CDARS deposits totaled approximately $104.9 million and $63.1 million as of December 31, 2024 and December 31, 2023, respectively, and are included in Time deposits above.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total deposits included deposits from Workers United and its related entities, a related party, in the amounts of $71.2 million as of December 31, 2024 and $56.4 million as of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total deposits are state and municipal deposits totaling $62.6 million and $51.9 million as of December 31, 2024 and December 31, 2023, respectively. Such deposits are secured by letters of credit issued by the FHLBNY or by securities pledged with the FHLBNY.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8. BORROWINGS</w:t>
      </w:r>
    </w:p>
    <w:p>
      <w:pPr>
        <w:pStyle w:val="TextBody"/>
        <w:bidi w:val="0"/>
        <w:spacing w:lineRule="auto" w:line="288" w:before="240" w:after="283"/>
        <w:ind w:left="0" w:right="0" w:hanging="360"/>
        <w:jc w:val="left"/>
        <w:rPr>
          <w:rFonts w:ascii="Times New Roman;sans-serif" w:hAnsi="Times New Roman;sans-serif"/>
          <w:b/>
          <w:i/>
          <w:color w:val="000000"/>
          <w:sz w:val="22"/>
        </w:rPr>
      </w:pPr>
      <w:r>
        <w:rPr>
          <w:rFonts w:ascii="Times New Roman;sans-serif" w:hAnsi="Times New Roman;sans-serif"/>
          <w:b/>
          <w:i/>
          <w:color w:val="000000"/>
          <w:sz w:val="22"/>
        </w:rPr>
        <w:t>Subordinated Debt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On Novem</w:t>
      </w:r>
      <w:r>
        <w:rPr>
          <w:rFonts w:ascii="Times New Roman;sans-serif" w:hAnsi="Times New Roman;sans-serif"/>
          <w:b w:val="false"/>
          <w:color w:val="000000"/>
          <w:sz w:val="20"/>
        </w:rPr>
        <w:t xml:space="preserve">ber 8, 2021, the Company completed a public offering of $85.0 million of aggregated principal amount of 3.25%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on subordinated debt for the years ended December 31, 2024, 2023, and 2022 was $2.4 million, $2.7 million, and $2.7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2023 and 2022, the Company repurchased subordinated notes with a par value of $7.0 million, $7.5 million and $6.3 million, for cash paid of $5.9 million, $6.0 million and $5.6 million,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Gains on repurchases of subordinated debt for the year ended December 31, 2024, 2023 and 2022, were $1.1 million, $1.4 million and $0.6 million, respectively, and are recorded in Non-interest income - other on the consolidated statements of income.</w:t>
      </w:r>
    </w:p>
    <w:p>
      <w:pPr>
        <w:pStyle w:val="TextBody"/>
        <w:bidi w:val="0"/>
        <w:spacing w:lineRule="auto" w:line="288" w:before="240" w:after="283"/>
        <w:jc w:val="both"/>
        <w:rPr>
          <w:rFonts w:ascii="Times New Roman;sans-serif" w:hAnsi="Times New Roman;sans-serif"/>
          <w:b/>
          <w:i/>
          <w:color w:val="000000"/>
          <w:sz w:val="22"/>
        </w:rPr>
      </w:pPr>
      <w:r>
        <w:rPr>
          <w:rFonts w:ascii="Times New Roman;sans-serif" w:hAnsi="Times New Roman;sans-serif"/>
          <w:b/>
          <w:i/>
          <w:color w:val="000000"/>
          <w:sz w:val="22"/>
        </w:rPr>
        <w:t>FHLBNY borrowed funds and Other Borrowings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FHLBNY advances are collateralized by the FHLBNY stock owned by the Bank plus a pledge of other eligible assets comprised of securities and mortgage loans. Assets are pledged as collateral for borrowing capacity. As of December 31, 2024, the value of the other eligible assets had an estimated market value net of haircut totaling $2.04 billion (comprised of securities of $379.6 million and mortgage loans of $1.66 billion). The fair value of assets pledged to the FHLBNY is required to be not less than 110% of the outstanding advances. There were $250.7 million in outstanding FHLBNY advances as of December 31, 2024 and $4.4 million in outstanding FHLBNY advances as of December 31, 2023. As of December 31, 2024, we had a $10.7 million of FHLBNY advances due in 2025 through the 0% Development Advance Program that provides members with subsidized funding in the form of interest rate credits to assist in originating loans or purchasing loans or investments that meet one of the eligibility criteria. Additionally, there were $240.0 million of FHLBNY overnight contractual maturity borrowings with a 4.69% interest rate. The Company pledged PACE assessments which qualified under the Climate Development Advance and therefore will receive interest rate credits and will not incur any interest expense related to the current outstanding advances. For the years ended December 31, 2024, 2023, and 2022, interest expense on FHLBNY advances was $0.3 million and $5.4 million, and $4.7 million,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FHLBNY advances, the Company uses other borrowings for short-term borrowing needs. Federal funds lines of credit are extended to the Company by non-affiliated banks with which a correspondent banking relationship exists. At December 31, 2024, and December 31, 2023 there was no outstanding balance related to federal funds purchased. In addition, following the bank failures in 2023, the Federal Reserve created a new Bank Term Funding Program ("BTFP") as an additional source of liquidity against high-quality securities, offering loans of up to one year to eligible institutions pledging qualifying assets as collateral. At December 31, 2024, BTFP ceased extending new borrowings, and as such, there was no outstanding borrowings. At December 31, 2023, there was an outstanding borrowings balance of $230.0 million related to the BTFP due in 2024 with a weighted average rate of 4.50%. For the years ended December 31, 2024, 2023, and 2022, interest expense on BTFP balances was $2.7 million, $7.6 million, and zero,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9. REGULATORY CAPITAL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and, additionally for the Bank, the regulatory framework for prompt corrective action, the Company and the Bank must meet specific capital requirements that involve quantitative measures of the Company and the Bank’s assets, liabilities, and certain off-balance sheet items calculated under regulatory accounting practices. The Company and the Bank’s capital amounts and classifications also are subject to qualitative judgments by the regulators about components, risk weightings, and other factors.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Quantitative measures established by regulation to ensure capital adequacy require the Company and the Bank to maintain minimum amounts and ratios (set forth in the following table) of total, tier 1, and common equity tier 1 capital (as defined in the regulations) to risk weighted assets, and of tier 1 capital (as defined in the regulations) to average assets. Management believes as of December 31, 2024 and 2023, the Company and the Bank met all capital adequacy requirements.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most recent notification from the Federal Deposit Insurance Corporation categorized the Bank as “well capitalized” under the regulatory framework for prompt corrective action. To be categorized as “well capitalized,” the Bank must maintain minimum total risk-based, tier 1 risk-based, common equity tier 1 risk-based, tier 1 leverage ratios as set forth in the table below. Since that notification, there are no conditions or events that management believes have changed the institution’s category.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actual capital amounts and ratios are presented in the following table: </w:t>
      </w:r>
    </w:p>
    <w:tbl>
      <w:tblPr>
        <w:tblW w:w="10205" w:type="dxa"/>
        <w:jc w:val="left"/>
        <w:tblInd w:w="0" w:type="dxa"/>
        <w:tblLayout w:type="fixed"/>
        <w:tblCellMar>
          <w:top w:w="28" w:type="dxa"/>
          <w:left w:w="28" w:type="dxa"/>
          <w:bottom w:w="28" w:type="dxa"/>
          <w:right w:w="28" w:type="dxa"/>
        </w:tblCellMar>
      </w:tblPr>
      <w:tblGrid>
        <w:gridCol w:w="978"/>
        <w:gridCol w:w="797"/>
        <w:gridCol w:w="782"/>
        <w:gridCol w:w="211"/>
        <w:gridCol w:w="826"/>
        <w:gridCol w:w="109"/>
        <w:gridCol w:w="109"/>
        <w:gridCol w:w="109"/>
        <w:gridCol w:w="109"/>
        <w:gridCol w:w="308"/>
        <w:gridCol w:w="308"/>
        <w:gridCol w:w="317"/>
        <w:gridCol w:w="109"/>
        <w:gridCol w:w="109"/>
        <w:gridCol w:w="109"/>
        <w:gridCol w:w="211"/>
        <w:gridCol w:w="826"/>
        <w:gridCol w:w="109"/>
        <w:gridCol w:w="109"/>
        <w:gridCol w:w="109"/>
        <w:gridCol w:w="109"/>
        <w:gridCol w:w="255"/>
        <w:gridCol w:w="256"/>
        <w:gridCol w:w="317"/>
        <w:gridCol w:w="109"/>
        <w:gridCol w:w="109"/>
        <w:gridCol w:w="109"/>
        <w:gridCol w:w="260"/>
        <w:gridCol w:w="260"/>
        <w:gridCol w:w="261"/>
        <w:gridCol w:w="150"/>
        <w:gridCol w:w="150"/>
        <w:gridCol w:w="150"/>
        <w:gridCol w:w="189"/>
        <w:gridCol w:w="189"/>
        <w:gridCol w:w="193"/>
        <w:gridCol w:w="109"/>
        <w:gridCol w:w="109"/>
        <w:gridCol w:w="109"/>
        <w:gridCol w:w="158"/>
      </w:tblGrid>
      <w:tr>
        <w:trPr/>
        <w:tc>
          <w:tcPr>
            <w:tcW w:w="97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Capital</w:t>
            </w:r>
          </w:p>
          <w:p>
            <w:pPr>
              <w:pStyle w:val="TableContents"/>
              <w:bidi w:val="0"/>
              <w:spacing w:lineRule="auto" w:line="240" w:before="0" w:after="0"/>
              <w:jc w:val="center"/>
              <w:rPr/>
            </w:pPr>
            <w:r>
              <w:rPr>
                <w:rFonts w:ascii="Times New Roman;sans-serif" w:hAnsi="Times New Roman;sans-serif"/>
                <w:b/>
                <w:color w:val="000000"/>
                <w:sz w:val="20"/>
              </w:rPr>
              <w:t xml:space="preserve">Adequacy Purposes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 Be Considered</w:t>
              <w:br/>
              <w:t>Well Capitalized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2024</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(1)Amounts are shown exclusive of the applicable capital conservation buffer of 2.50%.</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417"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Bank’s actual capital amounts and ratios are presented in the following table: </w:t>
      </w:r>
    </w:p>
    <w:tbl>
      <w:tblPr>
        <w:tblW w:w="10205" w:type="dxa"/>
        <w:jc w:val="left"/>
        <w:tblInd w:w="0" w:type="dxa"/>
        <w:tblLayout w:type="fixed"/>
        <w:tblCellMar>
          <w:top w:w="28" w:type="dxa"/>
          <w:left w:w="28" w:type="dxa"/>
          <w:bottom w:w="28" w:type="dxa"/>
          <w:right w:w="28" w:type="dxa"/>
        </w:tblCellMar>
      </w:tblPr>
      <w:tblGrid>
        <w:gridCol w:w="911"/>
        <w:gridCol w:w="729"/>
        <w:gridCol w:w="712"/>
        <w:gridCol w:w="413"/>
        <w:gridCol w:w="413"/>
        <w:gridCol w:w="261"/>
        <w:gridCol w:w="109"/>
        <w:gridCol w:w="109"/>
        <w:gridCol w:w="109"/>
        <w:gridCol w:w="308"/>
        <w:gridCol w:w="308"/>
        <w:gridCol w:w="317"/>
        <w:gridCol w:w="109"/>
        <w:gridCol w:w="109"/>
        <w:gridCol w:w="109"/>
        <w:gridCol w:w="413"/>
        <w:gridCol w:w="413"/>
        <w:gridCol w:w="261"/>
        <w:gridCol w:w="144"/>
        <w:gridCol w:w="144"/>
        <w:gridCol w:w="144"/>
        <w:gridCol w:w="318"/>
        <w:gridCol w:w="193"/>
        <w:gridCol w:w="358"/>
        <w:gridCol w:w="109"/>
        <w:gridCol w:w="109"/>
        <w:gridCol w:w="109"/>
        <w:gridCol w:w="413"/>
        <w:gridCol w:w="413"/>
        <w:gridCol w:w="261"/>
        <w:gridCol w:w="128"/>
        <w:gridCol w:w="128"/>
        <w:gridCol w:w="128"/>
        <w:gridCol w:w="312"/>
        <w:gridCol w:w="304"/>
        <w:gridCol w:w="377"/>
      </w:tblGrid>
      <w:tr>
        <w:trPr/>
        <w:tc>
          <w:tcPr>
            <w:tcW w:w="91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Capital</w:t>
            </w:r>
          </w:p>
          <w:p>
            <w:pPr>
              <w:pStyle w:val="TableContents"/>
              <w:bidi w:val="0"/>
              <w:spacing w:lineRule="auto" w:line="240" w:before="0" w:after="0"/>
              <w:jc w:val="center"/>
              <w:rPr/>
            </w:pPr>
            <w:r>
              <w:rPr>
                <w:rFonts w:ascii="Times New Roman;sans-serif" w:hAnsi="Times New Roman;sans-serif"/>
                <w:b/>
                <w:color w:val="000000"/>
                <w:sz w:val="20"/>
              </w:rPr>
              <w:t xml:space="preserve">Adequacy Purposes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 Be Considered</w:t>
              <w:br/>
              <w:t>Well Capitalized</w:t>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2024</w:t>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829,871 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432,493 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540,616 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765,652 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324,370 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432,493 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765,652 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334,109 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417,637 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to risk weighted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765,652 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243,277 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752,828 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504,083 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405,643 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226,837 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327,654 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417"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(1)Amounts are shown exclusive of the applicable capital conservation buffer of 2.50%.</w:t>
      </w:r>
    </w:p>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10.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for the years ended December 31, 2024, 2023, and 2022 are as follows:</w:t>
      </w:r>
    </w:p>
    <w:tbl>
      <w:tblPr>
        <w:tblW w:w="6146" w:type="dxa"/>
        <w:jc w:val="left"/>
        <w:tblInd w:w="0" w:type="dxa"/>
        <w:tblLayout w:type="fixed"/>
        <w:tblCellMar>
          <w:top w:w="28" w:type="dxa"/>
          <w:left w:w="28" w:type="dxa"/>
          <w:bottom w:w="28" w:type="dxa"/>
          <w:right w:w="28" w:type="dxa"/>
        </w:tblCellMar>
      </w:tblPr>
      <w:tblGrid>
        <w:gridCol w:w="842"/>
        <w:gridCol w:w="740"/>
        <w:gridCol w:w="742"/>
        <w:gridCol w:w="211"/>
        <w:gridCol w:w="721"/>
        <w:gridCol w:w="109"/>
        <w:gridCol w:w="109"/>
        <w:gridCol w:w="109"/>
        <w:gridCol w:w="109"/>
        <w:gridCol w:w="211"/>
        <w:gridCol w:w="721"/>
        <w:gridCol w:w="109"/>
        <w:gridCol w:w="109"/>
        <w:gridCol w:w="109"/>
        <w:gridCol w:w="109"/>
        <w:gridCol w:w="211"/>
        <w:gridCol w:w="72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expected income tax expense at the statutory federal income tax rate of 21% to the Company’s actual income tax benefit and effective tax rate for the years ended December 31, 2024, 2023, and 2022 and is as follows:</w:t>
      </w:r>
    </w:p>
    <w:tbl>
      <w:tblPr>
        <w:tblW w:w="10205" w:type="dxa"/>
        <w:jc w:val="left"/>
        <w:tblInd w:w="0" w:type="dxa"/>
        <w:tblLayout w:type="fixed"/>
        <w:tblCellMar>
          <w:top w:w="28" w:type="dxa"/>
          <w:left w:w="28" w:type="dxa"/>
          <w:bottom w:w="28" w:type="dxa"/>
          <w:right w:w="28" w:type="dxa"/>
        </w:tblCellMar>
      </w:tblPr>
      <w:tblGrid>
        <w:gridCol w:w="1105"/>
        <w:gridCol w:w="761"/>
        <w:gridCol w:w="764"/>
        <w:gridCol w:w="109"/>
        <w:gridCol w:w="211"/>
        <w:gridCol w:w="721"/>
        <w:gridCol w:w="109"/>
        <w:gridCol w:w="109"/>
        <w:gridCol w:w="109"/>
        <w:gridCol w:w="109"/>
        <w:gridCol w:w="308"/>
        <w:gridCol w:w="308"/>
        <w:gridCol w:w="271"/>
        <w:gridCol w:w="109"/>
        <w:gridCol w:w="109"/>
        <w:gridCol w:w="109"/>
        <w:gridCol w:w="211"/>
        <w:gridCol w:w="721"/>
        <w:gridCol w:w="109"/>
        <w:gridCol w:w="109"/>
        <w:gridCol w:w="109"/>
        <w:gridCol w:w="109"/>
        <w:gridCol w:w="308"/>
        <w:gridCol w:w="308"/>
        <w:gridCol w:w="271"/>
        <w:gridCol w:w="109"/>
        <w:gridCol w:w="109"/>
        <w:gridCol w:w="109"/>
        <w:gridCol w:w="211"/>
        <w:gridCol w:w="721"/>
        <w:gridCol w:w="109"/>
        <w:gridCol w:w="109"/>
        <w:gridCol w:w="109"/>
        <w:gridCol w:w="109"/>
        <w:gridCol w:w="308"/>
        <w:gridCol w:w="308"/>
        <w:gridCol w:w="318"/>
      </w:tblGrid>
      <w:tr>
        <w:trPr/>
        <w:tc>
          <w:tcPr>
            <w:tcW w:w="110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 at federal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exempt income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 windfall</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remaining state net operating loss carryforwards of approximately $6.1 million which are available to offset future state income and which expires in 2035.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assets and liabilities result from temporary differences between the carrying value of assets and liabilities for financial reporting purposes and for income tax return purposes. These assets and liabilities are measured using the enacted tax rates and laws that are currently in effect and are reported net in the accompanying Consolidated Statement of Financial Condition.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the net deferred tax assets and liabilities as of December 31, 2024 and 2023, are as follows:</w:t>
      </w:r>
    </w:p>
    <w:tbl>
      <w:tblPr>
        <w:tblW w:w="9365" w:type="dxa"/>
        <w:jc w:val="left"/>
        <w:tblInd w:w="0" w:type="dxa"/>
        <w:tblLayout w:type="fixed"/>
        <w:tblCellMar>
          <w:top w:w="28" w:type="dxa"/>
          <w:left w:w="28" w:type="dxa"/>
          <w:bottom w:w="28" w:type="dxa"/>
          <w:right w:w="28" w:type="dxa"/>
        </w:tblCellMar>
      </w:tblPr>
      <w:tblGrid>
        <w:gridCol w:w="2384"/>
        <w:gridCol w:w="2098"/>
        <w:gridCol w:w="2102"/>
        <w:gridCol w:w="109"/>
        <w:gridCol w:w="109"/>
        <w:gridCol w:w="109"/>
        <w:gridCol w:w="211"/>
        <w:gridCol w:w="721"/>
        <w:gridCol w:w="109"/>
        <w:gridCol w:w="109"/>
        <w:gridCol w:w="109"/>
        <w:gridCol w:w="109"/>
        <w:gridCol w:w="211"/>
        <w:gridCol w:w="721"/>
        <w:gridCol w:w="154"/>
      </w:tblGrid>
      <w:tr>
        <w:trPr/>
        <w:tc>
          <w:tcPr>
            <w:tcW w:w="238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basis over carrying value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and other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for sale securities carried at fair value for financial statement purposes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and local net operating loss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available for sale securities to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Gross 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loan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Gross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Company’s deferred tax assets were valued without an allowance as management concluded that it is more likely than not that the entire amount may be realized. ASC 740, Income Taxes, provides for the recognition of deferred tax assets if realization of such assets is more likely than not. Management reassesses the need for a valuation allowance on an annual basis, or more frequently if warranted. If it is later determined that a valuation allowance is required, it generally will be an expense to the income tax provision in the period such determination is made.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are subject to Federal, New York State, California, Colorado, District of Columbia, Florida, New Jersey, Massachusetts, Minnesota, North Carolina, Pennsylvania, Virginia and New York City income taxes. A tax position is recognized as a benefit only if it is “more likely than not” that the tax position would be sustained in a tax examination; with a tax examination presumably to occur. The amount recognized is the largest amount of tax benefit that is greater than 50% likely of being realized on examination. For tax positions not meeting the “more likely than not” test, no tax benefit is recorded. As of The Company had an uncertain tax liability related to on-going tax examinations regarding inventory of prior net operating losses of $0.9 million and $2.7 million at December 31, 2024 and December 31, 2023. The Company believes that it is reasonably possible these examinations will be resolved in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is generally subject to possible examination by federal, state, and local taxing authorities for 2021 and subsequent tax years. Income tax receivable, which is included in other assets, totaled $17.9 million and $8.0 million as of December 31, 2024 and 2023, respectively.</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11.    EARNINGS PER SHARE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w:t>
      </w:r>
      <w:r>
        <w:rPr>
          <w:rFonts w:ascii="Times New Roman;sans-serif" w:hAnsi="Times New Roman;sans-serif"/>
          <w:b w:val="false"/>
          <w:color w:val="000000"/>
          <w:sz w:val="20"/>
        </w:rPr>
        <w:t xml:space="preserve">As of December 31, 2024 and December 31, 2023, the Company had 342 and 3,233 anti-dilutive shares, respectively.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Following is a table setting forth the factors used in the earnings per share computation follow:</w:t>
      </w:r>
    </w:p>
    <w:p>
      <w:pPr>
        <w:pStyle w:val="TextBody"/>
        <w:bidi w:val="0"/>
        <w:spacing w:before="240" w:after="283"/>
        <w:jc w:val="both"/>
        <w:rPr/>
      </w:pPr>
      <w:r>
        <w:rPr/>
      </w:r>
    </w:p>
    <w:tbl>
      <w:tblPr>
        <w:tblW w:w="9902" w:type="dxa"/>
        <w:jc w:val="left"/>
        <w:tblInd w:w="0" w:type="dxa"/>
        <w:tblLayout w:type="fixed"/>
        <w:tblCellMar>
          <w:top w:w="28" w:type="dxa"/>
          <w:left w:w="28" w:type="dxa"/>
          <w:bottom w:w="28" w:type="dxa"/>
          <w:right w:w="28" w:type="dxa"/>
        </w:tblCellMar>
      </w:tblPr>
      <w:tblGrid>
        <w:gridCol w:w="1963"/>
        <w:gridCol w:w="1727"/>
        <w:gridCol w:w="1740"/>
        <w:gridCol w:w="109"/>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196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Amalgamated Financial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shares from assumed conversion of options and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3.44</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12.    EMPLOYEE BENEFIT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various pension and retirement benefit plans, as well as a long-term incentive plan to eligible employees and directors. Significant benefit plans are described as follows: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Pension Plan</w:t>
      </w:r>
    </w:p>
    <w:p>
      <w:pPr>
        <w:pStyle w:val="TextBody"/>
        <w:bidi w:val="0"/>
        <w:spacing w:lineRule="auto" w:line="288" w:before="240" w:after="283"/>
        <w:jc w:val="both"/>
        <w:rPr/>
      </w:pPr>
      <w:r>
        <w:rPr>
          <w:rFonts w:ascii="Times New Roman;sans-serif" w:hAnsi="Times New Roman;sans-serif"/>
          <w:b w:val="false"/>
          <w:color w:val="000000"/>
          <w:sz w:val="20"/>
        </w:rPr>
        <w:t>The Company participates in a multi-employer non-contributory pension plan which covers substantially all full-time employees, both unionized and non-unionized. Employees generally qualify for participation in the plan on the first January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or July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after attaining age 21 and completing 1,000 Hours of Service in a 12 consecutive month period. A Memorandum of Agreement covering the unionized employees was entered into on December 20, 2023 which extended the term of the collective bargaining agreement to June 30, 2026. Under the terms of this plan, participants vest 100% upon completion of five years of service, as defined in the plan document. Plan assets are invested in the Consolidated Retirement Fund ("CRF"). The Employer Identification Number of the CRF is 13-3177000 and the Plan Number is 001.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multi-employer plan, the Administrator of the CRF does not make separate actuarial valuations with respect to each employer, nor are plan assets so segregated. The benefits provided by the CRF are being funded by the Company and other participating employers through contributions to the Administrator, which are necessary to maintain the CRF on a sound actuarial basis. Contributions are calculated based on a percentage of participants’ qualifying base salary, which percentage is determined from time to time by the CRF Board of Trustees.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Pension Protection Act of 2006 ("PPA") ranks the funded status of multi-employer plans depending upon a plan’s current and projected funding. A plan is in the Red Zone (Critical Status) if it has a current funded percentage (as defined) of less than 65%. A plan is in the Yellow Zone (Endangered Status) if it has a current funded percentage of less than 80%, or projects a credit balance deficit within seven years. A plan is in the Green Zone if it has a current funded percentage greater than 80% and does not have a projected credit balance deficit within seven years. For the 2024 and 2023 plan years, pursuant to the PPA, the CRF was certified to be in the Green Zone (i.e. neither Critical Status nor Endangered Status).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information regarding contributions made by the Company to the CRF:</w:t>
      </w:r>
    </w:p>
    <w:tbl>
      <w:tblPr>
        <w:tblW w:w="10205" w:type="dxa"/>
        <w:jc w:val="left"/>
        <w:tblInd w:w="0" w:type="dxa"/>
        <w:tblLayout w:type="fixed"/>
        <w:tblCellMar>
          <w:top w:w="28" w:type="dxa"/>
          <w:left w:w="28" w:type="dxa"/>
          <w:bottom w:w="28" w:type="dxa"/>
          <w:right w:w="28" w:type="dxa"/>
        </w:tblCellMar>
      </w:tblPr>
      <w:tblGrid>
        <w:gridCol w:w="778"/>
        <w:gridCol w:w="674"/>
        <w:gridCol w:w="670"/>
        <w:gridCol w:w="109"/>
        <w:gridCol w:w="287"/>
        <w:gridCol w:w="839"/>
        <w:gridCol w:w="150"/>
        <w:gridCol w:w="109"/>
        <w:gridCol w:w="109"/>
        <w:gridCol w:w="109"/>
        <w:gridCol w:w="1861"/>
        <w:gridCol w:w="1861"/>
        <w:gridCol w:w="2649"/>
      </w:tblGrid>
      <w:tr>
        <w:trPr/>
        <w:tc>
          <w:tcPr>
            <w:tcW w:w="7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Company contributions greater than 5% of total contributions received by the CRF?</w:t>
            </w:r>
          </w:p>
        </w:tc>
      </w:tr>
      <w:tr>
        <w:trPr/>
        <w:tc>
          <w:tcPr>
            <w:tcW w:w="2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contributions presented in the preceding table represent expense recorded by the Company during the respective periods and are included in Compensation and Employee Benefits expense on the Consolidated Statements of Income.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Bonus Deferral and Stock Purchase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Company's Board of Directors approved a non-qualified Bonus Deferral And Stock Purchase Plan ("BDSPP") to provide for a bonus deferral opportunity with matching benefits to certain executives. The plan allows for participating executives to defer up to 100% of their annual incentive plan bonus in the form of “deferred stock units” ("DSUs") which will convert to shares issuable upon the earliest to occur of the executive’s separation from service (including death), a change of control or a qualifying financial emergency. The Company will match 100% up to 35% of any deferred bonus, in the form of additional DSUs credited to participants' plan accounts. Executives are required to elect their deferral amount prior to the start of the performance year. Notwithstanding the foregoing, for the first plan year ended December 31, 2024, the deferral limit was 50% (not 100%) of the annual incentive plan bonus (and any matching amounts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awarded when the annual bonus is determined for such year). For the year ended December 31, 2024, executive bonus expense has been accrued as part of the annual incentive accruals.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Retirement Benefit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 post-retirement health plan, a life insurance plan, and provides for two other non-qualifying supplemental retirement plan benefits; one for certain former directors, and one for certain former employees. The Company’s policy is to fund the cost of health and life benefits in amounts determined in accordance with the plan provisions. The other retirement benefit plans generally contain vesting provisions and service requirements. These plans are unfunded and represent a general obligation of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plans’ benefit obligation, the changes in the plans’ benefit obligation, changes in plan assets and the plan’s funded status:</w:t>
      </w:r>
    </w:p>
    <w:tbl>
      <w:tblPr>
        <w:tblW w:w="6389" w:type="dxa"/>
        <w:jc w:val="left"/>
        <w:tblInd w:w="0" w:type="dxa"/>
        <w:tblLayout w:type="fixed"/>
        <w:tblCellMar>
          <w:top w:w="28" w:type="dxa"/>
          <w:left w:w="28" w:type="dxa"/>
          <w:bottom w:w="28" w:type="dxa"/>
          <w:right w:w="28" w:type="dxa"/>
        </w:tblCellMar>
      </w:tblPr>
      <w:tblGrid>
        <w:gridCol w:w="1423"/>
        <w:gridCol w:w="1251"/>
        <w:gridCol w:w="1255"/>
        <w:gridCol w:w="109"/>
        <w:gridCol w:w="221"/>
        <w:gridCol w:w="646"/>
        <w:gridCol w:w="114"/>
        <w:gridCol w:w="114"/>
        <w:gridCol w:w="114"/>
        <w:gridCol w:w="114"/>
        <w:gridCol w:w="221"/>
        <w:gridCol w:w="646"/>
        <w:gridCol w:w="161"/>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benefit obligation:</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loss</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included in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br/>
        <w:t xml:space="preserve">The following table presents before tax effected amounts recognized in accumulated other comprehensive income (loss) at December 31: </w:t>
      </w:r>
    </w:p>
    <w:tbl>
      <w:tblPr>
        <w:tblW w:w="5775" w:type="dxa"/>
        <w:jc w:val="left"/>
        <w:tblInd w:w="0" w:type="dxa"/>
        <w:tblLayout w:type="fixed"/>
        <w:tblCellMar>
          <w:top w:w="28" w:type="dxa"/>
          <w:left w:w="28" w:type="dxa"/>
          <w:bottom w:w="28" w:type="dxa"/>
          <w:right w:w="28" w:type="dxa"/>
        </w:tblCellMar>
      </w:tblPr>
      <w:tblGrid>
        <w:gridCol w:w="782"/>
        <w:gridCol w:w="687"/>
        <w:gridCol w:w="690"/>
        <w:gridCol w:w="109"/>
        <w:gridCol w:w="211"/>
        <w:gridCol w:w="616"/>
        <w:gridCol w:w="109"/>
        <w:gridCol w:w="109"/>
        <w:gridCol w:w="109"/>
        <w:gridCol w:w="109"/>
        <w:gridCol w:w="211"/>
        <w:gridCol w:w="616"/>
        <w:gridCol w:w="109"/>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 recognized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net periodic benefit cost and other amounts recognized in other comprehensive income:</w:t>
      </w:r>
    </w:p>
    <w:tbl>
      <w:tblPr>
        <w:tblW w:w="7485" w:type="dxa"/>
        <w:jc w:val="left"/>
        <w:tblInd w:w="0" w:type="dxa"/>
        <w:tblLayout w:type="fixed"/>
        <w:tblCellMar>
          <w:top w:w="28" w:type="dxa"/>
          <w:left w:w="28" w:type="dxa"/>
          <w:bottom w:w="28" w:type="dxa"/>
          <w:right w:w="28" w:type="dxa"/>
        </w:tblCellMar>
      </w:tblPr>
      <w:tblGrid>
        <w:gridCol w:w="1479"/>
        <w:gridCol w:w="1300"/>
        <w:gridCol w:w="1315"/>
        <w:gridCol w:w="109"/>
        <w:gridCol w:w="211"/>
        <w:gridCol w:w="541"/>
        <w:gridCol w:w="109"/>
        <w:gridCol w:w="109"/>
        <w:gridCol w:w="109"/>
        <w:gridCol w:w="109"/>
        <w:gridCol w:w="211"/>
        <w:gridCol w:w="541"/>
        <w:gridCol w:w="109"/>
        <w:gridCol w:w="109"/>
        <w:gridCol w:w="109"/>
        <w:gridCol w:w="109"/>
        <w:gridCol w:w="211"/>
        <w:gridCol w:w="541"/>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amortization</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actuarial loss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other amounts: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regular actuarial (gain)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actuarial loss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amortization</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weighted average assumptions used to measure the plans’ obligation at the end of the year as well as net periodic benefit expense during the year:</w:t>
      </w:r>
    </w:p>
    <w:tbl>
      <w:tblPr>
        <w:tblW w:w="9594" w:type="dxa"/>
        <w:jc w:val="left"/>
        <w:tblInd w:w="0" w:type="dxa"/>
        <w:tblLayout w:type="fixed"/>
        <w:tblCellMar>
          <w:top w:w="28" w:type="dxa"/>
          <w:left w:w="28" w:type="dxa"/>
          <w:bottom w:w="28" w:type="dxa"/>
          <w:right w:w="28" w:type="dxa"/>
        </w:tblCellMar>
      </w:tblPr>
      <w:tblGrid>
        <w:gridCol w:w="2311"/>
        <w:gridCol w:w="2029"/>
        <w:gridCol w:w="2035"/>
        <w:gridCol w:w="109"/>
        <w:gridCol w:w="255"/>
        <w:gridCol w:w="256"/>
        <w:gridCol w:w="292"/>
        <w:gridCol w:w="109"/>
        <w:gridCol w:w="109"/>
        <w:gridCol w:w="109"/>
        <w:gridCol w:w="255"/>
        <w:gridCol w:w="256"/>
        <w:gridCol w:w="292"/>
        <w:gridCol w:w="109"/>
        <w:gridCol w:w="109"/>
        <w:gridCol w:w="109"/>
        <w:gridCol w:w="255"/>
        <w:gridCol w:w="256"/>
        <w:gridCol w:w="339"/>
      </w:tblGrid>
      <w:tr>
        <w:trPr/>
        <w:tc>
          <w:tcPr>
            <w:tcW w:w="231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assumptions used to determine benefit obligations:</w:t>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assumptions used to determine 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actuarial loss and prior service credit that is expected to be amortized from accumulated other comprehensive loss and into net periodic expense during the year ended December 31, 2025 is $0.2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estimated benefit payments are expected to be approximately $0.3 million per annum during the period 2025 through 2034.</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401(k)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offers two retirement savings plans which are qualified under Section 401(k) of the Internal Revenue Code ("401(k) Plan"). Substantially all employees are eligible to participate, and participants can contribute up to 15% of their salary subject to certain limitations. The Company does not make contributions to the 401(k) Plan and as such does not incur any direct compensation expense related to the 401(k) Plan.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Long Term Incentive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granted stock options in previous years to employees and directors. As of December 31, 2020, all options have vested and are exercisable at the option of the vested holders until the termination of each tranche after 10 years from the grant date or earlier if the employee or director has changed their employment status. The Company does not currently have an active stock option plan that is available for issuing new options.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options as of December 31, 2024 follows:</w:t>
      </w:r>
    </w:p>
    <w:tbl>
      <w:tblPr>
        <w:tblW w:w="10205" w:type="dxa"/>
        <w:jc w:val="left"/>
        <w:tblInd w:w="0" w:type="dxa"/>
        <w:tblLayout w:type="fixed"/>
        <w:tblCellMar>
          <w:top w:w="28" w:type="dxa"/>
          <w:left w:w="28" w:type="dxa"/>
          <w:bottom w:w="28" w:type="dxa"/>
          <w:right w:w="28" w:type="dxa"/>
        </w:tblCellMar>
      </w:tblPr>
      <w:tblGrid>
        <w:gridCol w:w="776"/>
        <w:gridCol w:w="683"/>
        <w:gridCol w:w="685"/>
        <w:gridCol w:w="569"/>
        <w:gridCol w:w="387"/>
        <w:gridCol w:w="384"/>
        <w:gridCol w:w="109"/>
        <w:gridCol w:w="109"/>
        <w:gridCol w:w="109"/>
        <w:gridCol w:w="388"/>
        <w:gridCol w:w="1133"/>
        <w:gridCol w:w="200"/>
        <w:gridCol w:w="109"/>
        <w:gridCol w:w="109"/>
        <w:gridCol w:w="109"/>
        <w:gridCol w:w="779"/>
        <w:gridCol w:w="779"/>
        <w:gridCol w:w="781"/>
        <w:gridCol w:w="175"/>
        <w:gridCol w:w="175"/>
        <w:gridCol w:w="176"/>
        <w:gridCol w:w="109"/>
        <w:gridCol w:w="109"/>
        <w:gridCol w:w="109"/>
        <w:gridCol w:w="246"/>
        <w:gridCol w:w="721"/>
        <w:gridCol w:w="187"/>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Intrinsic Value</w:t>
            </w:r>
          </w:p>
          <w:p>
            <w:pPr>
              <w:pStyle w:val="TableContents"/>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2024</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342,260 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(235,640)</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2024</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106,620 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December 31, 2024</w:t>
            </w:r>
          </w:p>
        </w:tc>
        <w:tc>
          <w:tcPr>
            <w:tcW w:w="9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106,620 </w:t>
            </w:r>
          </w:p>
        </w:tc>
        <w:tc>
          <w:tcPr>
            <w:tcW w:w="3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range of exercise prices is $11.00 to $14.65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options compensation costs to employees and directors for the year ended December 31, 2024 and December 31, 2023 as all options had been fully expensed as of December 31, 2020. The fair value of all awards outstanding as of December 31, 2024 and December 31, 2023 was $2.1 million and $4.7 million, respectively. No cash was received for options exercised in the years ended December 31, 2024 and December 31,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repurchased 128,530 shares and 55,881 shares for options exercised in the years ended December 31, 2024 and December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Amalgamated Financial Corp. 2023 Equity Incentive Plan (the “Equity Plan”) provides for the grant of stock-based incentive awards to employees and directors of the Company. The number of shares of common stock of the Company available for stock-based awards in the Equity Plan is 1,300,000 of which 866,875 shares were available for issuance as of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RSUs represent an obligation to deliver shares to an employee or director at a future date if certain vesting conditions are met. RSUs are subject to a time-based vesting schedule, the satisfaction of performance conditions, or the satisfaction of market conditions, and are settled in shares of the Company’s common stock. RSUs do not provide dividend equivalent rights from the date of grant and do not provide voting rights. RSUs accrue dividends based on dividends paid on common shares, but those dividends are paid in cash upon satisfaction of the specified vesting requirements on the underlying RSU.</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time-based vesting RSUs as of December 31, 2024 follows:</w:t>
      </w:r>
    </w:p>
    <w:tbl>
      <w:tblPr>
        <w:tblW w:w="6057" w:type="dxa"/>
        <w:jc w:val="left"/>
        <w:tblInd w:w="0" w:type="dxa"/>
        <w:tblLayout w:type="fixed"/>
        <w:tblCellMar>
          <w:top w:w="28" w:type="dxa"/>
          <w:left w:w="28" w:type="dxa"/>
          <w:bottom w:w="28" w:type="dxa"/>
          <w:right w:w="28" w:type="dxa"/>
        </w:tblCellMar>
      </w:tblPr>
      <w:tblGrid>
        <w:gridCol w:w="923"/>
        <w:gridCol w:w="810"/>
        <w:gridCol w:w="816"/>
        <w:gridCol w:w="449"/>
        <w:gridCol w:w="451"/>
        <w:gridCol w:w="226"/>
        <w:gridCol w:w="109"/>
        <w:gridCol w:w="109"/>
        <w:gridCol w:w="109"/>
        <w:gridCol w:w="442"/>
        <w:gridCol w:w="1291"/>
        <w:gridCol w:w="322"/>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Date Fair Value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January 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291,762 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2024</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297,817 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508"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performance-based RSUs as of December 31, 2024 follows:</w:t>
      </w:r>
    </w:p>
    <w:p>
      <w:pPr>
        <w:pStyle w:val="TextBody"/>
        <w:bidi w:val="0"/>
        <w:spacing w:before="0" w:after="0"/>
        <w:jc w:val="both"/>
        <w:rPr/>
      </w:pPr>
      <w:r>
        <w:rPr/>
      </w:r>
    </w:p>
    <w:tbl>
      <w:tblPr>
        <w:tblW w:w="5983" w:type="dxa"/>
        <w:jc w:val="left"/>
        <w:tblInd w:w="0" w:type="dxa"/>
        <w:tblLayout w:type="fixed"/>
        <w:tblCellMar>
          <w:top w:w="28" w:type="dxa"/>
          <w:left w:w="28" w:type="dxa"/>
          <w:bottom w:w="28" w:type="dxa"/>
          <w:right w:w="28" w:type="dxa"/>
        </w:tblCellMar>
      </w:tblPr>
      <w:tblGrid>
        <w:gridCol w:w="923"/>
        <w:gridCol w:w="810"/>
        <w:gridCol w:w="816"/>
        <w:gridCol w:w="413"/>
        <w:gridCol w:w="413"/>
        <w:gridCol w:w="226"/>
        <w:gridCol w:w="109"/>
        <w:gridCol w:w="109"/>
        <w:gridCol w:w="109"/>
        <w:gridCol w:w="442"/>
        <w:gridCol w:w="1291"/>
        <w:gridCol w:w="322"/>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Date Fair Value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January 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2024</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242,240 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43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granted 36,737 and 29,654 performance-based RSUs at a fair value of $23.20 and $23.18 per share, respectively, which vest subject to the achievement of the Company’s corporate goal for the three-year period from January 1, 2024 to December 31, 2026. The corporate goal is based on the Company achieving a target increase in Tangible Book Value, adjusted for certain factors. The minimum and maximum awards that are achievable are 0 and 99,587 shares,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granted 69,343 market-based RSUs at a fair value of $22.21 per share which vest subject to the Bank’s relative total shareholder return compared to a group of peer banks over a three-year period from March 1, 2024 to February 28, 2027. The minimum and maximum awards that are achievable are 0 and 104,015 shares,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granted awarded 4,423 shares at a fair value of $14.97 per share, respectively, related to the vesting of performance-based RSUs to satisfy the achievement of corporate goals above target. Compensation expense attributable to the vesting of these shares was $66 thousand.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reserved 363,360 shares for issuance upon vesting of performance-based RSUs assuming the Company’s employees achieve the maximum share payout.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repurchased 63,636 shares and 58,942 shares for RSUs vested in the years ended December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540,057 unvested RSUs as of December 31, 2024, the minimum units that will vest, solely due to a service test, are 297,817. The maximum units that will vest, assuming the highest payout on performance and market-based units, are 661,177.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 attributable to the employee RSUs was $5.0 million, $4.2 million, and $2.2 million for the years ended December 31, 2024, 2023, and 2022, respectively. The Company recorded an expense of $0.5 million, $0.5 million, and $0.5 million attributable to RSUs granted to directors for the years ended December 31, 2024, 2023, and 2022, respectively. As of December 31, 2024, there was $15.2 million of total unrecognized compensation cost related to the non-vested RSUs granted to employees and directors. This expense may increase or decrease depending on the expected number of performance-based shares to be issued. This expense is expected to be recognized over 1.1 years.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and Human Resources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We started with 500,000 shares available for purchase at plan inception in 2022. As of December 31, 2024, we have 397,316 shares of remaining shares available for the purchase under ESPP. The expense related to the discount on purchased shares for the year ended December 31, 2024, December 31, 2023 and December 31, 2022 was $93.4 thousand, $120.5 thousand and $99.6 thousand, respectively, and is recorded within compensation and employee benefits expense on the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13.     FAIR VALUE OF FINANCIAL INSTRUMENTS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Valuations are based on inputs to the methodology that are unobservable and significant to the fair value measurement. These inputs reflect management’s own judgments about the assumptions that market participants would use in pricing the assets and liabilities.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Assets Measured at Fair Value on a Recurring Basis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 for sale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such as PACE assessments, management will typically value those instruments using observable market inputs in a discounted cash flow analysis.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w:t>
      </w:r>
    </w:p>
    <w:p>
      <w:pPr>
        <w:pStyle w:val="TextBody"/>
        <w:bidi w:val="0"/>
        <w:spacing w:before="120" w:after="283"/>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represent interest rate option contracts and interest rate swaps and estimated fair values are based on valuation models using observable market data as of the measurement date.</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tbl>
      <w:tblPr>
        <w:tblW w:w="8415" w:type="dxa"/>
        <w:jc w:val="left"/>
        <w:tblInd w:w="0" w:type="dxa"/>
        <w:tblLayout w:type="fixed"/>
        <w:tblCellMar>
          <w:top w:w="28" w:type="dxa"/>
          <w:left w:w="28" w:type="dxa"/>
          <w:bottom w:w="28" w:type="dxa"/>
          <w:right w:w="28" w:type="dxa"/>
        </w:tblCellMar>
      </w:tblPr>
      <w:tblGrid>
        <w:gridCol w:w="1039"/>
        <w:gridCol w:w="912"/>
        <w:gridCol w:w="914"/>
        <w:gridCol w:w="211"/>
        <w:gridCol w:w="46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 securities: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Cash flow hedges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carried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1,631,226 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8310" w:type="dxa"/>
        <w:jc w:val="left"/>
        <w:tblInd w:w="0" w:type="dxa"/>
        <w:tblLayout w:type="fixed"/>
        <w:tblCellMar>
          <w:top w:w="28" w:type="dxa"/>
          <w:left w:w="28" w:type="dxa"/>
          <w:bottom w:w="28" w:type="dxa"/>
          <w:right w:w="28" w:type="dxa"/>
        </w:tblCellMar>
      </w:tblPr>
      <w:tblGrid>
        <w:gridCol w:w="1039"/>
        <w:gridCol w:w="912"/>
        <w:gridCol w:w="914"/>
        <w:gridCol w:w="211"/>
        <w:gridCol w:w="466"/>
        <w:gridCol w:w="109"/>
        <w:gridCol w:w="109"/>
        <w:gridCol w:w="109"/>
        <w:gridCol w:w="109"/>
        <w:gridCol w:w="211"/>
        <w:gridCol w:w="976"/>
        <w:gridCol w:w="109"/>
        <w:gridCol w:w="109"/>
        <w:gridCol w:w="109"/>
        <w:gridCol w:w="109"/>
        <w:gridCol w:w="211"/>
        <w:gridCol w:w="721"/>
        <w:gridCol w:w="109"/>
        <w:gridCol w:w="109"/>
        <w:gridCol w:w="109"/>
        <w:gridCol w:w="109"/>
        <w:gridCol w:w="211"/>
        <w:gridCol w:w="97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 securities: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carried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During the years ended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2023, there were no transfers of financial instruments between Level 1 and Level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table below presents a reconciliation of all assets measured at fair value on a recurring basis using significant unobservable inputs (Level 3) for the years ended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and 2023:</w:t>
      </w:r>
    </w:p>
    <w:p>
      <w:pPr>
        <w:pStyle w:val="TextBody"/>
        <w:bidi w:val="0"/>
        <w:spacing w:before="0" w:after="0"/>
        <w:jc w:val="both"/>
        <w:rPr/>
      </w:pPr>
      <w:r>
        <w:rPr/>
      </w:r>
    </w:p>
    <w:tbl>
      <w:tblPr>
        <w:tblW w:w="9658" w:type="dxa"/>
        <w:jc w:val="left"/>
        <w:tblInd w:w="0" w:type="dxa"/>
        <w:tblLayout w:type="fixed"/>
        <w:tblCellMar>
          <w:top w:w="28" w:type="dxa"/>
          <w:left w:w="28" w:type="dxa"/>
          <w:bottom w:w="28" w:type="dxa"/>
          <w:right w:w="28" w:type="dxa"/>
        </w:tblCellMar>
      </w:tblPr>
      <w:tblGrid>
        <w:gridCol w:w="2510"/>
        <w:gridCol w:w="2207"/>
        <w:gridCol w:w="2213"/>
        <w:gridCol w:w="225"/>
        <w:gridCol w:w="881"/>
        <w:gridCol w:w="116"/>
        <w:gridCol w:w="116"/>
        <w:gridCol w:w="116"/>
        <w:gridCol w:w="116"/>
        <w:gridCol w:w="225"/>
        <w:gridCol w:w="769"/>
        <w:gridCol w:w="164"/>
      </w:tblGrid>
      <w:tr>
        <w:trPr/>
        <w:tc>
          <w:tcPr>
            <w:tcW w:w="2510"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Residential PACE Assessments</w:t>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recurring Level 3 assets at January 1</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included in interest income in net income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holding gains/losses included in other comprehensive income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paydowns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recurring Level 3 assets at December 31</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following table presents quantitative information about recurring Level 3 fair value measurements at </w:t>
      </w:r>
      <w:r>
        <w:rPr>
          <w:rFonts w:ascii="Times New Roman;sans-serif" w:hAnsi="Times New Roman;sans-serif"/>
          <w:b w:val="false"/>
          <w:color w:val="000000"/>
          <w:sz w:val="20"/>
        </w:rPr>
        <w:t>December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9"/>
        <w:gridCol w:w="676"/>
        <w:gridCol w:w="659"/>
        <w:gridCol w:w="109"/>
        <w:gridCol w:w="109"/>
        <w:gridCol w:w="109"/>
        <w:gridCol w:w="211"/>
        <w:gridCol w:w="826"/>
        <w:gridCol w:w="109"/>
        <w:gridCol w:w="109"/>
        <w:gridCol w:w="109"/>
        <w:gridCol w:w="109"/>
        <w:gridCol w:w="543"/>
        <w:gridCol w:w="529"/>
        <w:gridCol w:w="530"/>
        <w:gridCol w:w="109"/>
        <w:gridCol w:w="109"/>
        <w:gridCol w:w="109"/>
        <w:gridCol w:w="688"/>
        <w:gridCol w:w="688"/>
        <w:gridCol w:w="690"/>
        <w:gridCol w:w="109"/>
        <w:gridCol w:w="109"/>
        <w:gridCol w:w="109"/>
        <w:gridCol w:w="577"/>
        <w:gridCol w:w="577"/>
        <w:gridCol w:w="825"/>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Range (Weighted Average)</w:t>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Conditional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 - 25.0% (18.9%)</w:t>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Range (Weighted Average)</w:t>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Conditional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 - 26.0% (16.3%)</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unobservable input used in the fair value measurement of the Company's residential PACE assessments is conditional prepayment rate. Significant increases/(decreases) in this input in isolation would have results in a modestly higher/(lower) fair value measurement. Unobservable inputs were weighted by the relative fair value of the instruments.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Assets Measured at Fair Value on a Non-recurring Basis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assets are measured at fair value on a non-recurring basis. That is, they are subject to fair value adjustments in certain circumstances.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Collateral-dependent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values for individually analyzed collateral-dependent loans are based on the fair value of the collateral based on an appraised values, net book value per the borrower’s financial statements, aging reports, or by reference to market activity, adjusted or discounted based on management’s historical knowledge, changes in market conditions from the time of the valuation and management’s expertise and knowledge of the borrower and its business. </w:t>
      </w:r>
    </w:p>
    <w:tbl>
      <w:tblPr>
        <w:tblW w:w="9733" w:type="dxa"/>
        <w:jc w:val="left"/>
        <w:tblInd w:w="0" w:type="dxa"/>
        <w:tblLayout w:type="fixed"/>
        <w:tblCellMar>
          <w:top w:w="28" w:type="dxa"/>
          <w:left w:w="28" w:type="dxa"/>
          <w:bottom w:w="28" w:type="dxa"/>
          <w:right w:w="28" w:type="dxa"/>
        </w:tblCellMar>
      </w:tblPr>
      <w:tblGrid>
        <w:gridCol w:w="869"/>
        <w:gridCol w:w="763"/>
        <w:gridCol w:w="767"/>
        <w:gridCol w:w="109"/>
        <w:gridCol w:w="109"/>
        <w:gridCol w:w="324"/>
        <w:gridCol w:w="948"/>
        <w:gridCol w:w="167"/>
        <w:gridCol w:w="109"/>
        <w:gridCol w:w="109"/>
        <w:gridCol w:w="109"/>
        <w:gridCol w:w="213"/>
        <w:gridCol w:w="411"/>
        <w:gridCol w:w="110"/>
        <w:gridCol w:w="109"/>
        <w:gridCol w:w="109"/>
        <w:gridCol w:w="109"/>
        <w:gridCol w:w="213"/>
        <w:gridCol w:w="411"/>
        <w:gridCol w:w="110"/>
        <w:gridCol w:w="109"/>
        <w:gridCol w:w="109"/>
        <w:gridCol w:w="109"/>
        <w:gridCol w:w="211"/>
        <w:gridCol w:w="616"/>
        <w:gridCol w:w="109"/>
        <w:gridCol w:w="109"/>
        <w:gridCol w:w="109"/>
        <w:gridCol w:w="109"/>
        <w:gridCol w:w="422"/>
        <w:gridCol w:w="1233"/>
        <w:gridCol w:w="310"/>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analyzed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677"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there were no individually analyzed collateral-dependent loans.</w:t>
      </w:r>
    </w:p>
    <w:p>
      <w:pPr>
        <w:pStyle w:val="TextBody"/>
        <w:bidi w:val="0"/>
        <w:spacing w:lineRule="auto" w:line="288" w:before="240" w:after="283"/>
        <w:jc w:val="both"/>
        <w:rPr/>
      </w:pPr>
      <w:r>
        <w:rPr>
          <w:rFonts w:ascii="Times New Roman;sans-serif" w:hAnsi="Times New Roman;sans-serif"/>
          <w:b w:val="false"/>
          <w:color w:val="000000"/>
          <w:sz w:val="20"/>
        </w:rPr>
        <w:br/>
      </w:r>
      <w:r>
        <w:rPr>
          <w:rFonts w:ascii="Times New Roman;sans-serif" w:hAnsi="Times New Roman;sans-serif"/>
          <w:b/>
          <w:color w:val="000000"/>
          <w:sz w:val="20"/>
        </w:rPr>
        <w:t>Financial Instruments Not Measured at Fair Value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methods, factors and significant assumptions utilized in estimating the fair values for significant categories of financial instruments not measured at fair value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Held-to-maturity securities –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such as PACE assessments, management will typically value those instruments using observable market inputs in a discounted cash flow analysis. Held-to-maturity securities, with the exception of PACE securities which are categorized as Level 3, are generally categorized as Level 2.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Loans held for sale – Loans held for sale are carried at the lower of cost or fair value. The fair value of loans held for sale is determined using the price we expect to receive for the loans based on commitments received from third party investors. Loans held on our balance sheet greater than 90 days are evaluated to determine if a valuation allowance is required to adjust for a decline in fair value below the carrying amount, and then subject to quarterly evaluation going forward. Loans held for sale are generally categorized as Level 3.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Loans receivable – Loans are valued using a present value technique that incorporates management’s assumptions as to what a market participant would assume given the attributes of the loans. The observable U.S. Treasury yield curve is a significant input to the valuation. Assumptions, including prepayment speeds and credit spreads, are based on observable market data where possible or alternatively are based on terms currently offered on loans to borrowers of similar credit quality. The methods used to estimate the fair value of loans are extremely sensitive to the assumptions and estimates used. While management has attempted to use assumptions and estimates that best reflect the Company’s loan portfolio and current market conditions, a greater degree of subjectivity is inherent in these values than in those determined in active markets. Loans would generally be categorized as Level 3.</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Resell agreements – Resell agreements are carried at fair value, as these are short term agreements. All existing trades are done at the current rate for new trades, so there is no market value adjustment. The agreements are generally categorized as Level 3, as we have limited market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Deposits – Deposits without a defined maturity date are valued at the amount payable on demand, and are categorized as Level 2. Certificates of deposit, which are categorized as Level 2, are valued using a present value technique that incorporates current rates offered by the Company for certificates of comparable remaining maturity.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FHLBNY Advances – FHLBNY advances are valued using a present value technique that incorporates current rates offered by the FHLBNY for advances of comparable remaining maturity. FHLBNY advances are categorized as Level 2.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Subordinated debt – Bank issued subordinated debt is valued based on recent trades for similar issues and or values provided by firms that transact in our bonds. Subordinated debt is categorized as Level 2.</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borrowings - Other borrowings are valued using a present value technique that incorporates current rates offered by the FRB for advances of comparable remaining maturity. Other borrowings are categorized as Level 2.</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Other – The Company holds or issues other financial instruments for which management considers the carrying value to approximate fair value. Such items include cash and cash equivalents, accrued interest receivable and payable. Many of these items are short term in nature with minimal risk characteristics.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financial statement basis and estimated fair values for significant categories of financial instruments: </w:t>
      </w:r>
    </w:p>
    <w:tbl>
      <w:tblPr>
        <w:tblW w:w="10205" w:type="dxa"/>
        <w:jc w:val="left"/>
        <w:tblInd w:w="0" w:type="dxa"/>
        <w:tblLayout w:type="fixed"/>
        <w:tblCellMar>
          <w:top w:w="28" w:type="dxa"/>
          <w:left w:w="28" w:type="dxa"/>
          <w:bottom w:w="28" w:type="dxa"/>
          <w:right w:w="28" w:type="dxa"/>
        </w:tblCellMar>
      </w:tblPr>
      <w:tblGrid>
        <w:gridCol w:w="124"/>
        <w:gridCol w:w="109"/>
        <w:gridCol w:w="702"/>
        <w:gridCol w:w="647"/>
        <w:gridCol w:w="632"/>
        <w:gridCol w:w="229"/>
        <w:gridCol w:w="1064"/>
        <w:gridCol w:w="118"/>
        <w:gridCol w:w="109"/>
        <w:gridCol w:w="109"/>
        <w:gridCol w:w="109"/>
        <w:gridCol w:w="211"/>
        <w:gridCol w:w="721"/>
        <w:gridCol w:w="109"/>
        <w:gridCol w:w="109"/>
        <w:gridCol w:w="109"/>
        <w:gridCol w:w="109"/>
        <w:gridCol w:w="211"/>
        <w:gridCol w:w="976"/>
        <w:gridCol w:w="109"/>
        <w:gridCol w:w="109"/>
        <w:gridCol w:w="109"/>
        <w:gridCol w:w="109"/>
        <w:gridCol w:w="333"/>
        <w:gridCol w:w="643"/>
        <w:gridCol w:w="109"/>
        <w:gridCol w:w="109"/>
        <w:gridCol w:w="109"/>
        <w:gridCol w:w="109"/>
        <w:gridCol w:w="290"/>
        <w:gridCol w:w="1343"/>
        <w:gridCol w:w="2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Held-to-maturity securities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1,432,720 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receivable, net</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4,612,838 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4,352,266 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Resell agreements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receivable</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 payable on demand</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6,941,390 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6,941,390 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Time deposits </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FHLBNY advances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Subordinated debt, net</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9496" w:type="dxa"/>
        <w:jc w:val="left"/>
        <w:tblInd w:w="0" w:type="dxa"/>
        <w:tblLayout w:type="fixed"/>
        <w:tblCellMar>
          <w:top w:w="28" w:type="dxa"/>
          <w:left w:w="28" w:type="dxa"/>
          <w:bottom w:w="28" w:type="dxa"/>
          <w:right w:w="28" w:type="dxa"/>
        </w:tblCellMar>
      </w:tblPr>
      <w:tblGrid>
        <w:gridCol w:w="1001"/>
        <w:gridCol w:w="878"/>
        <w:gridCol w:w="881"/>
        <w:gridCol w:w="220"/>
        <w:gridCol w:w="756"/>
        <w:gridCol w:w="109"/>
        <w:gridCol w:w="109"/>
        <w:gridCol w:w="109"/>
        <w:gridCol w:w="109"/>
        <w:gridCol w:w="211"/>
        <w:gridCol w:w="721"/>
        <w:gridCol w:w="109"/>
        <w:gridCol w:w="109"/>
        <w:gridCol w:w="109"/>
        <w:gridCol w:w="109"/>
        <w:gridCol w:w="333"/>
        <w:gridCol w:w="643"/>
        <w:gridCol w:w="110"/>
        <w:gridCol w:w="109"/>
        <w:gridCol w:w="109"/>
        <w:gridCol w:w="109"/>
        <w:gridCol w:w="333"/>
        <w:gridCol w:w="643"/>
        <w:gridCol w:w="110"/>
        <w:gridCol w:w="109"/>
        <w:gridCol w:w="109"/>
        <w:gridCol w:w="109"/>
        <w:gridCol w:w="220"/>
        <w:gridCol w:w="756"/>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 securities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4,029,142 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Resell agreements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payable on demand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6,582,321 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and brokered CDs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FHLBNY advances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debt,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14. DERIVATIVES AND HEDGING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of future known and uncertain cash amounts, the value of which are determined by interest rates. The Company’s derivative financial instruments are used to manage differences in the amount, timing, and duration of the Company’s known or expected cash receipts.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objectives in using interest rate derivatives are to manage its exposure to interest rate movements and to add stability to net interest income. To accomplish this objective, the Company has entered into interest rate cash flow hedges as part of its interest rate risk management strategy. As of December 31, 2024, the Company had one interest rate swap with a notional value of $100.0 million and two interest rate option contracts with a floor with notional value of $165.0 million, in total three hedging floating-rate available for sale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Effect of Derivatives on the Consolidated Statements of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cash flow hedges are recorded gross on the Consolidated Statements of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outstanding notional balances and the fair value of the Company’s derivative assets as of December 31, 2024 and December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46"/>
        <w:gridCol w:w="884"/>
        <w:gridCol w:w="887"/>
        <w:gridCol w:w="109"/>
        <w:gridCol w:w="109"/>
        <w:gridCol w:w="109"/>
        <w:gridCol w:w="257"/>
        <w:gridCol w:w="1007"/>
        <w:gridCol w:w="132"/>
        <w:gridCol w:w="109"/>
        <w:gridCol w:w="109"/>
        <w:gridCol w:w="109"/>
        <w:gridCol w:w="388"/>
        <w:gridCol w:w="1133"/>
        <w:gridCol w:w="200"/>
        <w:gridCol w:w="109"/>
        <w:gridCol w:w="109"/>
        <w:gridCol w:w="109"/>
        <w:gridCol w:w="369"/>
        <w:gridCol w:w="713"/>
        <w:gridCol w:w="192"/>
        <w:gridCol w:w="109"/>
        <w:gridCol w:w="109"/>
        <w:gridCol w:w="109"/>
        <w:gridCol w:w="461"/>
        <w:gridCol w:w="887"/>
        <w:gridCol w:w="341"/>
      </w:tblGrid>
      <w:tr>
        <w:trPr/>
        <w:tc>
          <w:tcPr>
            <w:tcW w:w="10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(Other Assets)</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 - interest rate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617" w:type="dxa"/>
            <w:gridSpan w:val="12"/>
            <w:tcBorders/>
          </w:tcPr>
          <w:p>
            <w:pPr>
              <w:pStyle w:val="TableContents"/>
              <w:bidi w:val="0"/>
              <w:spacing w:before="0" w:after="283"/>
              <w:jc w:val="left"/>
              <w:rPr>
                <w:sz w:val="4"/>
                <w:szCs w:val="4"/>
              </w:rPr>
            </w:pPr>
            <w:r>
              <w:rPr>
                <w:sz w:val="4"/>
                <w:szCs w:val="4"/>
              </w:rPr>
            </w:r>
          </w:p>
        </w:tc>
      </w:tr>
      <w:tr>
        <w:trPr/>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Effect of Cash Flow Hedge Accounting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effect of the Company’s derivative financial instruments on the consolidated statements of operations as of December 31, 2024, December 31, 2023 and December 31,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69"/>
        <w:gridCol w:w="755"/>
        <w:gridCol w:w="699"/>
        <w:gridCol w:w="261"/>
        <w:gridCol w:w="631"/>
        <w:gridCol w:w="134"/>
        <w:gridCol w:w="109"/>
        <w:gridCol w:w="109"/>
        <w:gridCol w:w="109"/>
        <w:gridCol w:w="307"/>
        <w:gridCol w:w="592"/>
        <w:gridCol w:w="160"/>
        <w:gridCol w:w="109"/>
        <w:gridCol w:w="109"/>
        <w:gridCol w:w="109"/>
        <w:gridCol w:w="288"/>
        <w:gridCol w:w="555"/>
        <w:gridCol w:w="151"/>
        <w:gridCol w:w="109"/>
        <w:gridCol w:w="109"/>
        <w:gridCol w:w="109"/>
        <w:gridCol w:w="307"/>
        <w:gridCol w:w="592"/>
        <w:gridCol w:w="160"/>
        <w:gridCol w:w="109"/>
        <w:gridCol w:w="109"/>
        <w:gridCol w:w="109"/>
        <w:gridCol w:w="288"/>
        <w:gridCol w:w="555"/>
        <w:gridCol w:w="151"/>
        <w:gridCol w:w="109"/>
        <w:gridCol w:w="109"/>
        <w:gridCol w:w="109"/>
        <w:gridCol w:w="302"/>
        <w:gridCol w:w="581"/>
        <w:gridCol w:w="232"/>
      </w:tblGrid>
      <w:tr>
        <w:trPr/>
        <w:tc>
          <w:tcPr>
            <w:tcW w:w="86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2763" w:type="dxa"/>
            <w:gridSpan w:val="12"/>
            <w:tcBorders/>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Expense</w:t>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or (loss) on cash flow hedging relationships: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reclassified from accumulated OCI into income</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2763" w:type="dxa"/>
            <w:gridSpan w:val="12"/>
            <w:tcBorders/>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2763" w:type="dxa"/>
            <w:gridSpan w:val="12"/>
            <w:tcBorders/>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Flow Hedges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flow hedges involve the receipt of fixed amounts from a counterparty in exchange for the Company making variable-rate payments over the life of the agreements without exchange of the underlying notional amount. The Company uses these types of derivatives to hedge the variable cash flows associated with existing or forecasted variable-rate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derivatives designated and that qualify as cash flow hedges of interest rate risk, the gain or loss on the derivative is recorded in accumulated other comprehensive income (loss) and subsequently reclassified into interest income in the same periods during which the hedged transaction affects earnings. Amounts reported in accumulated other comprehensive income related to derivatives will be reclassified to interest income as interest payments are received on the Company’s variable-rate securities. During the next twelve months, the Company estimates that an additional $235.3 thousand will be reclassified as a reduction in 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terminate any derivatives during the year ended December 31, 2024. There were no derivatives during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effect of the cash flow hedge accounting on accumulated other comprehensive income (loss) for the periods indicated:</w:t>
      </w:r>
    </w:p>
    <w:p>
      <w:pPr>
        <w:pStyle w:val="TextBody"/>
        <w:bidi w:val="0"/>
        <w:spacing w:before="0" w:after="0"/>
        <w:jc w:val="both"/>
        <w:rPr/>
      </w:pPr>
      <w:r>
        <w:rPr/>
      </w:r>
    </w:p>
    <w:tbl>
      <w:tblPr>
        <w:tblW w:w="9548" w:type="dxa"/>
        <w:jc w:val="left"/>
        <w:tblInd w:w="0" w:type="dxa"/>
        <w:tblLayout w:type="fixed"/>
        <w:tblCellMar>
          <w:top w:w="28" w:type="dxa"/>
          <w:left w:w="28" w:type="dxa"/>
          <w:bottom w:w="28" w:type="dxa"/>
          <w:right w:w="28" w:type="dxa"/>
        </w:tblCellMar>
      </w:tblPr>
      <w:tblGrid>
        <w:gridCol w:w="2145"/>
        <w:gridCol w:w="1881"/>
        <w:gridCol w:w="1899"/>
        <w:gridCol w:w="109"/>
        <w:gridCol w:w="109"/>
        <w:gridCol w:w="122"/>
        <w:gridCol w:w="122"/>
        <w:gridCol w:w="237"/>
        <w:gridCol w:w="523"/>
        <w:gridCol w:w="122"/>
        <w:gridCol w:w="122"/>
        <w:gridCol w:w="122"/>
        <w:gridCol w:w="122"/>
        <w:gridCol w:w="237"/>
        <w:gridCol w:w="456"/>
        <w:gridCol w:w="122"/>
        <w:gridCol w:w="109"/>
        <w:gridCol w:w="109"/>
        <w:gridCol w:w="109"/>
        <w:gridCol w:w="211"/>
        <w:gridCol w:w="406"/>
        <w:gridCol w:w="154"/>
      </w:tblGrid>
      <w:tr>
        <w:trPr/>
        <w:tc>
          <w:tcPr>
            <w:tcW w:w="2145"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2279" w:type="dxa"/>
            <w:gridSpan w:val="12"/>
            <w:tcBorders/>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recognized in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reclassified from other comprehensive income into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15.     COMMITMENTS, CONTINGENCIES AND OFF BALANCE SHEET RISK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Credit Commitments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instruments were outstanding whose contract amounts represent credit risk as of the related periods:</w:t>
      </w:r>
    </w:p>
    <w:tbl>
      <w:tblPr>
        <w:tblW w:w="6618" w:type="dxa"/>
        <w:jc w:val="left"/>
        <w:tblInd w:w="0" w:type="dxa"/>
        <w:tblLayout w:type="fixed"/>
        <w:tblCellMar>
          <w:top w:w="28" w:type="dxa"/>
          <w:left w:w="28" w:type="dxa"/>
          <w:bottom w:w="28" w:type="dxa"/>
          <w:right w:w="28" w:type="dxa"/>
        </w:tblCellMar>
      </w:tblPr>
      <w:tblGrid>
        <w:gridCol w:w="124"/>
        <w:gridCol w:w="109"/>
        <w:gridCol w:w="852"/>
        <w:gridCol w:w="852"/>
        <w:gridCol w:w="860"/>
        <w:gridCol w:w="317"/>
        <w:gridCol w:w="1244"/>
        <w:gridCol w:w="164"/>
        <w:gridCol w:w="109"/>
        <w:gridCol w:w="109"/>
        <w:gridCol w:w="109"/>
        <w:gridCol w:w="313"/>
        <w:gridCol w:w="1228"/>
        <w:gridCol w:w="2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to extend credit</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Standby letters of credit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472,476 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545,884 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the above table are extensions of credit to related parties and affiliates. As of December 31, 2024, the Company had $70.0 million of lines of credit and $0.3 million of standby letters of credit. As of December 31, 2023, the Company had $73.0 million of lines of credit and $0.3 million of standby letters of credit.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reserves for the credit risk inherent in off balance sheet credit commitments. Upon adoption of ASU 2016-13 on January 1, 2023, the Day 1 adjustment to allowance for credit losses on off-balance sheet credit exposures was $2.7 million. This allowance, which is included in other liabilities, amounted to approximately $4.1 million as of December 31, 2024, compared to a reserve of $4.2 million as of December 31, 2023. The provision for credit losses related to off balance sheet credit commitments was a recovery of $50.0 thousand and $61.1 thousand for the year ended December 31, 2024 and December 31, 2023, respectfully. The expense related to off balance sheet credit commitments in other non-interest expense was an expense of $91.1 thousand for the year ended December 31, 2022.</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Investment Obligations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agreements with Pace Funding Group LLC, which operates Home Run Financing, for the purchase of PACE assessment securities. As of December 31, 2024, the estimated remaining commitment was $100.0 million. This was increased to $250.0 million in February 2025 and extended to December 2026.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Other Commitments and Contingencies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 Additionally, as part of the Company's ongoing investments in variable interest entity ("VIE") projects, we also have commitments to provide financing, which are included in Note 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16.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 a lessee has operating leases primarily consisting of real estate arrangements where the Company operates its headquarters, branches and business production offices. All leases identified as in scope are accounted for as operating leases as of December 31, 2024 and December 31, 2023. These leases are typically long-term leases and generally are not complicated arrangements or structures. Several of the leases contain renewal options at a rate comparable to the fair market value based on comparable analysis to similar properties in the Company’s geographies.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operating leases are presented as a right-of-use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ROU lease asset is $14.2 million and operating lease liability is $19.7 million. As of December 31, 2023, the ROU lease asset was $21.1 million and operating lease liability was $30.6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lease cost and other operating lease information:</w:t>
      </w:r>
    </w:p>
    <w:tbl>
      <w:tblPr>
        <w:tblW w:w="10205" w:type="dxa"/>
        <w:jc w:val="left"/>
        <w:tblInd w:w="0" w:type="dxa"/>
        <w:tblLayout w:type="fixed"/>
        <w:tblCellMar>
          <w:top w:w="28" w:type="dxa"/>
          <w:left w:w="28" w:type="dxa"/>
          <w:bottom w:w="28" w:type="dxa"/>
          <w:right w:w="28" w:type="dxa"/>
        </w:tblCellMar>
      </w:tblPr>
      <w:tblGrid>
        <w:gridCol w:w="124"/>
        <w:gridCol w:w="2122"/>
        <w:gridCol w:w="2112"/>
        <w:gridCol w:w="2121"/>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leases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 Sublease income and variable income or expense considered immaterial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 expiration dates ranged from 0 to 3 years for both December 31,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on operating leases at December 31, 2024 and December 31, 2023 was 2.2 years and 3.2 years,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discount rate used for the operating lease liability was 3.15% and 3.26% at December 31, 2024 and December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remaining commitments for operating lease payments for the next five years and thereafter, as well as a reconciliation to the discounted operating leases liability recorded in the Consolidated Statements of Financial Condition as of December 31, 2024:</w:t>
      </w:r>
    </w:p>
    <w:tbl>
      <w:tblPr>
        <w:tblW w:w="6045" w:type="dxa"/>
        <w:jc w:val="left"/>
        <w:tblInd w:w="0" w:type="dxa"/>
        <w:tblLayout w:type="fixed"/>
        <w:tblCellMar>
          <w:top w:w="28" w:type="dxa"/>
          <w:left w:w="28" w:type="dxa"/>
          <w:bottom w:w="28" w:type="dxa"/>
          <w:right w:w="28" w:type="dxa"/>
        </w:tblCellMar>
      </w:tblPr>
      <w:tblGrid>
        <w:gridCol w:w="1380"/>
        <w:gridCol w:w="1214"/>
        <w:gridCol w:w="1216"/>
        <w:gridCol w:w="434"/>
        <w:gridCol w:w="1484"/>
        <w:gridCol w:w="317"/>
      </w:tblGrid>
      <w:tr>
        <w:trPr/>
        <w:tc>
          <w:tcPr>
            <w:tcW w:w="138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payments</w:t>
            </w:r>
          </w:p>
        </w:tc>
        <w:tc>
          <w:tcPr>
            <w:tcW w:w="1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leases liability</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17.     GOODWILL AND INTANGIBLE ASSETS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accordance with GAAP, the Company performs an annual test as of June 30 to identify potential impairment of goodwill, or more frequently if events or circumstances indicate a potential impairment may exist.</w:t>
      </w:r>
      <w:r>
        <w:rPr>
          <w:color w:val="000000"/>
        </w:rPr>
        <w:t xml:space="preserve"> </w:t>
      </w:r>
      <w:r>
        <w:rPr>
          <w:rFonts w:ascii="Times New Roman;sans-serif" w:hAnsi="Times New Roman;sans-serif"/>
          <w:b w:val="false"/>
          <w:color w:val="000000"/>
          <w:sz w:val="20"/>
        </w:rPr>
        <w:t>If the carrying amount of the Company, as a sole reporting unit, including goodwill, exceeds its fair value, an impairment loss is recognized in an amount equal to that excess up to the amount of the recorded 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test based upon market data as of June 30, 2024 and estimates and assumptions that the Company believes most appropriate for the analysis. Based on the qualitative analysis performed in accordance with ASC 350, the Company determined it more likely than not that goodwill was not impaired as of June 30, 2024. Changes in certain assumptions used in the Company's assessment could result in significant differences in the results of the impairment test. Should market conditions or management’s assumptions change significantly in the future, an impairment to goodwill is possible.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and December 31, 2023, the carrying amount of goodwill was $12.9 million.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of the core deposit intangible was $9.1 million, and the accumulated amortization of the core deposit intangible was $7.6 million and $6.9 million as of December 31, 2024 and December 31, 2023, respectively. At December 31, 2024 and December 31, 2023, the carrying amount of the core deposit intangible was $1.5 million and $2.2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recognized on the core deposit intangible was $730.2 thousand, $887.7 thousand and $1.0 million for the year ended December 31, 2024, December 31, 2023 and December 31, 2022,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estimated amortization expense, comprised entirely by the Company’s core deposit intangible asset, for the next five years and thereafter:</w:t>
      </w:r>
    </w:p>
    <w:tbl>
      <w:tblPr>
        <w:tblW w:w="2121" w:type="dxa"/>
        <w:jc w:val="left"/>
        <w:tblInd w:w="0" w:type="dxa"/>
        <w:tblLayout w:type="fixed"/>
        <w:tblCellMar>
          <w:top w:w="28" w:type="dxa"/>
          <w:left w:w="28" w:type="dxa"/>
          <w:bottom w:w="28" w:type="dxa"/>
          <w:right w:w="28" w:type="dxa"/>
        </w:tblCellMar>
      </w:tblPr>
      <w:tblGrid>
        <w:gridCol w:w="413"/>
        <w:gridCol w:w="363"/>
        <w:gridCol w:w="364"/>
        <w:gridCol w:w="211"/>
        <w:gridCol w:w="61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18.     VARIABLE INTEREST ENTITIES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Tax Credit Investments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December 31, 2024, the Company's maximum exposure to loss is $54.5 million.</w:t>
      </w:r>
    </w:p>
    <w:tbl>
      <w:tblPr>
        <w:tblW w:w="8567" w:type="dxa"/>
        <w:jc w:val="left"/>
        <w:tblInd w:w="0" w:type="dxa"/>
        <w:tblLayout w:type="fixed"/>
        <w:tblCellMar>
          <w:top w:w="28" w:type="dxa"/>
          <w:left w:w="28" w:type="dxa"/>
          <w:bottom w:w="28" w:type="dxa"/>
          <w:right w:w="28" w:type="dxa"/>
        </w:tblCellMar>
      </w:tblPr>
      <w:tblGrid>
        <w:gridCol w:w="124"/>
        <w:gridCol w:w="109"/>
        <w:gridCol w:w="1500"/>
        <w:gridCol w:w="1500"/>
        <w:gridCol w:w="1514"/>
        <w:gridCol w:w="387"/>
        <w:gridCol w:w="1135"/>
        <w:gridCol w:w="202"/>
        <w:gridCol w:w="109"/>
        <w:gridCol w:w="109"/>
        <w:gridCol w:w="109"/>
        <w:gridCol w:w="380"/>
        <w:gridCol w:w="1110"/>
        <w:gridCol w:w="2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Unconsolidated Variable Interest Entities</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investments included in equity investments</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commitments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portion of loan commitments</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tax benefits conveyed by the Company’s solar generation VIE investments:</w:t>
      </w:r>
    </w:p>
    <w:tbl>
      <w:tblPr>
        <w:tblW w:w="6660" w:type="dxa"/>
        <w:jc w:val="left"/>
        <w:tblInd w:w="0" w:type="dxa"/>
        <w:tblLayout w:type="fixed"/>
        <w:tblCellMar>
          <w:top w:w="28" w:type="dxa"/>
          <w:left w:w="28" w:type="dxa"/>
          <w:bottom w:w="28" w:type="dxa"/>
          <w:right w:w="28" w:type="dxa"/>
        </w:tblCellMar>
      </w:tblPr>
      <w:tblGrid>
        <w:gridCol w:w="1364"/>
        <w:gridCol w:w="1199"/>
        <w:gridCol w:w="1202"/>
        <w:gridCol w:w="109"/>
        <w:gridCol w:w="109"/>
        <w:gridCol w:w="109"/>
        <w:gridCol w:w="119"/>
        <w:gridCol w:w="119"/>
        <w:gridCol w:w="230"/>
        <w:gridCol w:w="673"/>
        <w:gridCol w:w="119"/>
        <w:gridCol w:w="109"/>
        <w:gridCol w:w="109"/>
        <w:gridCol w:w="109"/>
        <w:gridCol w:w="211"/>
        <w:gridCol w:w="61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and other tax benefits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24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19.     PARENT COMPANY ONLY CONDENSED FINANCIAL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Condensed financial information of Amalgamated Financial Corp. follows:</w:t>
      </w:r>
    </w:p>
    <w:tbl>
      <w:tblPr>
        <w:tblW w:w="7228" w:type="dxa"/>
        <w:jc w:val="left"/>
        <w:tblInd w:w="0" w:type="dxa"/>
        <w:tblLayout w:type="fixed"/>
        <w:tblCellMar>
          <w:top w:w="28" w:type="dxa"/>
          <w:left w:w="28" w:type="dxa"/>
          <w:bottom w:w="28" w:type="dxa"/>
          <w:right w:w="28" w:type="dxa"/>
        </w:tblCellMar>
      </w:tblPr>
      <w:tblGrid>
        <w:gridCol w:w="1234"/>
        <w:gridCol w:w="1084"/>
        <w:gridCol w:w="1087"/>
        <w:gridCol w:w="317"/>
        <w:gridCol w:w="1245"/>
        <w:gridCol w:w="162"/>
        <w:gridCol w:w="110"/>
        <w:gridCol w:w="110"/>
        <w:gridCol w:w="110"/>
        <w:gridCol w:w="312"/>
        <w:gridCol w:w="1229"/>
        <w:gridCol w:w="228"/>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2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banking subsidiary</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656,383 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debt</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 and other liabilities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585,231 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772,048 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656,383 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10001" w:type="dxa"/>
        <w:jc w:val="left"/>
        <w:tblInd w:w="0" w:type="dxa"/>
        <w:tblLayout w:type="fixed"/>
        <w:tblCellMar>
          <w:top w:w="28" w:type="dxa"/>
          <w:left w:w="28" w:type="dxa"/>
          <w:bottom w:w="28" w:type="dxa"/>
          <w:right w:w="28" w:type="dxa"/>
        </w:tblCellMar>
      </w:tblPr>
      <w:tblGrid>
        <w:gridCol w:w="1287"/>
        <w:gridCol w:w="1132"/>
        <w:gridCol w:w="1136"/>
        <w:gridCol w:w="331"/>
        <w:gridCol w:w="1297"/>
        <w:gridCol w:w="171"/>
        <w:gridCol w:w="171"/>
        <w:gridCol w:w="171"/>
        <w:gridCol w:w="171"/>
        <w:gridCol w:w="331"/>
        <w:gridCol w:w="1297"/>
        <w:gridCol w:w="171"/>
        <w:gridCol w:w="171"/>
        <w:gridCol w:w="171"/>
        <w:gridCol w:w="171"/>
        <w:gridCol w:w="331"/>
        <w:gridCol w:w="1250"/>
        <w:gridCol w:w="241"/>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000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INCOME AND COMPREHENSIVE INCOME</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from subsidiaries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subsidiary income</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 expense</w:t>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87,199 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133,801 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110,681 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(32,639)</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left"/>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73"/>
        <w:gridCol w:w="1993"/>
        <w:gridCol w:w="2008"/>
        <w:gridCol w:w="211"/>
        <w:gridCol w:w="826"/>
        <w:gridCol w:w="109"/>
        <w:gridCol w:w="109"/>
        <w:gridCol w:w="109"/>
        <w:gridCol w:w="109"/>
        <w:gridCol w:w="211"/>
        <w:gridCol w:w="721"/>
        <w:gridCol w:w="109"/>
        <w:gridCol w:w="109"/>
        <w:gridCol w:w="109"/>
        <w:gridCol w:w="109"/>
        <w:gridCol w:w="211"/>
        <w:gridCol w:w="721"/>
        <w:gridCol w:w="158"/>
      </w:tblGrid>
      <w:tr>
        <w:trPr/>
        <w:tc>
          <w:tcPr>
            <w:tcW w:w="2273"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 OF CASH FLOWS</w:t>
            </w:r>
          </w:p>
        </w:tc>
      </w:tr>
      <w:tr>
        <w:trPr/>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subsidiary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repurchase of subordinated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on subordinated debt issuance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subordinated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 and Dividend Reinvestment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20.     SEGMENT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reportable segment is determined by the Chief Executive Officer, who is the designated chief operating decision maker, based upon information provided about the Company's products and services offered, primarily banking operations.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 The accounting policies of the Company's segment are the same as those described in the Note 1 “Summary of Significant Accounting Policies.”</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left"/>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Stockholders and the Board of Directors of</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Amalgamated Financial Corp.</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New York, New York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Opinions on the Financial Statements and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audited the accompanying consolidated statements of financial condition of Amalgamated Financial Corp. (the "Company") as of December 31, 2024 and 2023, the related consolidated statements of income, comprehensive income (loss), changes in stockholders’ equity, and cash flows for each of the years in the three-year period ended December 31, 2024, and the related notes (collectively referred to as the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our opinion, the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COSO.</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Change in Accounting Principle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discussed in Notes 1, 2, and 5 to the financial statements, the Company has changed its method of accounting for credit losses effective January 1, 2023 due to the adoption of Accounting Standards Update (“ASU”) No. 2016-13, Financial Instruments – Credit Losses (Topic 326). The Company adopted the new credit loss standard using the modified retrospective method such that prior period amounts are not adjusted and continue to be reported in accordance with previously applicable generally accepted accounting principles.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Basis for Opinions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Allowance for Credit Losses for Loans – Qualitative Factors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described in Notes 1 and 5 to the financial statements, the Company estimates expected credit losses for its financial assets carried at amortized cost utilizing the current expected credit loss (“CECL”) methodology. Management estimates the allowance for credit losses on each loan pool using relevant available information, from internal and external sources, relating to past events, current conditions, and reasonable and supportable forecasts. The quantitative component of the allowance model calculates expected credit losses by considering the loan segment baseline loss rate, generally based on a peer group, and severity rate. Expected credit losses are estimated over the contractual term of the loans, adjusted for forecasted prepayments when appropriate. The baseline loss rate is adjusted for relevant macroeconomic variables by loan segment that consider forecasted economic conditions. The loan level cash flows are discounted at the effective interest rate to calculate a loan level allowance which is aggregated at the loan segment level to arrive at the quantitative component of the allowance.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Adjustments to the quantitative results are made using qualitative factors. These factors include: (1) borrower's financial condition; (2) borrower's ability to pay; (3) nature and volume of financial assets; (4) value of the underlying collateral; (5) lending policies and procedures; (6) quality of the loan review system; (7) the experience, ability, and depth of staff; (8) regulatory and legal environment; (9) changes in market conditions; and (10) changes in economic conditions. A significant amount of management judgment is required to assess the reasonableness of the qualitative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identified the auditing of the qualitative factor determinations related to the allowance for credit losses as a critical audit matter because the auditing of qualitative factors requires significant auditor judgment in the evaluation of their reasonableness.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primary procedures we performed to address the critical audit matter included testing the effectiveness of controls over the evaluation of the qualitative factors, including controls addressing (i) management’s reconciliation and testing of loan data inputs into the qualitative models and (ii) management’s review and approval of the qualitative factors, as well as substantively testing management’s process related to the determination of qualitative factors, which included (i) evaluation of the relevance and reliability of data utilized in the qualitative models, including reconciliation and testing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loan data inputs and (ii) evaluation of the reasonableness of management’s judgments related to qualitative factors to determine if they are calculated to conform with management’s policies.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Crowe LLP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2020.</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Livingston, New Jersey</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March 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Evaluation of Disclosure Controls and Procedures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(principal executive officer) and Chief Financial Officer (principal financial officer), with the participation of other members of management, have evaluated the effectiveness of our disclosure controls and procedures (as defined in Rules 13a-15(e) and 15d-15(e)) under the Exchange Act,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included in this report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December 31, 2024 that have materially affected, or are reasonably likely to materially affect, our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Management Report on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under the Exchange Act. Internal control over financial reporting is a process to provide reasonable assurance regarding the reliability of our financial reporting for external purposes in accordance with accounting principles generally accepted in the United States.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the Chief Executive Officer and Chief Financial Officer, assessed the effectiveness of our internal control over financial reporting as of December 31, 2024. In making this assessment, we used the criteria set forth by the Committee of Sponsoring Organizations of the Treadway Commission (“COSO”) in Internal Control-Integrated Framework (2013). Based on such assessment our management has concluded that, as of December 31, 2024, our internal control over financial reporting was effective based on those criteria.</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independent registered public accounting firm that audited the financial statements that are included in this annual report on Form 10-K, has issued an attestation report on the Company’s internal control over financial reporting. The attestation report of Crowe LLP appears on page </w:t>
      </w:r>
      <w:hyperlink w:anchor="iac394f25749c4972acadec6e129385c2_217">
        <w:r>
          <w:rPr>
            <w:rStyle w:val="InternetLink"/>
            <w:rFonts w:ascii="Times New Roman;sans-serif" w:hAnsi="Times New Roman;sans-serif"/>
            <w:b w:val="false"/>
            <w:strike w:val="false"/>
            <w:dstrike w:val="false"/>
            <w:color w:val="000000"/>
            <w:sz w:val="20"/>
            <w:u w:val="none"/>
            <w:effect w:val="none"/>
          </w:rPr>
          <w:t>142</w:t>
        </w:r>
      </w:hyperlink>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68" w:before="240" w:after="283"/>
        <w:jc w:val="both"/>
        <w:rPr/>
      </w:pPr>
      <w:r>
        <w:rPr>
          <w:rFonts w:ascii="Times New Roman;sans-serif" w:hAnsi="Times New Roman;sans-serif"/>
          <w:b w:val="false"/>
          <w:color w:val="000000"/>
          <w:sz w:val="20"/>
          <w:shd w:fill="FFFFFF" w:val="clear"/>
        </w:rPr>
        <w:t xml:space="preserve">On October 29,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Maryann Bruce, director, adopted a Rule 10b5-1 trading arrangement that is intended to satisfy the affirmative defense of Rule 10b5-1(c) for the sale of up to</w:t>
      </w:r>
      <w:r>
        <w:rPr>
          <w:color w:val="000000"/>
        </w:rPr>
        <w:t xml:space="preserve"> </w:t>
      </w:r>
      <w:r>
        <w:rPr>
          <w:rFonts w:ascii="Times New Roman;sans-serif" w:hAnsi="Times New Roman;sans-serif"/>
          <w:b w:val="false"/>
          <w:color w:val="000000"/>
          <w:sz w:val="20"/>
        </w:rPr>
        <w:t>4,403</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common stock, with such transactions to occur during sale periods beginning on or after January 28, </w:t>
      </w:r>
      <w:r>
        <w:rPr>
          <w:rFonts w:ascii="Times New Roman;sans-serif" w:hAnsi="Times New Roman;sans-serif"/>
          <w:b w:val="false"/>
          <w:color w:val="000000"/>
          <w:sz w:val="20"/>
        </w:rPr>
        <w:t>2025</w:t>
      </w:r>
      <w:r>
        <w:rPr>
          <w:color w:val="000000"/>
          <w:shd w:fill="FFFFFF" w:val="clear"/>
        </w:rPr>
        <w:t xml:space="preserve"> </w:t>
      </w:r>
      <w:r>
        <w:rPr>
          <w:rFonts w:ascii="Times New Roman;sans-serif" w:hAnsi="Times New Roman;sans-serif"/>
          <w:b w:val="false"/>
          <w:color w:val="000000"/>
          <w:sz w:val="20"/>
          <w:shd w:fill="FFFFFF" w:val="clear"/>
        </w:rPr>
        <w:t xml:space="preserve">and ending on the earlier of July 27, </w:t>
      </w:r>
      <w:r>
        <w:rPr>
          <w:rFonts w:ascii="Times New Roman;sans-serif" w:hAnsi="Times New Roman;sans-serif"/>
          <w:b w:val="false"/>
          <w:color w:val="000000"/>
          <w:sz w:val="20"/>
        </w:rPr>
        <w:t>2025</w:t>
      </w:r>
      <w:r>
        <w:rPr>
          <w:color w:val="000000"/>
          <w:shd w:fill="FFFFFF" w:val="clear"/>
        </w:rPr>
        <w:t xml:space="preserve"> </w:t>
      </w:r>
      <w:r>
        <w:rPr>
          <w:rFonts w:ascii="Times New Roman;sans-serif" w:hAnsi="Times New Roman;sans-serif"/>
          <w:b w:val="false"/>
          <w:color w:val="000000"/>
          <w:sz w:val="20"/>
          <w:shd w:fill="FFFFFF" w:val="clear"/>
        </w:rPr>
        <w:t>or the date on which all shares authorized for sale have been sold in conformance with the terms of the arrangement.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On November 11,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Mandy Tenner, Executive Vice President, Chief Legal Officer, adopted a Rule 10b5-1 trading arrangement that is intended to satisfy the affirmative defense of Rule 10b5-1(c) for the sale of up to</w:t>
      </w:r>
      <w:r>
        <w:rPr>
          <w:color w:val="000000"/>
        </w:rPr>
        <w:t xml:space="preserve"> </w:t>
      </w:r>
      <w:r>
        <w:rPr>
          <w:rFonts w:ascii="Times New Roman;sans-serif" w:hAnsi="Times New Roman;sans-serif"/>
          <w:b w:val="false"/>
          <w:color w:val="000000"/>
          <w:sz w:val="20"/>
        </w:rPr>
        <w:t>25,217</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common stock, net of shares to be withheld for the exercise price and for taxes upon the exercise or vesting of underlying stock awards, with such transactions to occur during sale periods beginning on or after February 15, </w:t>
      </w:r>
      <w:r>
        <w:rPr>
          <w:rFonts w:ascii="Times New Roman;sans-serif" w:hAnsi="Times New Roman;sans-serif"/>
          <w:b w:val="false"/>
          <w:color w:val="000000"/>
          <w:sz w:val="20"/>
        </w:rPr>
        <w:t>2025</w:t>
      </w:r>
      <w:r>
        <w:rPr>
          <w:color w:val="000000"/>
          <w:shd w:fill="FFFFFF" w:val="clear"/>
        </w:rPr>
        <w:t xml:space="preserve"> </w:t>
      </w:r>
      <w:r>
        <w:rPr>
          <w:rFonts w:ascii="Times New Roman;sans-serif" w:hAnsi="Times New Roman;sans-serif"/>
          <w:b w:val="false"/>
          <w:color w:val="000000"/>
          <w:sz w:val="20"/>
          <w:shd w:fill="FFFFFF" w:val="clear"/>
        </w:rPr>
        <w:t xml:space="preserve">and ending on the earlier of November 12, </w:t>
      </w:r>
      <w:r>
        <w:rPr>
          <w:rFonts w:ascii="Times New Roman;sans-serif" w:hAnsi="Times New Roman;sans-serif"/>
          <w:b w:val="false"/>
          <w:color w:val="000000"/>
          <w:sz w:val="20"/>
        </w:rPr>
        <w:t>2025</w:t>
      </w:r>
      <w:r>
        <w:rPr>
          <w:color w:val="000000"/>
          <w:shd w:fill="FFFFFF" w:val="clear"/>
        </w:rPr>
        <w:t xml:space="preserve"> </w:t>
      </w:r>
      <w:r>
        <w:rPr>
          <w:rFonts w:ascii="Times New Roman;sans-serif" w:hAnsi="Times New Roman;sans-serif"/>
          <w:b w:val="false"/>
          <w:color w:val="000000"/>
          <w:sz w:val="20"/>
          <w:shd w:fill="FFFFFF" w:val="clear"/>
        </w:rPr>
        <w:t>or the date on which all shares authorized for sale have been sold in conformance with the terms of the arrangement.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On November 14,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Edgar Romney, Executive Vice President, Chief Strategy and Administrative Officer, adopted a Rule 10b5-1 trading arrangement that is intended to satisfy the affirmative defense of Rule 10b5-1(c) for the sale of up </w:t>
      </w:r>
      <w:r>
        <w:rPr>
          <w:rFonts w:ascii="Times New Roman;sans-serif" w:hAnsi="Times New Roman;sans-serif"/>
          <w:b w:val="false"/>
          <w:color w:val="000000"/>
          <w:sz w:val="20"/>
        </w:rPr>
        <w:t>to 26,300</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common stock, net of shares to be withheld for the exercise price and for taxes upon the exercise of underlying stock awards, with such transactions to occur during sale periods beginning on or after February 13, </w:t>
      </w:r>
      <w:r>
        <w:rPr>
          <w:rFonts w:ascii="Times New Roman;sans-serif" w:hAnsi="Times New Roman;sans-serif"/>
          <w:b w:val="false"/>
          <w:color w:val="000000"/>
          <w:sz w:val="20"/>
        </w:rPr>
        <w:t>2025</w:t>
      </w:r>
      <w:r>
        <w:rPr>
          <w:color w:val="000000"/>
          <w:shd w:fill="FFFFFF" w:val="clear"/>
        </w:rPr>
        <w:t xml:space="preserve"> </w:t>
      </w:r>
      <w:r>
        <w:rPr>
          <w:rFonts w:ascii="Times New Roman;sans-serif" w:hAnsi="Times New Roman;sans-serif"/>
          <w:b w:val="false"/>
          <w:color w:val="000000"/>
          <w:sz w:val="20"/>
          <w:shd w:fill="FFFFFF" w:val="clear"/>
        </w:rPr>
        <w:t xml:space="preserve">and ending on the earlier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February 12, </w:t>
      </w:r>
      <w:r>
        <w:rPr>
          <w:rFonts w:ascii="Times New Roman;sans-serif" w:hAnsi="Times New Roman;sans-serif"/>
          <w:b w:val="false"/>
          <w:color w:val="000000"/>
          <w:sz w:val="20"/>
        </w:rPr>
        <w:t xml:space="preserve">2026 </w:t>
      </w:r>
      <w:r>
        <w:rPr>
          <w:rFonts w:ascii="Times New Roman;sans-serif" w:hAnsi="Times New Roman;sans-serif"/>
          <w:b w:val="false"/>
          <w:color w:val="000000"/>
          <w:sz w:val="20"/>
          <w:shd w:fill="FFFFFF" w:val="clear"/>
        </w:rPr>
        <w:t>or the date on which all shares authorized for sale have been sold in conformance with the terms of the arrangement.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On December 4,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Tyrone Graham, Executive Vice President, Chief Human Resources Officer, adopted a Rule 10b5-1 trading arrangement that is intended to satisfy the affirmative defense of Rule 10b5-1(c) for the sale of up to</w:t>
      </w:r>
      <w:r>
        <w:rPr>
          <w:color w:val="000000"/>
        </w:rPr>
        <w:t xml:space="preserve"> </w:t>
      </w:r>
      <w:r>
        <w:rPr>
          <w:rFonts w:ascii="Times New Roman;sans-serif" w:hAnsi="Times New Roman;sans-serif"/>
          <w:b w:val="false"/>
          <w:color w:val="000000"/>
          <w:sz w:val="20"/>
        </w:rPr>
        <w:t>25,056</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common stock, net of shares to be withheld for the exercise price and for taxes upon the exercise or vesting of underlying stock awards, with such transactions to occur during sale periods beginning on or after March 5, </w:t>
      </w:r>
      <w:r>
        <w:rPr>
          <w:rFonts w:ascii="Times New Roman;sans-serif" w:hAnsi="Times New Roman;sans-serif"/>
          <w:b w:val="false"/>
          <w:color w:val="000000"/>
          <w:sz w:val="20"/>
        </w:rPr>
        <w:t>2025</w:t>
      </w:r>
      <w:r>
        <w:rPr>
          <w:color w:val="000000"/>
          <w:shd w:fill="FFFFFF" w:val="clear"/>
        </w:rPr>
        <w:t xml:space="preserve"> </w:t>
      </w:r>
      <w:r>
        <w:rPr>
          <w:rFonts w:ascii="Times New Roman;sans-serif" w:hAnsi="Times New Roman;sans-serif"/>
          <w:b w:val="false"/>
          <w:color w:val="000000"/>
          <w:sz w:val="20"/>
          <w:shd w:fill="FFFFFF" w:val="clear"/>
        </w:rPr>
        <w:t xml:space="preserve">and ending on the earlier of March 4, </w:t>
      </w:r>
      <w:r>
        <w:rPr>
          <w:rFonts w:ascii="Times New Roman;sans-serif" w:hAnsi="Times New Roman;sans-serif"/>
          <w:b w:val="false"/>
          <w:color w:val="000000"/>
          <w:sz w:val="20"/>
        </w:rPr>
        <w:t>2026</w:t>
      </w:r>
      <w:r>
        <w:rPr>
          <w:color w:val="000000"/>
          <w:shd w:fill="FFFFFF" w:val="clear"/>
        </w:rPr>
        <w:t xml:space="preserve"> </w:t>
      </w:r>
      <w:r>
        <w:rPr>
          <w:rFonts w:ascii="Times New Roman;sans-serif" w:hAnsi="Times New Roman;sans-serif"/>
          <w:b w:val="false"/>
          <w:color w:val="000000"/>
          <w:sz w:val="20"/>
          <w:shd w:fill="FFFFFF" w:val="clear"/>
        </w:rPr>
        <w:t>or the date on which all shares authorized for sale have been sold in conformance with the terms of the arrangement.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On December 31,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Jason Darby, Senior Executive Vice President, Chief Financial Officer, adopted a Rule 10b5-1 trading arrangement that is intended to satisfy the affirmative defense of Rule 10b5-1(c) for the sale of up to 4,000 shares of the Company’s common stock, with such transactions to occur during sale periods beginning on or after March 31, </w:t>
      </w:r>
      <w:r>
        <w:rPr>
          <w:rFonts w:ascii="Times New Roman;sans-serif" w:hAnsi="Times New Roman;sans-serif"/>
          <w:b w:val="false"/>
          <w:color w:val="000000"/>
          <w:sz w:val="20"/>
        </w:rPr>
        <w:t>2025</w:t>
      </w:r>
      <w:r>
        <w:rPr>
          <w:color w:val="000000"/>
          <w:shd w:fill="FFFFFF" w:val="clear"/>
        </w:rPr>
        <w:t xml:space="preserve"> </w:t>
      </w:r>
      <w:r>
        <w:rPr>
          <w:rFonts w:ascii="Times New Roman;sans-serif" w:hAnsi="Times New Roman;sans-serif"/>
          <w:b w:val="false"/>
          <w:color w:val="000000"/>
          <w:sz w:val="20"/>
          <w:shd w:fill="FFFFFF" w:val="clear"/>
        </w:rPr>
        <w:t xml:space="preserve">and ending on the earlier of January 31, </w:t>
      </w:r>
      <w:r>
        <w:rPr>
          <w:rFonts w:ascii="Times New Roman;sans-serif" w:hAnsi="Times New Roman;sans-serif"/>
          <w:b w:val="false"/>
          <w:color w:val="000000"/>
          <w:sz w:val="20"/>
        </w:rPr>
        <w:t>2026</w:t>
      </w:r>
      <w:r>
        <w:rPr>
          <w:color w:val="000000"/>
          <w:shd w:fill="FFFFFF" w:val="clear"/>
        </w:rPr>
        <w:t xml:space="preserve"> </w:t>
      </w:r>
      <w:r>
        <w:rPr>
          <w:rFonts w:ascii="Times New Roman;sans-serif" w:hAnsi="Times New Roman;sans-serif"/>
          <w:b w:val="false"/>
          <w:color w:val="000000"/>
          <w:sz w:val="20"/>
          <w:shd w:fill="FFFFFF" w:val="clear"/>
        </w:rPr>
        <w:t>or the date on which all shares authorized for sale have been sold in conformance with the terms of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9C. Disclosures Regarding Foreign Jurisdiction that Prevent Inspections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disclosed by this item will be disclosed in the Company’s definitive proxy statement to be filed with the SEC no later than 120 days after December 31, 2024 and in connection with our 2025 Annual Meeting of Stockholders under the following captions, which sections are incorporated herein by reference: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Proposal 1—“Election of Directors” under the subsection titled “Biographical Information” and “Biographical Information for Our Executive Officers”;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Corporate Governance and Social Responsibility” under the subsections titled “Other Relationships,” “Code of Business Conduct and Ethics,” “Nominations of Directors,” and “Audit Committee”;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Delinquent Section 16(a) Reports”;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Insider Trading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360" w:after="283"/>
        <w:jc w:val="both"/>
        <w:rPr/>
      </w:pPr>
      <w:r>
        <w:rPr>
          <w:rFonts w:ascii="Times New Roman;sans-serif" w:hAnsi="Times New Roman;sans-serif"/>
          <w:b w:val="false"/>
          <w:color w:val="000000"/>
          <w:sz w:val="20"/>
        </w:rPr>
        <w:t>The information required to be disclosed by this item will be disclosed in the Company’s definitive proxy statement to be filed with the SEC no later than 120 days after December 31, 2024 and in connection with our 2025 Annual Meeting of Stockholders under the following captions, which sections are incorporated herein by reference:</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Director Compensation”;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Compensation Discussion and Analysis”;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Compensation Committee Report”;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Executive Compensation”;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Corporate Governance and Social Responsibility” under the subsections titled “Compensation Committee Interlocks and Insider Participation.”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information required to be disclosed by this item will be disclosed in the Company’s definitive proxy statement to be filed with the SEC no later than 120 days after December 31, 2024 and in connection with our 2025 Annual Meeting of Stockholders under the following captions, which sections are incorporated herein by reference:</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Security Ownership of Certain Beneficial Owners and Management”;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Equity Compensation Plan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360" w:after="283"/>
        <w:jc w:val="both"/>
        <w:rPr/>
      </w:pPr>
      <w:r>
        <w:rPr>
          <w:rFonts w:ascii="Times New Roman;sans-serif" w:hAnsi="Times New Roman;sans-serif"/>
          <w:b w:val="false"/>
          <w:color w:val="000000"/>
          <w:sz w:val="20"/>
        </w:rPr>
        <w:t>The information required to be disclosed by this item will be disclosed in the Company’s definitive proxy statement to be filed with the SEC no later than 120 days after December 31, 2024 and in connection with our 2025 Annual Meeting of Stockholders under the following captions, which sections are incorporated herein by reference:</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Certain Relationships and Related Party Transactions”;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Corporate Governance and Social Responsibility” under the subsection titled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360" w:after="283"/>
        <w:jc w:val="both"/>
        <w:rPr/>
      </w:pPr>
      <w:r>
        <w:rPr>
          <w:rFonts w:ascii="Times New Roman;sans-serif" w:hAnsi="Times New Roman;sans-serif"/>
          <w:b w:val="false"/>
          <w:color w:val="000000"/>
          <w:sz w:val="20"/>
        </w:rPr>
        <w:t>The information required to be disclosed by this item will be disclosed in the Company’s definitive proxy statement to be filed with the SEC no later than 120 days after December 31, 2024 and in connection with our 2025 Annual Meeting of Stockholders under the caption “Ratification of Appointment of Independent Registered Public Accounting Firm” under the subsections titled “Audit and Related Fees” and “Pre-Approval Policy,”</w:t>
      </w:r>
      <w:r>
        <w:rPr>
          <w:color w:val="000000"/>
        </w:rPr>
        <w:t xml:space="preserve"> </w:t>
      </w:r>
      <w:r>
        <w:rPr>
          <w:rFonts w:ascii="Times New Roman;sans-serif" w:hAnsi="Times New Roman;sans-serif"/>
          <w:b w:val="false"/>
          <w:color w:val="000000"/>
          <w:sz w:val="20"/>
        </w:rPr>
        <w:t>which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jc w:val="both"/>
        <w:rPr/>
      </w:pPr>
      <w:r>
        <w:rPr>
          <w:rFonts w:ascii="Times New Roman;sans-serif" w:hAnsi="Times New Roman;sans-serif"/>
          <w:b w:val="false"/>
          <w:color w:val="000000"/>
          <w:sz w:val="20"/>
        </w:rPr>
        <w:t xml:space="preserve">A list of financial statements filed herewith is contained in Part II, Item 8, “Financial Statements and Supplementary Data,” above of this Annual Report on Form 10-K and is incorporated by reference herein. The financial statement schedules have been omitted because they are not required, not applicable or the information has been included in our consolidated financial statements. The exhibits required by this Item are contained in the Exhibit Index on page </w:t>
      </w:r>
      <w:hyperlink w:anchor="iac394f25749c4972acadec6e129385c2_265">
        <w:r>
          <w:rPr>
            <w:rStyle w:val="InternetLink"/>
            <w:rFonts w:ascii="Times New Roman;sans-serif" w:hAnsi="Times New Roman;sans-serif"/>
            <w:b w:val="false"/>
            <w:strike w:val="false"/>
            <w:dstrike w:val="false"/>
            <w:color w:val="000000"/>
            <w:sz w:val="20"/>
            <w:u w:val="none"/>
            <w:effect w:val="none"/>
          </w:rPr>
          <w:t>149</w:t>
        </w:r>
      </w:hyperlink>
      <w:r>
        <w:rPr>
          <w:rFonts w:ascii="Times New Roman;sans-serif" w:hAnsi="Times New Roman;sans-serif"/>
          <w:b w:val="false"/>
          <w:color w:val="000000"/>
          <w:sz w:val="20"/>
        </w:rPr>
        <w:t xml:space="preserve"> of this Annual Report on Form 10-K and are incorporated herein by reference.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4"/>
        <w:gridCol w:w="267"/>
        <w:gridCol w:w="268"/>
        <w:gridCol w:w="109"/>
        <w:gridCol w:w="109"/>
        <w:gridCol w:w="109"/>
        <w:gridCol w:w="2717"/>
        <w:gridCol w:w="2608"/>
        <w:gridCol w:w="371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ans-serif" w:hAnsi="Times New Roman;sans-serif"/>
                  <w:b w:val="false"/>
                  <w:color w:val="0000FF"/>
                  <w:sz w:val="20"/>
                  <w:u w:val="single"/>
                </w:rPr>
                <w:t>Certificate of Incorporation of Amalgamated Financial Corp. (incorporated by reference to Exhibit 3.1 to Amalgamated Financial Corp.’s Current Report on Form 8-K filed with the SEC on March 1, 2021).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ans-serif" w:hAnsi="Times New Roman;sans-serif"/>
                  <w:b w:val="false"/>
                  <w:color w:val="000080"/>
                  <w:sz w:val="20"/>
                  <w:u w:val="single"/>
                </w:rPr>
                <w:t>Bylaws of Amalgamated Financial Corp. (incorporated by reference to Exhibit 3.</w:t>
              </w:r>
            </w:hyperlink>
            <w:hyperlink r:id="rId5">
              <w:r>
                <w:rPr>
                  <w:rStyle w:val="InternetLink"/>
                  <w:rFonts w:ascii="Times New Roman;sans-serif" w:hAnsi="Times New Roman;sans-serif"/>
                  <w:b w:val="false"/>
                  <w:color w:val="000080"/>
                  <w:sz w:val="20"/>
                  <w:u w:val="single"/>
                </w:rPr>
                <w:t>1</w:t>
              </w:r>
            </w:hyperlink>
            <w:hyperlink r:id="rId6">
              <w:r>
                <w:rPr>
                  <w:rStyle w:val="InternetLink"/>
                  <w:rFonts w:ascii="Times New Roman;sans-serif" w:hAnsi="Times New Roman;sans-serif"/>
                  <w:b w:val="false"/>
                  <w:color w:val="000080"/>
                  <w:sz w:val="20"/>
                  <w:u w:val="single"/>
                </w:rPr>
                <w:t xml:space="preserve"> to Amalgamated Financial Corp.’s Current Report on Form 8-K filed with the SEC on </w:t>
              </w:r>
            </w:hyperlink>
            <w:hyperlink r:id="rId7">
              <w:r>
                <w:rPr>
                  <w:rStyle w:val="InternetLink"/>
                  <w:rFonts w:ascii="Times New Roman;sans-serif" w:hAnsi="Times New Roman;sans-serif"/>
                  <w:b w:val="false"/>
                  <w:color w:val="000080"/>
                  <w:sz w:val="20"/>
                  <w:u w:val="single"/>
                </w:rPr>
                <w:t>April</w:t>
              </w:r>
            </w:hyperlink>
            <w:hyperlink r:id="rId8">
              <w:r>
                <w:rPr>
                  <w:rStyle w:val="InternetLink"/>
                  <w:rFonts w:ascii="Times New Roman;sans-serif" w:hAnsi="Times New Roman;sans-serif"/>
                  <w:b w:val="false"/>
                  <w:color w:val="000080"/>
                  <w:sz w:val="20"/>
                  <w:u w:val="single"/>
                </w:rPr>
                <w:t xml:space="preserve"> </w:t>
              </w:r>
            </w:hyperlink>
            <w:hyperlink r:id="rId9">
              <w:r>
                <w:rPr>
                  <w:rStyle w:val="InternetLink"/>
                  <w:rFonts w:ascii="Times New Roman;sans-serif" w:hAnsi="Times New Roman;sans-serif"/>
                  <w:b w:val="false"/>
                  <w:color w:val="000080"/>
                  <w:sz w:val="20"/>
                  <w:u w:val="single"/>
                </w:rPr>
                <w:t>8</w:t>
              </w:r>
            </w:hyperlink>
            <w:hyperlink r:id="rId10">
              <w:r>
                <w:rPr>
                  <w:rStyle w:val="InternetLink"/>
                  <w:rFonts w:ascii="Times New Roman;sans-serif" w:hAnsi="Times New Roman;sans-serif"/>
                  <w:b w:val="false"/>
                  <w:color w:val="000080"/>
                  <w:sz w:val="20"/>
                  <w:u w:val="single"/>
                </w:rPr>
                <w:t>, 202</w:t>
              </w:r>
            </w:hyperlink>
            <w:hyperlink r:id="rId11">
              <w:r>
                <w:rPr>
                  <w:rStyle w:val="InternetLink"/>
                  <w:rFonts w:ascii="Times New Roman;sans-serif" w:hAnsi="Times New Roman;sans-serif"/>
                  <w:b w:val="false"/>
                  <w:color w:val="000080"/>
                  <w:sz w:val="20"/>
                  <w:u w:val="single"/>
                </w:rPr>
                <w:t>4</w:t>
              </w:r>
            </w:hyperlink>
            <w:hyperlink r:id="rId12">
              <w:r>
                <w:rPr>
                  <w:rStyle w:val="InternetLink"/>
                  <w:rFonts w:ascii="Times New Roman;sans-serif" w:hAnsi="Times New Roman;sans-serif"/>
                  <w:b w:val="false"/>
                  <w:color w:val="000080"/>
                  <w:sz w:val="20"/>
                  <w:u w:val="single"/>
                </w:rPr>
                <w:t>).</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3">
              <w:r>
                <w:rPr>
                  <w:rStyle w:val="InternetLink"/>
                  <w:rFonts w:ascii="Times New Roman;sans-serif" w:hAnsi="Times New Roman;sans-serif"/>
                  <w:b w:val="false"/>
                  <w:color w:val="0000FF"/>
                  <w:sz w:val="20"/>
                  <w:u w:val="single"/>
                </w:rPr>
                <w:t>Specimen stock certificate of Amalgamated Financial Corp.’s common stock (incorporated by reference to Exhibit 4.1 to Amalgamated Financial Corp.’s Registration Statement on Form S-4EF filed with the SEC on September 8, 2020).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4">
              <w:r>
                <w:rPr>
                  <w:rStyle w:val="InternetLink"/>
                  <w:rFonts w:ascii="Times New Roman;sans-serif" w:hAnsi="Times New Roman;sans-serif"/>
                  <w:b w:val="false"/>
                  <w:color w:val="0000FF"/>
                  <w:sz w:val="20"/>
                  <w:u w:val="single"/>
                </w:rPr>
                <w:t>Investor Rights Agreement by and between Amalgamated Bank and the Workers United Related Parties (incorporated by reference to Exhibit 4.2 to Amalgamated Financial Corp.’s Registration Statement on Form S-4EF filed with the SEC on September 8, 2020).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5">
              <w:r>
                <w:rPr>
                  <w:rStyle w:val="InternetLink"/>
                  <w:rFonts w:ascii="Times New Roman;sans-serif" w:hAnsi="Times New Roman;sans-serif"/>
                  <w:b w:val="false"/>
                  <w:color w:val="0000FF"/>
                  <w:sz w:val="20"/>
                  <w:u w:val="single"/>
                </w:rPr>
                <w:t>Registration Rights Agreement, dated April 11, 2012, by and among Amalgamated Bank and the Various Stockholders Party Thereto (incorporated by reference to Exhibit 4.3 to Amalgamated Financial Corp.’s Registration Statement on Form S-4EF filed with the SEC on September 8, 2020).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agrees to provide the SEC, upon request, copies of instruments defining the rights of holders of long-term debt of the registrant and its consolidated subsidiaries; currently no issuance of debt of the registrant exceeds 10% of the assets of the registrant and its subsidiaries on a consolidated basis.</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6">
              <w:r>
                <w:rPr>
                  <w:rStyle w:val="InternetLink"/>
                  <w:rFonts w:ascii="Times New Roman;sans-serif" w:hAnsi="Times New Roman;sans-serif"/>
                  <w:b w:val="false"/>
                  <w:color w:val="0000FF"/>
                  <w:sz w:val="20"/>
                  <w:u w:val="single"/>
                </w:rPr>
                <w:t>Description of Amalgamated Financial Corp.’s Securities Registered Pursuant to Section 12 of the Securities Exchange Act of 1934 (incorporated by reference to Exhibit 4.6 to Amalgamated Financial Corp.’s Annual Report on Form 10-K for the year ended December 31, 2020).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7">
              <w:r>
                <w:rPr>
                  <w:rStyle w:val="InternetLink"/>
                  <w:rFonts w:ascii="Times New Roman;sans-serif" w:hAnsi="Times New Roman;sans-serif"/>
                  <w:b w:val="false"/>
                  <w:color w:val="0000FF"/>
                  <w:sz w:val="20"/>
                  <w:u w:val="single"/>
                </w:rPr>
                <w:t>Subordinated Indenture, dated as of November 8, 2021, by and between the Company and U.S. Bank National Association, as trustee (incorporated by reference to Exhibit 4.1 to Amalgamated Financial Corp.’s Current Report on Form 8-K filed with the SEC on November 8, 2021).</w:t>
              </w:r>
            </w:hyperlink>
            <w:r>
              <w:rPr>
                <w:color w:val="000000"/>
              </w:rPr>
              <w:t xml:space="preserve"> </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ans-serif" w:hAnsi="Times New Roman;sans-serif"/>
                  <w:b w:val="false"/>
                  <w:color w:val="0000FF"/>
                  <w:sz w:val="20"/>
                  <w:u w:val="single"/>
                </w:rPr>
                <w:t>First Supplemental Indenture, dated as of November 8, 2021, by and between the Company and U.S. Bank National Association, as trustee, with respect to the 3.250% Fixed-to-Floating Rate Subordinated Notes Due 2031 (incorporated by reference to Exhibit 4.2 to Amalgamated Financial Corp.’s Current Report on Form 8-K filed with the SEC on November 8, 2021).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9">
              <w:r>
                <w:rPr>
                  <w:rStyle w:val="InternetLink"/>
                  <w:rFonts w:ascii="Times New Roman;sans-serif" w:hAnsi="Times New Roman;sans-serif"/>
                  <w:b w:val="false"/>
                  <w:color w:val="0000FF"/>
                  <w:sz w:val="20"/>
                  <w:u w:val="single"/>
                </w:rPr>
                <w:t>Form of 3.250% Fixed-to-Floating Rate Subordinated Notes due 2031 (incorporated by reference to Exhibit 4.2 to Amalgamated Financial Corp.’s Current Report on Form 8-K filed with the SEC on November 8, 2021)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0">
              <w:r>
                <w:rPr>
                  <w:rStyle w:val="InternetLink"/>
                  <w:rFonts w:ascii="Times New Roman;sans-serif" w:hAnsi="Times New Roman;sans-serif"/>
                  <w:b w:val="false"/>
                  <w:color w:val="0000FF"/>
                  <w:sz w:val="20"/>
                  <w:u w:val="single"/>
                </w:rPr>
                <w:t>Change in Control Plan (incorporated by reference to Exhibit 10.4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1">
              <w:r>
                <w:rPr>
                  <w:rStyle w:val="InternetLink"/>
                  <w:rFonts w:ascii="Times New Roman;sans-serif" w:hAnsi="Times New Roman;sans-serif"/>
                  <w:b w:val="false"/>
                  <w:color w:val="000080"/>
                  <w:sz w:val="20"/>
                  <w:u w:val="single"/>
                </w:rPr>
                <w:t xml:space="preserve">Collective Bargaining Agreement with OPEIU, Local 153, AFL-CIO, dated </w:t>
              </w:r>
            </w:hyperlink>
            <w:hyperlink r:id="rId22">
              <w:r>
                <w:rPr>
                  <w:rStyle w:val="InternetLink"/>
                  <w:rFonts w:ascii="Times New Roman;sans-serif" w:hAnsi="Times New Roman;sans-serif"/>
                  <w:b w:val="false"/>
                  <w:color w:val="000080"/>
                  <w:sz w:val="20"/>
                  <w:u w:val="single"/>
                </w:rPr>
                <w:t>November</w:t>
              </w:r>
            </w:hyperlink>
            <w:hyperlink r:id="rId23">
              <w:r>
                <w:rPr>
                  <w:rStyle w:val="InternetLink"/>
                  <w:rFonts w:ascii="Times New Roman;sans-serif" w:hAnsi="Times New Roman;sans-serif"/>
                  <w:b w:val="false"/>
                  <w:color w:val="000080"/>
                  <w:sz w:val="20"/>
                  <w:u w:val="single"/>
                </w:rPr>
                <w:t xml:space="preserve"> </w:t>
              </w:r>
            </w:hyperlink>
            <w:hyperlink r:id="rId24">
              <w:r>
                <w:rPr>
                  <w:rStyle w:val="InternetLink"/>
                  <w:rFonts w:ascii="Times New Roman;sans-serif" w:hAnsi="Times New Roman;sans-serif"/>
                  <w:b w:val="false"/>
                  <w:color w:val="000080"/>
                  <w:sz w:val="20"/>
                  <w:u w:val="single"/>
                </w:rPr>
                <w:t>2</w:t>
              </w:r>
            </w:hyperlink>
            <w:hyperlink r:id="rId25">
              <w:r>
                <w:rPr>
                  <w:rStyle w:val="InternetLink"/>
                  <w:rFonts w:ascii="Times New Roman;sans-serif" w:hAnsi="Times New Roman;sans-serif"/>
                  <w:b w:val="false"/>
                  <w:color w:val="000080"/>
                  <w:sz w:val="20"/>
                  <w:u w:val="single"/>
                </w:rPr>
                <w:t>9, 202</w:t>
              </w:r>
            </w:hyperlink>
            <w:hyperlink r:id="rId26">
              <w:r>
                <w:rPr>
                  <w:rStyle w:val="InternetLink"/>
                  <w:rFonts w:ascii="Times New Roman;sans-serif" w:hAnsi="Times New Roman;sans-serif"/>
                  <w:b w:val="false"/>
                  <w:color w:val="000080"/>
                  <w:sz w:val="20"/>
                  <w:u w:val="single"/>
                </w:rPr>
                <w:t>4</w:t>
              </w:r>
            </w:hyperlink>
            <w:hyperlink r:id="rId27">
              <w:r>
                <w:rPr>
                  <w:rStyle w:val="InternetLink"/>
                  <w:rFonts w:ascii="Times New Roman;sans-serif" w:hAnsi="Times New Roman;sans-serif"/>
                  <w:b w:val="false"/>
                  <w:color w:val="000080"/>
                  <w:sz w:val="20"/>
                  <w:u w:val="single"/>
                </w:rPr>
                <w:t xml:space="preserve"> (incorporated by reference to Exhibit </w:t>
              </w:r>
            </w:hyperlink>
            <w:hyperlink r:id="rId28">
              <w:r>
                <w:rPr>
                  <w:rStyle w:val="InternetLink"/>
                  <w:rFonts w:ascii="Times New Roman;sans-serif" w:hAnsi="Times New Roman;sans-serif"/>
                  <w:b w:val="false"/>
                  <w:color w:val="000080"/>
                  <w:sz w:val="20"/>
                  <w:u w:val="single"/>
                </w:rPr>
                <w:t>99.1</w:t>
              </w:r>
            </w:hyperlink>
            <w:hyperlink r:id="rId29">
              <w:r>
                <w:rPr>
                  <w:rStyle w:val="InternetLink"/>
                  <w:rFonts w:ascii="Times New Roman;sans-serif" w:hAnsi="Times New Roman;sans-serif"/>
                  <w:b w:val="false"/>
                  <w:color w:val="000080"/>
                  <w:sz w:val="20"/>
                  <w:u w:val="single"/>
                </w:rPr>
                <w:t xml:space="preserve"> to Amalgamated Financial Corp.’s </w:t>
              </w:r>
            </w:hyperlink>
            <w:hyperlink r:id="rId30">
              <w:r>
                <w:rPr>
                  <w:rStyle w:val="InternetLink"/>
                  <w:rFonts w:ascii="Times New Roman;sans-serif" w:hAnsi="Times New Roman;sans-serif"/>
                  <w:b w:val="false"/>
                  <w:color w:val="000080"/>
                  <w:sz w:val="20"/>
                  <w:u w:val="single"/>
                </w:rPr>
                <w:t>Current Report on Form 8-K</w:t>
              </w:r>
            </w:hyperlink>
            <w:hyperlink r:id="rId31">
              <w:r>
                <w:rPr>
                  <w:rStyle w:val="InternetLink"/>
                  <w:rFonts w:ascii="Times New Roman;sans-serif" w:hAnsi="Times New Roman;sans-serif"/>
                  <w:b w:val="false"/>
                  <w:color w:val="000080"/>
                  <w:sz w:val="20"/>
                  <w:u w:val="single"/>
                </w:rPr>
                <w:t xml:space="preserve"> filed with the SEC on </w:t>
              </w:r>
            </w:hyperlink>
            <w:hyperlink r:id="rId32">
              <w:r>
                <w:rPr>
                  <w:rStyle w:val="InternetLink"/>
                  <w:rFonts w:ascii="Times New Roman;sans-serif" w:hAnsi="Times New Roman;sans-serif"/>
                  <w:b w:val="false"/>
                  <w:color w:val="000080"/>
                  <w:sz w:val="20"/>
                  <w:u w:val="single"/>
                </w:rPr>
                <w:t>December</w:t>
              </w:r>
            </w:hyperlink>
            <w:hyperlink r:id="rId33">
              <w:r>
                <w:rPr>
                  <w:rStyle w:val="InternetLink"/>
                  <w:rFonts w:ascii="Times New Roman;sans-serif" w:hAnsi="Times New Roman;sans-serif"/>
                  <w:b w:val="false"/>
                  <w:color w:val="000080"/>
                  <w:sz w:val="20"/>
                  <w:u w:val="single"/>
                </w:rPr>
                <w:t xml:space="preserve"> </w:t>
              </w:r>
            </w:hyperlink>
            <w:hyperlink r:id="rId34">
              <w:r>
                <w:rPr>
                  <w:rStyle w:val="InternetLink"/>
                  <w:rFonts w:ascii="Times New Roman;sans-serif" w:hAnsi="Times New Roman;sans-serif"/>
                  <w:b w:val="false"/>
                  <w:color w:val="000080"/>
                  <w:sz w:val="20"/>
                  <w:u w:val="single"/>
                </w:rPr>
                <w:t>5</w:t>
              </w:r>
            </w:hyperlink>
            <w:hyperlink r:id="rId35">
              <w:r>
                <w:rPr>
                  <w:rStyle w:val="InternetLink"/>
                  <w:rFonts w:ascii="Times New Roman;sans-serif" w:hAnsi="Times New Roman;sans-serif"/>
                  <w:b w:val="false"/>
                  <w:color w:val="000080"/>
                  <w:sz w:val="20"/>
                  <w:u w:val="single"/>
                </w:rPr>
                <w:t>, 202</w:t>
              </w:r>
            </w:hyperlink>
            <w:hyperlink r:id="rId36">
              <w:r>
                <w:rPr>
                  <w:rStyle w:val="InternetLink"/>
                  <w:rFonts w:ascii="Times New Roman;sans-serif" w:hAnsi="Times New Roman;sans-serif"/>
                  <w:b w:val="false"/>
                  <w:color w:val="000080"/>
                  <w:sz w:val="20"/>
                  <w:u w:val="single"/>
                </w:rPr>
                <w:t>4</w:t>
              </w:r>
            </w:hyperlink>
            <w:hyperlink r:id="rId37">
              <w:r>
                <w:rPr>
                  <w:rStyle w:val="InternetLink"/>
                  <w:rFonts w:ascii="Times New Roman;sans-serif" w:hAnsi="Times New Roman;sans-serif"/>
                  <w:b w:val="false"/>
                  <w:color w:val="000080"/>
                  <w:sz w:val="20"/>
                  <w:u w:val="single"/>
                </w:rPr>
                <w:t>).</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ans-serif" w:hAnsi="Times New Roman;sans-serif"/>
                  <w:b w:val="false"/>
                  <w:color w:val="0000FF"/>
                  <w:sz w:val="20"/>
                  <w:u w:val="single"/>
                </w:rPr>
                <w:t>Independent Office Agreement with Local 32BJ SEIU (incorporated by reference to Exhibit 10.7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ans-serif" w:hAnsi="Times New Roman;sans-serif"/>
                  <w:b w:val="false"/>
                  <w:color w:val="0000FF"/>
                  <w:sz w:val="20"/>
                  <w:u w:val="single"/>
                </w:rPr>
                <w:t>Consolidated Retirement Plan, as amended and restated on January 1, 2015 (incorporated by reference to Exhibit 10.9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0">
              <w:r>
                <w:rPr>
                  <w:rStyle w:val="InternetLink"/>
                  <w:rFonts w:ascii="Times New Roman;sans-serif" w:hAnsi="Times New Roman;sans-serif"/>
                  <w:b w:val="false"/>
                  <w:color w:val="0000FF"/>
                  <w:sz w:val="20"/>
                  <w:u w:val="single"/>
                </w:rPr>
                <w:t>Amalgamated Bank Long Term Incentive Plan (incorporated by reference to Exhibit 10.10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ans-serif" w:hAnsi="Times New Roman;sans-serif"/>
                  <w:b w:val="false"/>
                  <w:color w:val="0000FF"/>
                  <w:sz w:val="20"/>
                  <w:u w:val="single"/>
                </w:rPr>
                <w:t>Amalgamated Financial Corp. Annual Incentive Plan (incorporated by reference to Exhibit 10.1 to Amalgamated Financial Corp.’s Quarterly Report on Form 10-Q for the period ended March 31, 2021).</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Times New Roman;sans-serif" w:hAnsi="Times New Roman;sans-serif"/>
                  <w:b w:val="false"/>
                  <w:color w:val="0000FF"/>
                  <w:sz w:val="20"/>
                  <w:u w:val="single"/>
                </w:rPr>
                <w:t>Form of Nonqualified Stock Option Agreement (incorporated by reference to Exhibit 10.12 to Amalgamated Financial Corp.’s Registration Statement on Form S-4EF filed with the SEC on September 8, 2020).</w:t>
              </w:r>
            </w:hyperlink>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
        <w:gridCol w:w="186"/>
        <w:gridCol w:w="189"/>
        <w:gridCol w:w="109"/>
        <w:gridCol w:w="109"/>
        <w:gridCol w:w="109"/>
        <w:gridCol w:w="2723"/>
        <w:gridCol w:w="2713"/>
        <w:gridCol w:w="385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3">
              <w:r>
                <w:rPr>
                  <w:rStyle w:val="InternetLink"/>
                  <w:rFonts w:ascii="Times New Roman;sans-serif" w:hAnsi="Times New Roman;sans-serif"/>
                  <w:b w:val="false"/>
                  <w:color w:val="0000FF"/>
                  <w:sz w:val="20"/>
                  <w:u w:val="single"/>
                </w:rPr>
                <w:t>Amalgamated Bank 2019 Equity Incentive Plan (incorporated by reference to Exhibit 10.13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4">
              <w:r>
                <w:rPr>
                  <w:rStyle w:val="InternetLink"/>
                  <w:rFonts w:ascii="Times New Roman;sans-serif" w:hAnsi="Times New Roman;sans-serif"/>
                  <w:b w:val="false"/>
                  <w:color w:val="0000FF"/>
                  <w:sz w:val="20"/>
                  <w:u w:val="single"/>
                </w:rPr>
                <w:t>Form of Award Agreement for Restricted Stock Units to be made under the Amalgamated Bank 2019 Equity Incentive Plan (incorporated by reference to Exhibit 10.14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5">
              <w:r>
                <w:rPr>
                  <w:rStyle w:val="InternetLink"/>
                  <w:rFonts w:ascii="Times New Roman;sans-serif" w:hAnsi="Times New Roman;sans-serif"/>
                  <w:b w:val="false"/>
                  <w:color w:val="0000FF"/>
                  <w:sz w:val="20"/>
                  <w:u w:val="single"/>
                </w:rPr>
                <w:t>Form of Award Agreement for Performance Units to be made under the Amalgamated Bank 2019 Equity Incentive Plan (incorporated by reference to Exhibit 10.15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6">
              <w:r>
                <w:rPr>
                  <w:rStyle w:val="InternetLink"/>
                  <w:rFonts w:ascii="Times New Roman;sans-serif" w:hAnsi="Times New Roman;sans-serif"/>
                  <w:b w:val="false"/>
                  <w:color w:val="0000FF"/>
                  <w:sz w:val="20"/>
                  <w:u w:val="single"/>
                </w:rPr>
                <w:t>Form of Revised Award Agreement for Performance Units to be made under the Amalgamated Bank 2019 Equity Incentive Plan (incorporated by reference to Exhibit 10.16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7">
              <w:r>
                <w:rPr>
                  <w:rStyle w:val="InternetLink"/>
                  <w:rFonts w:ascii="Times New Roman;sans-serif" w:hAnsi="Times New Roman;sans-serif"/>
                  <w:b w:val="false"/>
                  <w:color w:val="0000FF"/>
                  <w:sz w:val="20"/>
                  <w:u w:val="single"/>
                </w:rPr>
                <w:t>Amalgamated Financial Corp. 2021 Equity Incentive Plan (incorporated by reference to Exhibit 10.3 to Amalgamated Financial Corp.’s Post-Effective Amendment No. 1 on Form S-8 to Form S-4 Registration Statement filed with the SEC on March 10, 2021).</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8">
              <w:r>
                <w:rPr>
                  <w:rStyle w:val="InternetLink"/>
                  <w:rFonts w:ascii="Times New Roman;sans-serif" w:hAnsi="Times New Roman;sans-serif"/>
                  <w:b w:val="false"/>
                  <w:color w:val="0000FF"/>
                  <w:sz w:val="20"/>
                  <w:u w:val="single"/>
                </w:rPr>
                <w:t>Form of Award Agreement for Restricted Stock Units to be made under the Amalgamated Financial Corp. 2021 Equity Incentive Plan (incorporated by reference to Exhibit 10.4 to Amalgamated Financial Corp.’s Post-Effective Amendment No. 1 on Form S-8 to Form S-4 Registration Statement filed with the SEC on March 10, 2021).</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9">
              <w:r>
                <w:rPr>
                  <w:rStyle w:val="InternetLink"/>
                  <w:rFonts w:ascii="Times New Roman;sans-serif" w:hAnsi="Times New Roman;sans-serif"/>
                  <w:b w:val="false"/>
                  <w:color w:val="0000FF"/>
                  <w:sz w:val="20"/>
                  <w:u w:val="single"/>
                </w:rPr>
                <w:t>Form of Award Agreement for Performance Units to be made under the Amalgamated Financial Corp. 2021 Equity Incentive Plan (incorporated by reference to Exhibit 10.5 to Amalgamated Financial Corp.’s Post-Effective Amendment No. 1 on Form S-8 to Form S-4 Registration Statement filed with the SEC on March 10, 2021).</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0">
              <w:r>
                <w:rPr>
                  <w:rStyle w:val="InternetLink"/>
                  <w:rFonts w:ascii="Times New Roman;sans-serif" w:hAnsi="Times New Roman;sans-serif"/>
                  <w:b w:val="false"/>
                  <w:color w:val="0000FF"/>
                  <w:sz w:val="20"/>
                  <w:u w:val="single"/>
                </w:rPr>
                <w:t>Retention Bonus Agreement between Amalgamated Bank and Sam Brown dated December 22, 2020 (incorporated by reference to Exhibit 10.22 to Amalgamated Financial Corp.’s Annual Report on Form 10-K for the year ended December 31,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1">
              <w:r>
                <w:rPr>
                  <w:rStyle w:val="InternetLink"/>
                  <w:rFonts w:ascii="Times New Roman;sans-serif" w:hAnsi="Times New Roman;sans-serif"/>
                  <w:b w:val="false"/>
                  <w:color w:val="0000FF"/>
                  <w:sz w:val="20"/>
                  <w:u w:val="single"/>
                </w:rPr>
                <w:t>Form of Retention Restricted Stock Unit Award Agreement under the Amalgamated Bank 2019 Equity Incentive Plan (incorporated by reference to Exhibit 10.26 to Amalgamated Financial Corp.’s Annual Report on Form 10-K for the year ended December 31, 2020).</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2">
              <w:r>
                <w:rPr>
                  <w:rStyle w:val="InternetLink"/>
                  <w:rFonts w:ascii="Times New Roman;sans-serif" w:hAnsi="Times New Roman;sans-serif"/>
                  <w:b w:val="false"/>
                  <w:color w:val="000080"/>
                  <w:sz w:val="20"/>
                  <w:u w:val="single"/>
                </w:rPr>
                <w:t>Employment Agreement dated May 10, 2021 by and among Amalgamated Financial Corp., Amalgamated Bank and Priscilla Sims Brown (incorporated by reference to Exhibit 10.1 to Amalgamated Financial Corp.’s Current Report on Form 8-K filed with the SEC on May 11, 2021).</w:t>
              </w:r>
            </w:hyperlink>
            <w:r>
              <w:rPr>
                <w:rFonts w:ascii="Times New Roman;sans-serif" w:hAnsi="Times New Roman;sans-serif"/>
                <w:b w:val="false"/>
                <w:color w:val="0000FF"/>
                <w:sz w:val="20"/>
                <w:u w:val="single"/>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3">
              <w:r>
                <w:rPr>
                  <w:rStyle w:val="InternetLink"/>
                  <w:rFonts w:ascii="Times New Roman;sans-serif" w:hAnsi="Times New Roman;sans-serif"/>
                  <w:b w:val="false"/>
                  <w:color w:val="000080"/>
                  <w:sz w:val="20"/>
                  <w:u w:val="single"/>
                </w:rPr>
                <w:t>Form of Award Agreement for Restricted Stock Units to Chief Executive Officer to be made under the Amalgamated Financial Corp. 2021 Equity Incentive Plan (incorporated by reference to Exhibit 10.2 to Amalgamated Financial Corp.’s Current Report on Form 8-K filed with the SEC on May 11, 2021).</w:t>
              </w:r>
            </w:hyperlink>
            <w:r>
              <w:rPr>
                <w:rFonts w:ascii="Times New Roman;sans-serif" w:hAnsi="Times New Roman;sans-serif"/>
                <w:b w:val="false"/>
                <w:color w:val="0000FF"/>
                <w:sz w:val="20"/>
                <w:u w:val="single"/>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4">
              <w:r>
                <w:rPr>
                  <w:rStyle w:val="InternetLink"/>
                  <w:rFonts w:ascii="Times New Roman;sans-serif" w:hAnsi="Times New Roman;sans-serif"/>
                  <w:b w:val="false"/>
                  <w:color w:val="0000FF"/>
                  <w:sz w:val="20"/>
                  <w:u w:val="single"/>
                </w:rPr>
                <w:t>Amalgamated Financial Corp. 2023 Equity Incentive Plan (incorporated by reference to Exhibit 10.1 to Amalgamated Financial Corp.’s Current Report on Form 8-K filed with the SEC on May 30, 2023.</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10202024equityincentivep.htm">
              <w:r>
                <w:rPr>
                  <w:rStyle w:val="InternetLink"/>
                  <w:rFonts w:ascii="Times New Roman;sans-serif" w:hAnsi="Times New Roman;sans-serif"/>
                  <w:b w:val="false"/>
                  <w:color w:val="0000FF"/>
                  <w:sz w:val="20"/>
                  <w:u w:val="single"/>
                </w:rPr>
                <w:t>Form of Award Agreement for Restricted Stock Units to be made under the Amalgamated Financial Corp. 2023 Equity Incentive Plan.</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5">
              <w:r>
                <w:rPr>
                  <w:rStyle w:val="InternetLink"/>
                  <w:rFonts w:ascii="Times New Roman;sans-serif" w:hAnsi="Times New Roman;sans-serif"/>
                  <w:b w:val="false"/>
                  <w:color w:val="0000FF"/>
                  <w:sz w:val="20"/>
                  <w:u w:val="single"/>
                </w:rPr>
                <w:t>Employment Agreement, dated August 24, 2022, between Amalgamated Financial Corp. and Sean Searby (incorporated by reference to Exhibit 10.1 to Amalgamated Financial Corp.’s Current Report on Form 8-K filed with the SEC on August 30, 2022).</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6">
              <w:r>
                <w:rPr>
                  <w:rStyle w:val="InternetLink"/>
                  <w:rFonts w:ascii="Times New Roman;sans-serif" w:hAnsi="Times New Roman;sans-serif"/>
                  <w:b w:val="false"/>
                  <w:color w:val="0000FF"/>
                  <w:sz w:val="20"/>
                  <w:u w:val="single"/>
                </w:rPr>
                <w:t>Employment Agreement, dated August 24, 2022, between Amalgamated Financial Corp. and Jason Darby (incorporated by reference to Exhibit 10.2 to Amalgamated Financial Corp.’s Current Report on Form 8-K filed with the SEC on August 30, 2022).</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7">
              <w:r>
                <w:rPr>
                  <w:rStyle w:val="InternetLink"/>
                  <w:rFonts w:ascii="Times New Roman;sans-serif" w:hAnsi="Times New Roman;sans-serif"/>
                  <w:b w:val="false"/>
                  <w:color w:val="0000FF"/>
                  <w:sz w:val="20"/>
                  <w:u w:val="single"/>
                </w:rPr>
                <w:t>Employment Agreement, dated August 24, 2022, between Amalgamated Financial Corp. and Sam Brown (incorporated by reference to Exhibit 10.3 to Amalgamated Financial Corp.’s Current Report on Form 8-K filed with the SEC on August 30, 2022)</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8">
              <w:r>
                <w:rPr>
                  <w:rStyle w:val="InternetLink"/>
                  <w:rFonts w:ascii="Times New Roman;sans-serif" w:hAnsi="Times New Roman;sans-serif"/>
                  <w:b w:val="false"/>
                  <w:color w:val="0000FF"/>
                  <w:sz w:val="20"/>
                  <w:u w:val="single"/>
                </w:rPr>
                <w:t>Employment Agreement, dated August 24, 2022, between Amalgamated Financial Corp. and Mandy Tenner (incorporated by reference to Exhibit 10.4 to Amalgamated Financial Corp.’s Current Report on Form 8-K filed with the SEC on August 30, 2022)</w:t>
              </w:r>
            </w:hyperlink>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808"/>
        <w:gridCol w:w="2678"/>
        <w:gridCol w:w="380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9">
              <w:r>
                <w:rPr>
                  <w:rStyle w:val="InternetLink"/>
                  <w:rFonts w:ascii="Times New Roman;sans-serif" w:hAnsi="Times New Roman;sans-serif"/>
                  <w:b w:val="false"/>
                  <w:color w:val="0000FF"/>
                  <w:sz w:val="20"/>
                  <w:u w:val="single"/>
                </w:rPr>
                <w:t>Severance Policy for Employees Not Covered by a Collective Bargaining Agreement, Effective July 26, 2023 (incorporated by reference to Exhibit 10.1 to Amalgamated Financial Corp.’s Current Report on Form 8-K filed with the SEC on August 1, 2022)</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412_amal10-kxex191.htm">
              <w:r>
                <w:rPr>
                  <w:rStyle w:val="InternetLink"/>
                  <w:rFonts w:ascii="Times New Roman;sans-serif" w:hAnsi="Times New Roman;sans-serif"/>
                  <w:b w:val="false"/>
                  <w:color w:val="0000FF"/>
                  <w:sz w:val="20"/>
                  <w:u w:val="single"/>
                </w:rPr>
                <w:t>Insider Trading Policy**</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412_amal10-kxex211.htm">
              <w:r>
                <w:rPr>
                  <w:rStyle w:val="InternetLink"/>
                  <w:rFonts w:ascii="Times New Roman;sans-serif" w:hAnsi="Times New Roman;sans-serif"/>
                  <w:b w:val="false"/>
                  <w:color w:val="0000FF"/>
                  <w:sz w:val="20"/>
                  <w:u w:val="single"/>
                </w:rPr>
                <w:t>Subsidiaries of Amalgamated Financial Corp.</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_amalxex231xcrowe.htm">
              <w:r>
                <w:rPr>
                  <w:rStyle w:val="InternetLink"/>
                  <w:rFonts w:ascii="Times New Roman;sans-serif" w:hAnsi="Times New Roman;sans-serif"/>
                  <w:b w:val="false"/>
                  <w:color w:val="0000FF"/>
                  <w:sz w:val="20"/>
                  <w:u w:val="single"/>
                </w:rPr>
                <w:t>Consent of Independent Registered Public Accounting Firm—Crowe LLP.</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c394f25749c4972acadec6e129385c2_268">
              <w:r>
                <w:rPr>
                  <w:rStyle w:val="InternetLink"/>
                  <w:rFonts w:ascii="Times New Roman;sans-serif" w:hAnsi="Times New Roman;sans-serif"/>
                  <w:b w:val="false"/>
                  <w:color w:val="0000FF"/>
                  <w:sz w:val="20"/>
                  <w:u w:val="single"/>
                </w:rPr>
                <w:t>Power of Attorney (included on signature page)</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412_amal-ex311.htm">
              <w:r>
                <w:rPr>
                  <w:rStyle w:val="InternetLink"/>
                  <w:rFonts w:ascii="Times New Roman;sans-serif" w:hAnsi="Times New Roman;sans-serif"/>
                  <w:b w:val="false"/>
                  <w:color w:val="0000FF"/>
                  <w:sz w:val="20"/>
                  <w:u w:val="single"/>
                </w:rPr>
                <w:t>Rule 13a-14(a) Certification of the Chief Executive Officer</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412_amal-ex312.htm">
              <w:r>
                <w:rPr>
                  <w:rStyle w:val="InternetLink"/>
                  <w:rFonts w:ascii="Times New Roman;sans-serif" w:hAnsi="Times New Roman;sans-serif"/>
                  <w:b w:val="false"/>
                  <w:color w:val="0000FF"/>
                  <w:sz w:val="20"/>
                  <w:u w:val="single"/>
                </w:rPr>
                <w:t>Rule 13a-14(a) Certification of the Chief Financial Officer</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412_amal-ex321.htm">
              <w:r>
                <w:rPr>
                  <w:rStyle w:val="InternetLink"/>
                  <w:rFonts w:ascii="Times New Roman;sans-serif" w:hAnsi="Times New Roman;sans-serif"/>
                  <w:b w:val="false"/>
                  <w:color w:val="0000FF"/>
                  <w:sz w:val="20"/>
                  <w:u w:val="single"/>
                </w:rPr>
                <w:t>Section 1350 Certifications</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71clawbackpolicywithexa.htm">
              <w:r>
                <w:rPr>
                  <w:rStyle w:val="InternetLink"/>
                  <w:rFonts w:ascii="Times New Roman;sans-serif" w:hAnsi="Times New Roman;sans-serif"/>
                  <w:b w:val="false"/>
                  <w:color w:val="0000FF"/>
                  <w:sz w:val="20"/>
                  <w:u w:val="single"/>
                </w:rPr>
                <w:t>Amalgamated Financial Corp. Incentive Compensation Recovery Policy</w:t>
              </w:r>
            </w:hyperlink>
            <w:r>
              <w:rPr>
                <w:color w:val="000000"/>
              </w:rPr>
              <w:t xml:space="preserve"> </w:t>
            </w:r>
            <w:r>
              <w:rPr>
                <w:rFonts w:ascii="Times New Roman;sans-serif" w:hAnsi="Times New Roman;sans-serif"/>
                <w:b w:val="false"/>
                <w:color w:val="000000"/>
                <w:sz w:val="20"/>
              </w:rPr>
              <w:t>(incorporated by reference to Exhibit 97.1 to Amalgamated Financial Corp.’s Annual Report on Form 10-K filed with the SEC on March 7, 2024)*</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Annual Report on Form 10-K of Amalgamated Financial Corp., formatted in iXBRL (Inline eXtensible Business Reporting Language): (i) Consolidated Statements of Financial Condition at December 31, 2024 and December 31, 2023, (ii) Consolidated Statements of Income for the years ended December 31, 2024, 2023, and 2022, (iii) Consolidated Statements of Comprehensive Income for the years ended December 31, 2024, 2023, and 2022, (iv) Consolidated Statements of Changes in Stockholders’ Equity for the years ended December 31, 2024, 2023, and 2022, (v) Consolidated Statements of Cash Flows for the years ended December 31, 2024, 2023, and 2022 and (vi) Notes to Consolidated Financial Statements.</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cover page of Amalgamated Financial Corp.’s Form 10-K Report for the year ended December 31, 2024, formatted in iXBRL (included with the Exhibit 101 attachments).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Management contract or compensatory plan or arrangement.</w:t>
      </w:r>
    </w:p>
    <w:p>
      <w:pPr>
        <w:pStyle w:val="TextBody"/>
        <w:bidi w:val="0"/>
        <w:spacing w:lineRule="auto" w:line="28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AMALGAMATED FINANCIAL CORP.</w:t>
      </w:r>
    </w:p>
    <w:tbl>
      <w:tblPr>
        <w:tblW w:w="5245" w:type="dxa"/>
        <w:jc w:val="right"/>
        <w:tblInd w:w="0" w:type="dxa"/>
        <w:tblLayout w:type="fixed"/>
        <w:tblCellMar>
          <w:top w:w="28" w:type="dxa"/>
          <w:left w:w="28" w:type="dxa"/>
          <w:bottom w:w="28" w:type="dxa"/>
          <w:right w:w="28" w:type="dxa"/>
        </w:tblCellMar>
      </w:tblPr>
      <w:tblGrid>
        <w:gridCol w:w="473"/>
        <w:gridCol w:w="414"/>
        <w:gridCol w:w="418"/>
        <w:gridCol w:w="134"/>
        <w:gridCol w:w="134"/>
        <w:gridCol w:w="136"/>
        <w:gridCol w:w="1053"/>
        <w:gridCol w:w="1053"/>
        <w:gridCol w:w="1058"/>
        <w:gridCol w:w="109"/>
        <w:gridCol w:w="109"/>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Priscilla Sims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Priscilla Sims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Priscilla Sims Brown,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U.S. Securities and Exchange Commission, granting unto such attorney-in-fact and agent full power and authority to do and perform each and every act and thing requisite or necessary to be done in and about the premises, as fully to all intents and purposes as he or she might or could do in person, hereby ratifying and confirming all that such attorney-in-fact and agent, or his or her substitute or substitutes, may lawfully do or cause to be done by virtue hereof.</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before="0" w:after="600"/>
        <w:jc w:val="left"/>
        <w:rPr/>
      </w:pPr>
      <w:r>
        <w:rPr/>
      </w:r>
    </w:p>
    <w:tbl>
      <w:tblPr>
        <w:tblW w:w="9902"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109"/>
        <w:gridCol w:w="109"/>
        <w:gridCol w:w="109"/>
        <w:gridCol w:w="109"/>
        <w:gridCol w:w="109"/>
        <w:gridCol w:w="109"/>
        <w:gridCol w:w="1839"/>
        <w:gridCol w:w="1839"/>
        <w:gridCol w:w="1872"/>
        <w:gridCol w:w="109"/>
        <w:gridCol w:w="109"/>
        <w:gridCol w:w="109"/>
        <w:gridCol w:w="348"/>
        <w:gridCol w:w="348"/>
        <w:gridCol w:w="5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Lynne P. Fox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and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Lynne P. Fox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Priscilla Sims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Priscilla Sims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Maryann 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Maryann 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Mark A. Finser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Mark A. Finser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Darrell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Darrell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Julie Kelly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Julie Kelly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JoAnn Lilek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JoAnn Lilek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Meredith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Meredith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Robert G. Romasco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Robert G. Romasco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Edgar Romney, 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Edgar Romney, 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Julieta 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Julieta 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Scott Stoll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Scott Stoll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Jason Darby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Jason Darby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Leslie Veluswamy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Leslie Veluswamy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lineRule="auto" w:line="288" w:before="65" w:after="283"/>
        <w:jc w:val="center"/>
        <w:rPr>
          <w:rFonts w:ascii="Arial;sans-serif" w:hAnsi="Arial;sans-serif"/>
          <w:b/>
          <w:color w:val="000000"/>
          <w:sz w:val="72"/>
        </w:rPr>
      </w:pPr>
      <w:r>
        <w:rPr>
          <w:rFonts w:ascii="Arial;sans-serif" w:hAnsi="Arial;sans-serif"/>
          <w:b/>
          <w:color w:val="000000"/>
          <w:sz w:val="72"/>
        </w:rPr>
        <w:t>POLICY REGARDING INSIDER TRADING AND RELATED SECURITIES LAW MATTERS</w:t>
      </w:r>
    </w:p>
    <w:p>
      <w:pPr>
        <w:pStyle w:val="TextBody"/>
        <w:bidi w:val="0"/>
        <w:spacing w:lineRule="auto" w:line="288" w:before="120" w:after="283"/>
        <w:jc w:val="center"/>
        <w:rPr>
          <w:rFonts w:ascii="Arial;sans-serif" w:hAnsi="Arial;sans-serif"/>
          <w:b/>
          <w:i/>
          <w:color w:val="000000"/>
          <w:sz w:val="27"/>
        </w:rPr>
      </w:pPr>
      <w:r>
        <w:rPr>
          <w:rFonts w:ascii="Arial;sans-serif" w:hAnsi="Arial;sans-serif"/>
          <w:b/>
          <w:i/>
          <w:color w:val="000000"/>
          <w:sz w:val="27"/>
        </w:rPr>
        <w:t>Approved: 07/22/2024</w:t>
      </w:r>
    </w:p>
    <w:p>
      <w:pPr>
        <w:pStyle w:val="TextBody"/>
        <w:bidi w:val="0"/>
        <w:spacing w:before="0" w:after="0"/>
        <w:jc w:val="left"/>
        <w:rPr/>
      </w:pPr>
      <w:r>
        <w:rPr/>
      </w:r>
    </w:p>
    <w:p>
      <w:pPr>
        <w:pStyle w:val="TextBody"/>
        <w:bidi w:val="0"/>
        <w:spacing w:before="25" w:after="283"/>
        <w:jc w:val="left"/>
        <w:rPr/>
      </w:pPr>
      <w:r>
        <w:rPr/>
        <w:drawing>
          <wp:inline distT="0" distB="0" distL="0" distR="0">
            <wp:extent cx="6858000" cy="19050"/>
            <wp:effectExtent l="0" t="0" r="0" b="0"/>
            <wp:docPr id="1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 descr=""/>
                    <pic:cNvPicPr>
                      <a:picLocks noChangeAspect="1" noChangeArrowheads="1"/>
                    </pic:cNvPicPr>
                  </pic:nvPicPr>
                  <pic:blipFill>
                    <a:blip r:embed="rId60"/>
                    <a:stretch>
                      <a:fillRect/>
                    </a:stretch>
                  </pic:blipFill>
                  <pic:spPr bwMode="auto">
                    <a:xfrm>
                      <a:off x="0" y="0"/>
                      <a:ext cx="6858000" cy="19050"/>
                    </a:xfrm>
                    <a:prstGeom prst="rect">
                      <a:avLst/>
                    </a:prstGeom>
                  </pic:spPr>
                </pic:pic>
              </a:graphicData>
            </a:graphic>
          </wp:inline>
        </w:drawing>
      </w:r>
    </w:p>
    <w:p>
      <w:pPr>
        <w:pStyle w:val="TextBody"/>
        <w:bidi w:val="0"/>
        <w:spacing w:lineRule="auto" w:line="288" w:before="350" w:after="283"/>
        <w:jc w:val="left"/>
        <w:rPr>
          <w:rFonts w:ascii="Arial;sans-serif" w:hAnsi="Arial;sans-serif"/>
          <w:b/>
          <w:color w:val="000000"/>
          <w:sz w:val="48"/>
        </w:rPr>
      </w:pPr>
      <w:r>
        <w:rPr>
          <w:rFonts w:ascii="Arial;sans-serif" w:hAnsi="Arial;sans-serif"/>
          <w:b/>
          <w:color w:val="000000"/>
          <w:sz w:val="48"/>
        </w:rPr>
        <w:t>Description</w:t>
      </w:r>
    </w:p>
    <w:p>
      <w:pPr>
        <w:pStyle w:val="TextBody"/>
        <w:bidi w:val="0"/>
        <w:spacing w:lineRule="auto" w:line="288" w:before="281" w:after="283"/>
        <w:jc w:val="both"/>
        <w:rPr/>
      </w:pPr>
      <w:r>
        <w:rPr>
          <w:rFonts w:ascii="Arial;sans-serif" w:hAnsi="Arial;sans-serif"/>
          <w:b w:val="false"/>
          <w:color w:val="000000"/>
          <w:sz w:val="24"/>
        </w:rPr>
        <w:t>The Boards of Directors of Amalgamated Financial Corp. and Amalgamated Bank (collectively, the “</w:t>
      </w:r>
      <w:r>
        <w:rPr>
          <w:rFonts w:ascii="Arial;sans-serif" w:hAnsi="Arial;sans-serif"/>
          <w:b/>
          <w:i/>
          <w:color w:val="000000"/>
          <w:sz w:val="24"/>
        </w:rPr>
        <w:t>Company</w:t>
      </w:r>
      <w:r>
        <w:rPr>
          <w:color w:val="000000"/>
        </w:rPr>
        <w:t>”</w:t>
      </w:r>
      <w:r>
        <w:rPr>
          <w:rFonts w:ascii="Arial;sans-serif" w:hAnsi="Arial;sans-serif"/>
          <w:b w:val="false"/>
          <w:color w:val="000000"/>
          <w:sz w:val="24"/>
        </w:rPr>
        <w:t>) have adopted this Policy Regarding Insider Trading and Related Securities Law Matters (“</w:t>
      </w:r>
      <w:r>
        <w:rPr>
          <w:rFonts w:ascii="Arial;sans-serif" w:hAnsi="Arial;sans-serif"/>
          <w:b/>
          <w:i/>
          <w:color w:val="000000"/>
          <w:sz w:val="24"/>
        </w:rPr>
        <w:t>Policy Statement</w:t>
      </w:r>
      <w:r>
        <w:rPr>
          <w:color w:val="000000"/>
        </w:rPr>
        <w:t>”</w:t>
      </w:r>
      <w:r>
        <w:rPr>
          <w:rFonts w:ascii="Arial;sans-serif" w:hAnsi="Arial;sans-serif"/>
          <w:b w:val="false"/>
          <w:color w:val="000000"/>
          <w:sz w:val="24"/>
        </w:rPr>
        <w:t>):</w:t>
      </w:r>
    </w:p>
    <w:p>
      <w:pPr>
        <w:pStyle w:val="TextBody"/>
        <w:bidi w:val="0"/>
        <w:spacing w:before="4" w:after="283"/>
        <w:jc w:val="left"/>
        <w:rPr/>
      </w:pPr>
      <w:r>
        <w:rPr/>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to prevent insider trading or allegations of insider trading;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prevent misappropriation, inadvertent disclosure or other misuse of Material Nonpublic Information (as defined below); and</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to protect the Company’s reputation for integrity and ethical conduct.</w:t>
      </w:r>
    </w:p>
    <w:p>
      <w:pPr>
        <w:pStyle w:val="TextBody"/>
        <w:bidi w:val="0"/>
        <w:spacing w:before="4" w:after="283"/>
        <w:jc w:val="left"/>
        <w:rPr/>
      </w:pPr>
      <w:r>
        <w:rPr/>
      </w:r>
    </w:p>
    <w:p>
      <w:pPr>
        <w:pStyle w:val="TextBody"/>
        <w:bidi w:val="0"/>
        <w:spacing w:lineRule="auto" w:line="288" w:before="0" w:after="0"/>
        <w:jc w:val="both"/>
        <w:rPr/>
      </w:pPr>
      <w:r>
        <w:rPr>
          <w:rFonts w:ascii="Arial;sans-serif" w:hAnsi="Arial;sans-serif"/>
          <w:b w:val="false"/>
          <w:color w:val="000000"/>
          <w:sz w:val="24"/>
        </w:rPr>
        <w:t>The following policies regarding the disclosure or use by personnel of the Company of Material Nonpublic Information and other confidential information relating to the Company, or its subsidiaries, apply to all officers, directors, employees or agents, including consultants, of the Company and its subsidiaries (collectively, “</w:t>
      </w:r>
      <w:r>
        <w:rPr>
          <w:rFonts w:ascii="Arial;sans-serif" w:hAnsi="Arial;sans-serif"/>
          <w:b/>
          <w:i/>
          <w:color w:val="000000"/>
          <w:sz w:val="24"/>
        </w:rPr>
        <w:t>Company Personnel</w:t>
      </w:r>
      <w:r>
        <w:rPr>
          <w:color w:val="000000"/>
        </w:rPr>
        <w:t>”</w:t>
      </w:r>
      <w:r>
        <w:rPr>
          <w:rFonts w:ascii="Arial;sans-serif" w:hAnsi="Arial;sans-serif"/>
          <w:b w:val="false"/>
          <w:color w:val="000000"/>
          <w:sz w:val="24"/>
        </w:rPr>
        <w:t>). Furthermore, for purposes of this Policy Statement, the term “Company” shall refer to and include both the Company and each subsidiary.</w:t>
      </w:r>
    </w:p>
    <w:p>
      <w:pPr>
        <w:pStyle w:val="TextBody"/>
        <w:bidi w:val="0"/>
        <w:spacing w:before="3" w:after="283"/>
        <w:jc w:val="left"/>
        <w:rPr/>
      </w:pPr>
      <w:r>
        <w:rPr/>
      </w:r>
    </w:p>
    <w:p>
      <w:pPr>
        <w:pStyle w:val="TextBody"/>
        <w:bidi w:val="0"/>
        <w:spacing w:lineRule="auto" w:line="288" w:before="1" w:after="283"/>
        <w:jc w:val="both"/>
        <w:rPr/>
      </w:pPr>
      <w:r>
        <w:rPr>
          <w:rFonts w:ascii="Arial;sans-serif" w:hAnsi="Arial;sans-serif"/>
          <w:b w:val="false"/>
          <w:color w:val="000000"/>
          <w:sz w:val="24"/>
        </w:rPr>
        <w:t>For the purposes of this Policy Statement, “</w:t>
      </w:r>
      <w:r>
        <w:rPr>
          <w:rFonts w:ascii="Arial;sans-serif" w:hAnsi="Arial;sans-serif"/>
          <w:b/>
          <w:i/>
          <w:color w:val="000000"/>
          <w:sz w:val="24"/>
        </w:rPr>
        <w:t>Material Nonpublic Information</w:t>
      </w:r>
      <w:r>
        <w:rPr>
          <w:color w:val="000000"/>
        </w:rPr>
        <w:t xml:space="preserve">” </w:t>
      </w:r>
      <w:r>
        <w:rPr>
          <w:rFonts w:ascii="Arial;sans-serif" w:hAnsi="Arial;sans-serif"/>
          <w:b w:val="false"/>
          <w:color w:val="000000"/>
          <w:sz w:val="24"/>
        </w:rPr>
        <w:t>means nonpublic or confidential information relating to the Company or its affairs, or, if applicable, another company, that, if made public, would be likely to affect the market price of the Company Securities (as defined below) or the securities of the other company, or that would be likely to be considered important by a reasonable investor in deciding whether to buy, sell or hold those securities. The source of the information is irrelevant. While it is not possible to define all categories of “Material Nonpublic Information,” some examples of information that ordinarily would be regarded as such are:</w:t>
      </w:r>
    </w:p>
    <w:p>
      <w:pPr>
        <w:pStyle w:val="TextBody"/>
        <w:bidi w:val="0"/>
        <w:spacing w:before="4" w:after="283"/>
        <w:jc w:val="left"/>
        <w:rPr/>
      </w:pPr>
      <w:r>
        <w:rPr/>
      </w:r>
    </w:p>
    <w:p>
      <w:pPr>
        <w:pStyle w:val="TextBody"/>
        <w:bidi w:val="0"/>
        <w:spacing w:lineRule="auto" w:line="288" w:before="1" w:after="283"/>
        <w:ind w:left="0" w:right="0" w:hanging="359"/>
        <w:jc w:val="left"/>
        <w:rPr/>
      </w:pPr>
      <w:r>
        <w:rPr>
          <w:color w:val="000000"/>
        </w:rPr>
        <w:t>•</w:t>
      </w:r>
      <w:r>
        <w:rPr>
          <w:rFonts w:ascii="Arial;sans-serif" w:hAnsi="Arial;sans-serif"/>
          <w:b w:val="false"/>
          <w:color w:val="000000"/>
          <w:sz w:val="24"/>
        </w:rPr>
        <w:t>Projections of future earnings or losses, or other earnings guidance;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Changes to previously announced earnings guidance or the decision to suspend earnings guidance;</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A pending or proposed merger, acquisition or tender offer;</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A pending or proposed acquisition or disposing of a significant asset or joint venture;</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A pending or proposed equity or debt offering;</w:t>
      </w:r>
    </w:p>
    <w:p>
      <w:pPr>
        <w:pStyle w:val="TextBody"/>
        <w:bidi w:val="0"/>
        <w:spacing w:lineRule="atLeast" w:line="275" w:before="0" w:after="0"/>
        <w:ind w:left="0" w:right="0" w:hanging="359"/>
        <w:jc w:val="left"/>
        <w:rPr/>
      </w:pPr>
      <w:r>
        <w:rPr>
          <w:color w:val="000000"/>
        </w:rPr>
        <w:t>•</w:t>
      </w:r>
      <w:r>
        <w:rPr>
          <w:rFonts w:ascii="Arial;sans-serif" w:hAnsi="Arial;sans-serif"/>
          <w:b w:val="false"/>
          <w:color w:val="000000"/>
          <w:sz w:val="24"/>
        </w:rPr>
        <w:t>A Company restructuring;</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47395"/>
                <wp:effectExtent l="0" t="0" r="0" b="0"/>
                <wp:wrapNone/>
                <wp:docPr id="158" name="Frame156"/>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lineRule="atLeast" w:line="275" w:before="0" w:after="0"/>
        <w:ind w:left="0" w:right="0" w:hanging="359"/>
        <w:jc w:val="left"/>
        <w:rPr/>
      </w:pPr>
      <w:r>
        <w:rPr>
          <w:color w:val="000000"/>
        </w:rPr>
        <w:t>•</w:t>
      </w:r>
      <w:r>
        <w:rPr>
          <w:rFonts w:ascii="Arial;sans-serif" w:hAnsi="Arial;sans-serif"/>
          <w:b w:val="false"/>
          <w:color w:val="000000"/>
          <w:sz w:val="24"/>
        </w:rPr>
        <w:t>Significant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47395"/>
                <wp:effectExtent l="0" t="0" r="0" b="0"/>
                <wp:wrapNone/>
                <wp:docPr id="159" name="Frame15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lineRule="auto" w:line="288" w:before="69" w:after="283"/>
        <w:ind w:left="0" w:right="0" w:hanging="360"/>
        <w:jc w:val="left"/>
        <w:rPr/>
      </w:pPr>
      <w:r>
        <w:rPr>
          <w:color w:val="000000"/>
        </w:rPr>
        <w:t>•</w:t>
      </w:r>
      <w:r>
        <w:rPr>
          <w:rFonts w:ascii="Arial;sans-serif" w:hAnsi="Arial;sans-serif"/>
          <w:b w:val="false"/>
          <w:color w:val="000000"/>
          <w:sz w:val="24"/>
        </w:rPr>
        <w:t>A change in dividend policy, the declaration of a stock split, or an offering of additional securities;</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The establishment of a repurchase program for Company Securities;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Writedowns and additions to reserves for nonaccrual loans and loans past due of the Company;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A change in the Bank’s loan or deposit interest rates that results in a material change to the net interest margin;</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Major marketing changes;</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A change in management;</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A change in auditors or notification that the auditor’s reports may no longer be relied upon;</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Development of a significant new product, process, or service;</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Pending or threatened significant litigation, or the resolution of such litigation;</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Pending or threatened regulatory enforcement action or proceedings against the Company;</w:t>
      </w:r>
    </w:p>
    <w:p>
      <w:pPr>
        <w:pStyle w:val="TextBody"/>
        <w:bidi w:val="0"/>
        <w:spacing w:lineRule="auto" w:line="288" w:before="0" w:after="0"/>
        <w:ind w:left="0" w:right="0" w:hanging="359"/>
        <w:jc w:val="left"/>
        <w:rPr/>
      </w:pPr>
      <w:r>
        <w:rPr>
          <w:color w:val="000000"/>
        </w:rPr>
        <w:t>•</w:t>
      </w:r>
      <w:r>
        <w:rPr>
          <w:rFonts w:ascii="Arial;sans-serif" w:hAnsi="Arial;sans-serif"/>
          <w:b w:val="false"/>
          <w:color w:val="000000"/>
          <w:sz w:val="24"/>
        </w:rPr>
        <w:t>Significant cybersecurity risks and incidents, including vulnerabilities and breaches;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Impending bankruptcy, receivership or the existence of severe liquidity problems of the Company; and</w:t>
      </w:r>
    </w:p>
    <w:p>
      <w:pPr>
        <w:pStyle w:val="TextBody"/>
        <w:bidi w:val="0"/>
        <w:spacing w:lineRule="atLeast" w:line="275" w:before="0" w:after="0"/>
        <w:ind w:left="0" w:right="0" w:hanging="359"/>
        <w:jc w:val="left"/>
        <w:rPr/>
      </w:pPr>
      <w:r>
        <w:rPr>
          <w:color w:val="000000"/>
        </w:rPr>
        <w:t>•</w:t>
      </w:r>
      <w:r>
        <w:rPr>
          <w:rFonts w:ascii="Arial;sans-serif" w:hAnsi="Arial;sans-serif"/>
          <w:b w:val="false"/>
          <w:color w:val="000000"/>
          <w:sz w:val="24"/>
        </w:rPr>
        <w:t>The imposition of a ban on trading in Company Securities or delisting from a stock exchange.</w:t>
      </w:r>
    </w:p>
    <w:p>
      <w:pPr>
        <w:pStyle w:val="TextBody"/>
        <w:bidi w:val="0"/>
        <w:spacing w:before="5" w:after="283"/>
        <w:jc w:val="left"/>
        <w:rPr/>
      </w:pPr>
      <w:r>
        <w:rPr/>
      </w:r>
    </w:p>
    <w:p>
      <w:pPr>
        <w:pStyle w:val="TextBody"/>
        <w:bidi w:val="0"/>
        <w:spacing w:lineRule="auto" w:line="288" w:before="0" w:after="0"/>
        <w:jc w:val="both"/>
        <w:rPr/>
      </w:pPr>
      <w:r>
        <w:rPr>
          <w:rFonts w:ascii="Arial;sans-serif" w:hAnsi="Arial;sans-serif"/>
          <w:b w:val="false"/>
          <w:color w:val="000000"/>
          <w:sz w:val="24"/>
        </w:rPr>
        <w:t>Information that has not been disclosed to the public is generally considered to be nonpublic information. Information is considered to be available to the public only when (a) it has been released broadly to the marketplace, such as by a press release or a filing with the Securities and Exchange Commission (the “</w:t>
      </w:r>
      <w:r>
        <w:rPr>
          <w:rFonts w:ascii="Arial;sans-serif" w:hAnsi="Arial;sans-serif"/>
          <w:b/>
          <w:i/>
          <w:color w:val="000000"/>
          <w:sz w:val="24"/>
        </w:rPr>
        <w:t>SEC</w:t>
      </w:r>
      <w:r>
        <w:rPr>
          <w:color w:val="000000"/>
        </w:rPr>
        <w:t>”</w:t>
      </w:r>
      <w:r>
        <w:rPr>
          <w:rFonts w:ascii="Arial;sans-serif" w:hAnsi="Arial;sans-serif"/>
          <w:b w:val="false"/>
          <w:color w:val="000000"/>
          <w:sz w:val="24"/>
        </w:rPr>
        <w:t>) that is also disclosed on the Company’s website; and (b) the investing public has had time to absorb the information fully. As a general rule, information is considered nonpublic until after the second full trading day after the information is publicly released. If, for example, the Company were to make an announcement before trading began on a Tuesday, the first time you could buy or sell Company Securities would be the opening of the market on Thursday (assuming you were not then aware of other Material Nonpublic Information). However, if the Company were to make an announcement after the start of trading on a Tuesday, the earliest you could buy or sell the Company’s Securities would be the start of trading on Friday. Depending on the particular circumstances, the Company may determine that a longer or shorter period should apply to the release of specific material nonpublic information.</w:t>
      </w:r>
    </w:p>
    <w:p>
      <w:pPr>
        <w:pStyle w:val="TextBody"/>
        <w:bidi w:val="0"/>
        <w:spacing w:before="4" w:after="283"/>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All Company Personnel must understand the breadth of activities that constitute illegal insider trading and its consequences, which can be severe. U.S. enforcement officials and the staff of any exchange on which the Company Securities may be listed investigate and are very effective at detecting insider trading. Cases have been successfully prosecuted against trading by employees through foreign accounts, trading by family members and friends, and trading involving only a small number of shares.</w:t>
      </w:r>
    </w:p>
    <w:p>
      <w:pPr>
        <w:pStyle w:val="TextBody"/>
        <w:bidi w:val="0"/>
        <w:spacing w:before="23" w:after="283"/>
        <w:jc w:val="left"/>
        <w:rPr/>
      </w:pPr>
      <w:r>
        <w:rPr/>
      </w:r>
    </w:p>
    <w:p>
      <w:pPr>
        <w:pStyle w:val="TextBody"/>
        <w:bidi w:val="0"/>
        <w:spacing w:lineRule="auto" w:line="288" w:before="1" w:after="283"/>
        <w:jc w:val="left"/>
        <w:rPr>
          <w:rFonts w:ascii="Arial;sans-serif" w:hAnsi="Arial;sans-serif"/>
          <w:b/>
          <w:color w:val="000000"/>
          <w:sz w:val="48"/>
        </w:rPr>
      </w:pPr>
      <w:r>
        <w:rPr>
          <w:rFonts w:ascii="Arial;sans-serif" w:hAnsi="Arial;sans-serif"/>
          <w:b/>
          <w:color w:val="000000"/>
          <w:sz w:val="48"/>
        </w:rPr>
        <w:t>Purpose</w:t>
      </w:r>
    </w:p>
    <w:p>
      <w:pPr>
        <w:pStyle w:val="TextBody"/>
        <w:bidi w:val="0"/>
        <w:spacing w:lineRule="auto" w:line="288" w:before="280" w:after="283"/>
        <w:jc w:val="both"/>
        <w:rPr>
          <w:rFonts w:ascii="Arial;sans-serif" w:hAnsi="Arial;sans-serif"/>
          <w:b w:val="false"/>
          <w:color w:val="000000"/>
          <w:sz w:val="24"/>
        </w:rPr>
      </w:pPr>
      <w:r>
        <w:rPr>
          <w:rFonts w:ascii="Arial;sans-serif" w:hAnsi="Arial;sans-serif"/>
          <w:b w:val="false"/>
          <w:color w:val="000000"/>
          <w:sz w:val="24"/>
        </w:rPr>
        <w:t>It is the Company’s objective to comply with all securities laws.</w:t>
      </w:r>
    </w:p>
    <w:p>
      <w:pPr>
        <w:pStyle w:val="TextBody"/>
        <w:bidi w:val="0"/>
        <w:spacing w:before="24" w:after="283"/>
        <w:jc w:val="left"/>
        <w:rPr/>
      </w:pPr>
      <w:r>
        <w:rPr/>
      </w:r>
    </w:p>
    <w:p>
      <w:pPr>
        <w:pStyle w:val="TextBody"/>
        <w:bidi w:val="0"/>
        <w:spacing w:lineRule="auto" w:line="288" w:before="0" w:after="0"/>
        <w:ind w:left="0" w:right="0" w:hanging="510"/>
        <w:jc w:val="left"/>
        <w:rPr>
          <w:rFonts w:ascii="Arial;sans-serif" w:hAnsi="Arial;sans-serif"/>
          <w:b/>
          <w:color w:val="000000"/>
          <w:sz w:val="40"/>
        </w:rPr>
      </w:pPr>
      <w:r>
        <w:rPr>
          <w:rFonts w:ascii="Arial;sans-serif" w:hAnsi="Arial;sans-serif"/>
          <w:b/>
          <w:color w:val="000000"/>
          <w:sz w:val="40"/>
        </w:rPr>
        <w:t>A.PENALTIES FOR NONCOMPLIANCE</w:t>
      </w:r>
    </w:p>
    <w:p>
      <w:pPr>
        <w:pStyle w:val="TextBody"/>
        <w:bidi w:val="0"/>
        <w:spacing w:lineRule="auto" w:line="288" w:before="280" w:after="283"/>
        <w:jc w:val="both"/>
        <w:rPr>
          <w:rFonts w:ascii="Arial;sans-serif" w:hAnsi="Arial;sans-serif"/>
          <w:b w:val="false"/>
          <w:color w:val="000000"/>
          <w:sz w:val="24"/>
        </w:rPr>
      </w:pPr>
      <w:r>
        <w:rPr>
          <w:rFonts w:ascii="Arial;sans-serif" w:hAnsi="Arial;sans-serif"/>
          <w:b w:val="false"/>
          <w:color w:val="000000"/>
          <w:sz w:val="24"/>
        </w:rPr>
        <w:t xml:space="preserve">Under some circumstances, federal securities laws impose substantial civil and criminal penalties on persons who purchase or sell securities while they possess Material Nonpublic Information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47395"/>
                <wp:effectExtent l="0" t="0" r="0" b="0"/>
                <wp:wrapNone/>
                <wp:docPr id="160" name="Frame15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lineRule="auto" w:line="288" w:before="280" w:after="283"/>
        <w:jc w:val="both"/>
        <w:rPr>
          <w:rFonts w:ascii="Arial;sans-serif" w:hAnsi="Arial;sans-serif"/>
          <w:b w:val="false"/>
          <w:color w:val="000000"/>
          <w:sz w:val="24"/>
        </w:rPr>
      </w:pPr>
      <w:r>
        <w:rPr>
          <w:rFonts w:ascii="Arial;sans-serif" w:hAnsi="Arial;sans-serif"/>
          <w:b w:val="false"/>
          <w:color w:val="000000"/>
          <w:sz w:val="24"/>
        </w:rPr>
        <w:t>about the issuer of the securities or the market for the securities. Persons who provide Material Nonpublic</w:t>
      </w:r>
    </w:p>
    <w:p>
      <w:pPr>
        <w:pStyle w:val="TextBody"/>
        <w:bidi w:val="0"/>
        <w:spacing w:before="0" w:after="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47395"/>
                <wp:effectExtent l="0" t="0" r="0" b="0"/>
                <wp:wrapNone/>
                <wp:docPr id="161" name="Frame15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before="0" w:after="0"/>
        <w:jc w:val="both"/>
        <w:rPr/>
      </w:pPr>
      <w:r>
        <w:rPr/>
      </w:r>
    </w:p>
    <w:p>
      <w:pPr>
        <w:pStyle w:val="TextBody"/>
        <w:bidi w:val="0"/>
        <w:spacing w:lineRule="auto" w:line="288" w:before="69" w:after="283"/>
        <w:jc w:val="left"/>
        <w:rPr>
          <w:rFonts w:ascii="Arial;sans-serif" w:hAnsi="Arial;sans-serif"/>
          <w:b w:val="false"/>
          <w:color w:val="000000"/>
          <w:sz w:val="24"/>
        </w:rPr>
      </w:pPr>
      <w:r>
        <w:rPr>
          <w:rFonts w:ascii="Arial;sans-serif" w:hAnsi="Arial;sans-serif"/>
          <w:b w:val="false"/>
          <w:color w:val="000000"/>
          <w:sz w:val="24"/>
        </w:rPr>
        <w:t>Information to another person who then purchases or sells the securities are subject to the same penalties.</w:t>
      </w:r>
    </w:p>
    <w:p>
      <w:pPr>
        <w:pStyle w:val="TextBody"/>
        <w:bidi w:val="0"/>
        <w:spacing w:before="3" w:after="283"/>
        <w:jc w:val="left"/>
        <w:rPr/>
      </w:pPr>
      <w:r>
        <w:rPr/>
      </w:r>
    </w:p>
    <w:p>
      <w:pPr>
        <w:pStyle w:val="TextBody"/>
        <w:bidi w:val="0"/>
        <w:spacing w:lineRule="auto" w:line="288" w:before="1" w:after="283"/>
        <w:ind w:left="0" w:right="0" w:hanging="360"/>
        <w:jc w:val="both"/>
        <w:rPr/>
      </w:pPr>
      <w:r>
        <w:rPr>
          <w:rFonts w:ascii="Arial;sans-serif" w:hAnsi="Arial;sans-serif"/>
          <w:b w:val="false"/>
          <w:color w:val="000000"/>
          <w:sz w:val="24"/>
        </w:rPr>
        <w:t>1.</w:t>
      </w:r>
      <w:r>
        <w:rPr>
          <w:rFonts w:ascii="Arial;sans-serif" w:hAnsi="Arial;sans-serif"/>
          <w:b w:val="false"/>
          <w:color w:val="000000"/>
          <w:sz w:val="24"/>
          <w:u w:val="single"/>
        </w:rPr>
        <w:t>Civil and Criminal Penalties</w:t>
      </w:r>
      <w:r>
        <w:rPr>
          <w:rFonts w:ascii="Arial;sans-serif" w:hAnsi="Arial;sans-serif"/>
          <w:b w:val="false"/>
          <w:color w:val="000000"/>
          <w:sz w:val="24"/>
        </w:rPr>
        <w:t>. Potential penalties for engaging in insider trading or tipping include (a) imprisonment for up to 20 years, (b) criminal fines of up to $5 million (or $25 million for entities), and (c) civil fines of up to three times the profit gained or loss avoided.</w:t>
      </w:r>
    </w:p>
    <w:p>
      <w:pPr>
        <w:pStyle w:val="TextBody"/>
        <w:bidi w:val="0"/>
        <w:spacing w:lineRule="auto" w:line="288" w:before="0" w:after="0"/>
        <w:ind w:left="0" w:right="0" w:hanging="360"/>
        <w:jc w:val="both"/>
        <w:rPr/>
      </w:pPr>
      <w:r>
        <w:rPr>
          <w:rFonts w:ascii="Arial;sans-serif" w:hAnsi="Arial;sans-serif"/>
          <w:b w:val="false"/>
          <w:color w:val="000000"/>
          <w:sz w:val="24"/>
        </w:rPr>
        <w:t>2.</w:t>
      </w:r>
      <w:r>
        <w:rPr>
          <w:rFonts w:ascii="Arial;sans-serif" w:hAnsi="Arial;sans-serif"/>
          <w:b w:val="false"/>
          <w:color w:val="000000"/>
          <w:sz w:val="24"/>
          <w:u w:val="single"/>
        </w:rPr>
        <w:t>Controlling Person Liability</w:t>
      </w:r>
      <w:r>
        <w:rPr>
          <w:rFonts w:ascii="Arial;sans-serif" w:hAnsi="Arial;sans-serif"/>
          <w:b w:val="false"/>
          <w:color w:val="000000"/>
          <w:sz w:val="24"/>
        </w:rPr>
        <w:t>. If the Company fails to take appropriate steps to prevent illegal insider trading, the Company may have “controlling person” liability for a trading violation, with civil penalties of up to the greater of (a) $1 million and (b) three times the profit gained or loss avoided, as well as a criminal penalty of up to $25 million. The civil penalties can extend personal liability to the Company’s directors, officers and other supervisory personnel if they fail to take appropriate steps to prevent insider trading.</w:t>
      </w:r>
    </w:p>
    <w:p>
      <w:pPr>
        <w:pStyle w:val="TextBody"/>
        <w:bidi w:val="0"/>
        <w:spacing w:lineRule="auto" w:line="288" w:before="0" w:after="0"/>
        <w:ind w:left="0" w:right="0" w:hanging="360"/>
        <w:jc w:val="both"/>
        <w:rPr/>
      </w:pPr>
      <w:r>
        <w:rPr>
          <w:rFonts w:ascii="Arial;sans-serif" w:hAnsi="Arial;sans-serif"/>
          <w:b w:val="false"/>
          <w:color w:val="000000"/>
          <w:sz w:val="24"/>
        </w:rPr>
        <w:t>3.</w:t>
      </w:r>
      <w:r>
        <w:rPr>
          <w:rFonts w:ascii="Arial;sans-serif" w:hAnsi="Arial;sans-serif"/>
          <w:b w:val="false"/>
          <w:color w:val="000000"/>
          <w:sz w:val="24"/>
          <w:u w:val="single"/>
        </w:rPr>
        <w:t>Disciplinary Action</w:t>
      </w:r>
      <w:r>
        <w:rPr>
          <w:rFonts w:ascii="Arial;sans-serif" w:hAnsi="Arial;sans-serif"/>
          <w:b w:val="false"/>
          <w:color w:val="000000"/>
          <w:sz w:val="24"/>
        </w:rPr>
        <w:t>. Failure to comply with this Policy Statement may also subject you to Company-imposed sanctions, including dismissal for cause, whether or not your failure to comply with this Policy Statement results in a violation of law.</w:t>
      </w:r>
    </w:p>
    <w:p>
      <w:pPr>
        <w:pStyle w:val="TextBody"/>
        <w:bidi w:val="0"/>
        <w:spacing w:before="24" w:after="283"/>
        <w:jc w:val="left"/>
        <w:rPr/>
      </w:pPr>
      <w:r>
        <w:rPr/>
      </w:r>
    </w:p>
    <w:p>
      <w:pPr>
        <w:pStyle w:val="TextBody"/>
        <w:bidi w:val="0"/>
        <w:spacing w:lineRule="auto" w:line="288" w:before="0" w:after="0"/>
        <w:ind w:left="0" w:right="0" w:hanging="511"/>
        <w:jc w:val="both"/>
        <w:rPr>
          <w:rFonts w:ascii="Arial;sans-serif" w:hAnsi="Arial;sans-serif"/>
          <w:b/>
          <w:color w:val="000000"/>
          <w:sz w:val="40"/>
        </w:rPr>
      </w:pPr>
      <w:r>
        <w:rPr>
          <w:rFonts w:ascii="Arial;sans-serif" w:hAnsi="Arial;sans-serif"/>
          <w:b/>
          <w:color w:val="000000"/>
          <w:sz w:val="40"/>
        </w:rPr>
        <w:t>B.SCOPE OF POLICY</w:t>
      </w:r>
    </w:p>
    <w:p>
      <w:pPr>
        <w:pStyle w:val="TextBody"/>
        <w:bidi w:val="0"/>
        <w:spacing w:lineRule="auto" w:line="288" w:before="279" w:after="283"/>
        <w:jc w:val="both"/>
        <w:rPr/>
      </w:pPr>
      <w:r>
        <w:rPr>
          <w:rFonts w:ascii="Arial;sans-serif" w:hAnsi="Arial;sans-serif"/>
          <w:b w:val="false"/>
          <w:color w:val="000000"/>
          <w:sz w:val="24"/>
        </w:rPr>
        <w:t>1.</w:t>
      </w:r>
      <w:r>
        <w:rPr>
          <w:rFonts w:ascii="Arial;sans-serif" w:hAnsi="Arial;sans-serif"/>
          <w:b w:val="false"/>
          <w:color w:val="000000"/>
          <w:sz w:val="24"/>
          <w:u w:val="single"/>
        </w:rPr>
        <w:t>Persons Covered</w:t>
      </w:r>
      <w:r>
        <w:rPr>
          <w:rFonts w:ascii="Arial;sans-serif" w:hAnsi="Arial;sans-serif"/>
          <w:b w:val="false"/>
          <w:color w:val="000000"/>
          <w:sz w:val="24"/>
        </w:rPr>
        <w:t>. As an officer, director, employee, agent or consultant of the Company, this Policy Statement applies to you. The same restrictions that apply to you apply to your family members who reside with you (including a spouse, child, a child away at college, stepchildren, grandchildren, parents, siblings and in-laws), anyone else who lives in your household and any family members who do not live in your household but whose transactions in Company Securities are directed by you or are subject to your influence or control – such as parents or children who consult with you before they trade in Company Securities (collectively referred to as “</w:t>
      </w:r>
      <w:r>
        <w:rPr>
          <w:rFonts w:ascii="Arial;sans-serif" w:hAnsi="Arial;sans-serif"/>
          <w:b/>
          <w:i/>
          <w:color w:val="000000"/>
          <w:sz w:val="24"/>
        </w:rPr>
        <w:t>Family Members</w:t>
      </w:r>
      <w:r>
        <w:rPr>
          <w:color w:val="000000"/>
        </w:rPr>
        <w:t>”</w:t>
      </w:r>
      <w:r>
        <w:rPr>
          <w:rFonts w:ascii="Arial;sans-serif" w:hAnsi="Arial;sans-serif"/>
          <w:b w:val="false"/>
          <w:color w:val="000000"/>
          <w:sz w:val="24"/>
        </w:rPr>
        <w:t>). You are responsible for making sure that the purchase or sale of any security covered by this Policy Statement by any such person complies with this Policy Statement and therefore should make them aware of the need to confer with you before they trade in Company Securities, and you should treat all such transactions for the purposes of this Policy Statement and applicable securities laws as if the transactions were for your own account. This Policy Statement also applies to any entities that you influence or control, including any corporations, partnerships or trusts (collectively referred to as “</w:t>
      </w:r>
      <w:r>
        <w:rPr>
          <w:rFonts w:ascii="Arial;sans-serif" w:hAnsi="Arial;sans-serif"/>
          <w:b/>
          <w:i/>
          <w:color w:val="000000"/>
          <w:sz w:val="24"/>
        </w:rPr>
        <w:t>Controlled Entities</w:t>
      </w:r>
      <w:r>
        <w:rPr>
          <w:color w:val="000000"/>
        </w:rPr>
        <w:t>”</w:t>
      </w:r>
      <w:r>
        <w:rPr>
          <w:rFonts w:ascii="Arial;sans-serif" w:hAnsi="Arial;sans-serif"/>
          <w:b w:val="false"/>
          <w:color w:val="000000"/>
          <w:sz w:val="24"/>
        </w:rPr>
        <w:t>), and transactions by these Controlled Entities should be treated for the purposes of this Policy Statement and applicable securities laws as if they were for your own account.</w:t>
      </w:r>
    </w:p>
    <w:p>
      <w:pPr>
        <w:pStyle w:val="TextBody"/>
        <w:bidi w:val="0"/>
        <w:spacing w:before="4" w:after="283"/>
        <w:jc w:val="left"/>
        <w:rPr/>
      </w:pPr>
      <w:r>
        <w:rPr/>
      </w:r>
    </w:p>
    <w:p>
      <w:pPr>
        <w:pStyle w:val="TextBody"/>
        <w:bidi w:val="0"/>
        <w:spacing w:lineRule="auto" w:line="288" w:before="0" w:after="0"/>
        <w:jc w:val="both"/>
        <w:rPr/>
      </w:pPr>
      <w:r>
        <w:rPr>
          <w:rFonts w:ascii="Arial;sans-serif" w:hAnsi="Arial;sans-serif"/>
          <w:b w:val="false"/>
          <w:color w:val="000000"/>
          <w:sz w:val="24"/>
        </w:rPr>
        <w:t>2.</w:t>
      </w:r>
      <w:r>
        <w:rPr>
          <w:rFonts w:ascii="Arial;sans-serif" w:hAnsi="Arial;sans-serif"/>
          <w:b w:val="false"/>
          <w:color w:val="000000"/>
          <w:sz w:val="24"/>
          <w:u w:val="single"/>
        </w:rPr>
        <w:t>Companies Covered</w:t>
      </w:r>
      <w:r>
        <w:rPr>
          <w:rFonts w:ascii="Arial;sans-serif" w:hAnsi="Arial;sans-serif"/>
          <w:b w:val="false"/>
          <w:color w:val="000000"/>
          <w:sz w:val="24"/>
        </w:rPr>
        <w:t>. The prohibition on insider trading in this Policy Statement is not limited to trading in Company Securities. It includes trading in the securities of other companies based on your access to Material Nonpublic Information during the course of your employment at the Company, such as companies with which the Company (a) may be negotiating a major transaction, such as an acquisition, investment or sale or (b) may have a proposed, present or past lending relationship. Information that is not material to the Company may nevertheless be material to one of those other companies.</w:t>
      </w:r>
    </w:p>
    <w:p>
      <w:pPr>
        <w:pStyle w:val="TextBody"/>
        <w:bidi w:val="0"/>
        <w:spacing w:before="5" w:after="283"/>
        <w:jc w:val="left"/>
        <w:rPr/>
      </w:pPr>
      <w:r>
        <w:rPr/>
      </w:r>
    </w:p>
    <w:p>
      <w:pPr>
        <w:pStyle w:val="TextBody"/>
        <w:bidi w:val="0"/>
        <w:spacing w:lineRule="auto" w:line="288" w:before="0" w:after="0"/>
        <w:jc w:val="both"/>
        <w:rPr/>
      </w:pPr>
      <w:r>
        <w:rPr>
          <w:rFonts w:ascii="Arial;sans-serif" w:hAnsi="Arial;sans-serif"/>
          <w:b w:val="false"/>
          <w:color w:val="000000"/>
          <w:sz w:val="24"/>
        </w:rPr>
        <w:t>3.</w:t>
      </w:r>
      <w:r>
        <w:rPr>
          <w:rFonts w:ascii="Arial;sans-serif" w:hAnsi="Arial;sans-serif"/>
          <w:b w:val="false"/>
          <w:color w:val="000000"/>
          <w:sz w:val="24"/>
          <w:u w:val="single"/>
        </w:rPr>
        <w:t>Transactions Covered</w:t>
      </w:r>
      <w:r>
        <w:rPr>
          <w:rFonts w:ascii="Arial;sans-serif" w:hAnsi="Arial;sans-serif"/>
          <w:b w:val="false"/>
          <w:color w:val="000000"/>
          <w:sz w:val="24"/>
        </w:rPr>
        <w:t xml:space="preserve">. Transactions include gifts and purchases and sales of stock, derivative securities such as any swaps or options (including puts and calls), warrants, preferred stock and debt securities (debentures, bonds and notes), convertible securities, options to </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47395"/>
                <wp:effectExtent l="0" t="0" r="0" b="0"/>
                <wp:wrapNone/>
                <wp:docPr id="162" name="Frame16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lineRule="auto" w:line="288" w:before="0" w:after="0"/>
        <w:jc w:val="both"/>
        <w:rPr/>
      </w:pPr>
      <w:r>
        <w:rPr>
          <w:rFonts w:ascii="Arial;sans-serif" w:hAnsi="Arial;sans-serif"/>
          <w:b w:val="false"/>
          <w:color w:val="000000"/>
          <w:sz w:val="24"/>
        </w:rPr>
        <w:t>purchase stock, units, or any other type of securities that may be issued by Amalgamated Financial Corp. (collectively, “</w:t>
      </w:r>
      <w:r>
        <w:rPr>
          <w:rFonts w:ascii="Arial;sans-serif" w:hAnsi="Arial;sans-serif"/>
          <w:b/>
          <w:i/>
          <w:color w:val="000000"/>
          <w:sz w:val="24"/>
        </w:rPr>
        <w:t>Company Securities</w:t>
      </w:r>
      <w:r>
        <w:rPr>
          <w:color w:val="000000"/>
        </w:rPr>
        <w:t>”</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47395"/>
                <wp:effectExtent l="0" t="0" r="0" b="0"/>
                <wp:wrapNone/>
                <wp:docPr id="163" name="Frame16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lineRule="auto" w:line="288" w:before="69" w:after="283"/>
        <w:ind w:left="0" w:right="0" w:hanging="510"/>
        <w:jc w:val="left"/>
        <w:rPr>
          <w:rFonts w:ascii="Arial;sans-serif" w:hAnsi="Arial;sans-serif"/>
          <w:b/>
          <w:color w:val="000000"/>
          <w:sz w:val="40"/>
        </w:rPr>
      </w:pPr>
      <w:r>
        <w:rPr>
          <w:rFonts w:ascii="Arial;sans-serif" w:hAnsi="Arial;sans-serif"/>
          <w:b/>
          <w:color w:val="000000"/>
          <w:sz w:val="40"/>
        </w:rPr>
        <w:t>C.STATEMENT OF POLICY</w:t>
      </w:r>
    </w:p>
    <w:p>
      <w:pPr>
        <w:pStyle w:val="TextBody"/>
        <w:bidi w:val="0"/>
        <w:spacing w:lineRule="auto" w:line="288" w:before="279" w:after="283"/>
        <w:ind w:left="0" w:right="0" w:hanging="265"/>
        <w:jc w:val="left"/>
        <w:rPr/>
      </w:pPr>
      <w:r>
        <w:rPr>
          <w:rFonts w:ascii="Arial;sans-serif" w:hAnsi="Arial;sans-serif"/>
          <w:b w:val="false"/>
          <w:color w:val="000000"/>
          <w:sz w:val="24"/>
        </w:rPr>
        <w:t>1.</w:t>
      </w:r>
      <w:r>
        <w:rPr>
          <w:rFonts w:ascii="Arial;sans-serif" w:hAnsi="Arial;sans-serif"/>
          <w:b w:val="false"/>
          <w:color w:val="000000"/>
          <w:sz w:val="24"/>
          <w:u w:val="single"/>
        </w:rPr>
        <w:t>No Trading on Inside Information</w:t>
      </w:r>
      <w:r>
        <w:rPr>
          <w:rFonts w:ascii="Arial;sans-serif" w:hAnsi="Arial;sans-serif"/>
          <w:b w:val="false"/>
          <w:color w:val="000000"/>
          <w:sz w:val="24"/>
        </w:rPr>
        <w:t>.</w:t>
      </w:r>
    </w:p>
    <w:p>
      <w:pPr>
        <w:pStyle w:val="TextBody"/>
        <w:bidi w:val="0"/>
        <w:spacing w:before="5" w:after="283"/>
        <w:jc w:val="left"/>
        <w:rPr/>
      </w:pPr>
      <w:r>
        <w:rPr/>
      </w:r>
    </w:p>
    <w:p>
      <w:pPr>
        <w:pStyle w:val="TextBody"/>
        <w:bidi w:val="0"/>
        <w:spacing w:lineRule="auto" w:line="288" w:before="0" w:after="0"/>
        <w:jc w:val="both"/>
        <w:rPr/>
      </w:pPr>
      <w:r>
        <w:rPr>
          <w:rFonts w:ascii="Arial;sans-serif" w:hAnsi="Arial;sans-serif"/>
          <w:b w:val="false"/>
          <w:color w:val="000000"/>
          <w:sz w:val="24"/>
        </w:rPr>
        <w:t>(a)</w:t>
      </w:r>
      <w:r>
        <w:rPr>
          <w:rFonts w:ascii="Arial;sans-serif" w:hAnsi="Arial;sans-serif"/>
          <w:b w:val="false"/>
          <w:i/>
          <w:color w:val="000000"/>
          <w:sz w:val="24"/>
        </w:rPr>
        <w:t xml:space="preserve">Company Securities. </w:t>
      </w:r>
      <w:r>
        <w:rPr>
          <w:rFonts w:ascii="Arial;sans-serif" w:hAnsi="Arial;sans-serif"/>
          <w:b w:val="false"/>
          <w:color w:val="000000"/>
          <w:sz w:val="24"/>
        </w:rPr>
        <w:t>If you have access to Material Nonpublic Information regarding the Company, you are prohibited from trading in any Company Securities, directly or through family members or other persons or entities, until the information has been released to the public. Company Personnel having access to Material Nonpublic Information regarding the Company must consult with the Company’s Chief Legal Officer, who will serve as the “</w:t>
      </w:r>
      <w:r>
        <w:rPr>
          <w:rFonts w:ascii="Arial;sans-serif" w:hAnsi="Arial;sans-serif"/>
          <w:b/>
          <w:i/>
          <w:color w:val="000000"/>
          <w:sz w:val="24"/>
        </w:rPr>
        <w:t>Securities Compliance Officer</w:t>
      </w:r>
      <w:r>
        <w:rPr>
          <w:color w:val="000000"/>
        </w:rPr>
        <w:t xml:space="preserve">” </w:t>
      </w:r>
      <w:r>
        <w:rPr>
          <w:rFonts w:ascii="Arial;sans-serif" w:hAnsi="Arial;sans-serif"/>
          <w:b w:val="false"/>
          <w:color w:val="000000"/>
          <w:sz w:val="24"/>
        </w:rPr>
        <w:t>for purposes of this Policy Statement (who will consult with the Company’s securities counsel if necessary), and in the Chief Legal Officer’s absence, the Chief Executive Officer or another executive officer designated by the Securities Compliance Officer, before executing any trade of Company Securities. Among the factors that the Securities Compliance Officer will consider, with counsel if appropriate, is whether Material Nonpublic Information regarding the Company has not yet been announced, the amount of time that has passed since the announcement of material information about the Company, and the timing of the proposed trade compared with the Company’s financial reporting cycle.</w:t>
      </w:r>
    </w:p>
    <w:p>
      <w:pPr>
        <w:pStyle w:val="TextBody"/>
        <w:bidi w:val="0"/>
        <w:spacing w:before="4" w:after="283"/>
        <w:jc w:val="left"/>
        <w:rPr/>
      </w:pPr>
      <w:r>
        <w:rPr/>
      </w:r>
    </w:p>
    <w:p>
      <w:pPr>
        <w:pStyle w:val="TextBody"/>
        <w:bidi w:val="0"/>
        <w:spacing w:lineRule="auto" w:line="288" w:before="0" w:after="0"/>
        <w:jc w:val="both"/>
        <w:rPr/>
      </w:pPr>
      <w:r>
        <w:rPr>
          <w:rFonts w:ascii="Arial;sans-serif" w:hAnsi="Arial;sans-serif"/>
          <w:b w:val="false"/>
          <w:color w:val="000000"/>
          <w:sz w:val="24"/>
        </w:rPr>
        <w:t>(b)</w:t>
      </w:r>
      <w:r>
        <w:rPr>
          <w:rFonts w:ascii="Arial;sans-serif" w:hAnsi="Arial;sans-serif"/>
          <w:b w:val="false"/>
          <w:i/>
          <w:color w:val="000000"/>
          <w:sz w:val="24"/>
        </w:rPr>
        <w:t xml:space="preserve">Securities of Other Companies. </w:t>
      </w:r>
      <w:r>
        <w:rPr>
          <w:rFonts w:ascii="Arial;sans-serif" w:hAnsi="Arial;sans-serif"/>
          <w:b w:val="false"/>
          <w:color w:val="000000"/>
          <w:sz w:val="24"/>
        </w:rPr>
        <w:t>If you, in the course of your employment or other association with the Company, have access to confidential information or Material Nonpublic Information about other companies, you must observe the same restrictions with respect to that information and with respect to trading in the securities of those companies as you do with respect to trading in Company Securities.</w:t>
      </w:r>
    </w:p>
    <w:p>
      <w:pPr>
        <w:pStyle w:val="TextBody"/>
        <w:bidi w:val="0"/>
        <w:spacing w:before="4" w:after="283"/>
        <w:jc w:val="left"/>
        <w:rPr/>
      </w:pPr>
      <w:r>
        <w:rPr/>
      </w:r>
    </w:p>
    <w:p>
      <w:pPr>
        <w:pStyle w:val="TextBody"/>
        <w:bidi w:val="0"/>
        <w:spacing w:lineRule="auto" w:line="288" w:before="0" w:after="0"/>
        <w:jc w:val="both"/>
        <w:rPr/>
      </w:pPr>
      <w:r>
        <w:rPr>
          <w:rFonts w:ascii="Arial;sans-serif" w:hAnsi="Arial;sans-serif"/>
          <w:b w:val="false"/>
          <w:color w:val="000000"/>
          <w:sz w:val="24"/>
        </w:rPr>
        <w:t>2.</w:t>
      </w:r>
      <w:r>
        <w:rPr>
          <w:rFonts w:ascii="Arial;sans-serif" w:hAnsi="Arial;sans-serif"/>
          <w:b w:val="false"/>
          <w:color w:val="000000"/>
          <w:sz w:val="24"/>
          <w:u w:val="single"/>
        </w:rPr>
        <w:t>No “Tipping.</w:t>
      </w:r>
      <w:r>
        <w:rPr>
          <w:color w:val="000000"/>
        </w:rPr>
        <w:t xml:space="preserve">” </w:t>
      </w:r>
      <w:r>
        <w:rPr>
          <w:rFonts w:ascii="Arial;sans-serif" w:hAnsi="Arial;sans-serif"/>
          <w:b w:val="false"/>
          <w:color w:val="000000"/>
          <w:sz w:val="24"/>
        </w:rPr>
        <w:t>You may not pass Material Nonpublic Information on to others or recommend to anyone the purchase or sale of any securities when you are aware of such information. This practice, known as “tipping,” also violates the securities laws and can result in the same civil and criminal penalties that apply to insider trading, even though you did not trade and did not gain any benefit from another’s trading.</w:t>
      </w:r>
    </w:p>
    <w:p>
      <w:pPr>
        <w:pStyle w:val="TextBody"/>
        <w:bidi w:val="0"/>
        <w:spacing w:before="3" w:after="283"/>
        <w:jc w:val="left"/>
        <w:rPr/>
      </w:pPr>
      <w:r>
        <w:rPr/>
      </w:r>
    </w:p>
    <w:p>
      <w:pPr>
        <w:pStyle w:val="TextBody"/>
        <w:bidi w:val="0"/>
        <w:spacing w:lineRule="auto" w:line="288" w:before="0" w:after="0"/>
        <w:jc w:val="both"/>
        <w:rPr/>
      </w:pPr>
      <w:r>
        <w:rPr>
          <w:rFonts w:ascii="Arial;sans-serif" w:hAnsi="Arial;sans-serif"/>
          <w:b w:val="false"/>
          <w:color w:val="000000"/>
          <w:sz w:val="24"/>
        </w:rPr>
        <w:t>3.</w:t>
      </w:r>
      <w:r>
        <w:rPr>
          <w:rFonts w:ascii="Arial;sans-serif" w:hAnsi="Arial;sans-serif"/>
          <w:b w:val="false"/>
          <w:color w:val="000000"/>
          <w:sz w:val="24"/>
          <w:u w:val="single"/>
        </w:rPr>
        <w:t>No Exception for Hardship</w:t>
      </w:r>
      <w:r>
        <w:rPr>
          <w:rFonts w:ascii="Arial;sans-serif" w:hAnsi="Arial;sans-serif"/>
          <w:b w:val="false"/>
          <w:color w:val="000000"/>
          <w:sz w:val="24"/>
        </w:rPr>
        <w:t>. The existence of a personal financial emergency does not excuse you from compliance with this Policy Statement.</w:t>
      </w:r>
    </w:p>
    <w:p>
      <w:pPr>
        <w:pStyle w:val="TextBody"/>
        <w:bidi w:val="0"/>
        <w:spacing w:before="5" w:after="283"/>
        <w:jc w:val="left"/>
        <w:rPr/>
      </w:pPr>
      <w:r>
        <w:rPr/>
      </w:r>
    </w:p>
    <w:p>
      <w:pPr>
        <w:pStyle w:val="TextBody"/>
        <w:bidi w:val="0"/>
        <w:spacing w:lineRule="auto" w:line="288" w:before="0" w:after="0"/>
        <w:jc w:val="both"/>
        <w:rPr/>
      </w:pPr>
      <w:r>
        <w:rPr>
          <w:rFonts w:ascii="Arial;sans-serif" w:hAnsi="Arial;sans-serif"/>
          <w:b w:val="false"/>
          <w:color w:val="000000"/>
          <w:sz w:val="24"/>
        </w:rPr>
        <w:t>4.</w:t>
      </w:r>
      <w:r>
        <w:rPr>
          <w:rFonts w:ascii="Arial;sans-serif" w:hAnsi="Arial;sans-serif"/>
          <w:b w:val="false"/>
          <w:color w:val="000000"/>
          <w:sz w:val="24"/>
          <w:u w:val="single"/>
        </w:rPr>
        <w:t>Blackout and Pre-Clearance Procedures</w:t>
      </w:r>
      <w:r>
        <w:rPr>
          <w:rFonts w:ascii="Arial;sans-serif" w:hAnsi="Arial;sans-serif"/>
          <w:b w:val="false"/>
          <w:color w:val="000000"/>
          <w:sz w:val="24"/>
        </w:rPr>
        <w:t>. To help prevent inadvertent violations of the federal securities laws and to avoid even the appearance of trading on the basis of Material Nonpublic Information, the Company’s Board of Directors has adopted an addendum to this Policy Statement (the “</w:t>
      </w:r>
      <w:r>
        <w:rPr>
          <w:rFonts w:ascii="Arial;sans-serif" w:hAnsi="Arial;sans-serif"/>
          <w:b/>
          <w:i/>
          <w:color w:val="000000"/>
          <w:sz w:val="24"/>
        </w:rPr>
        <w:t>Addendum</w:t>
      </w:r>
      <w:r>
        <w:rPr>
          <w:color w:val="000000"/>
        </w:rPr>
        <w:t>”</w:t>
      </w:r>
      <w:r>
        <w:rPr>
          <w:rFonts w:ascii="Arial;sans-serif" w:hAnsi="Arial;sans-serif"/>
          <w:b w:val="false"/>
          <w:color w:val="000000"/>
          <w:sz w:val="24"/>
        </w:rPr>
        <w:t>) that applies to directors, executive officers subject to Section 16 of the Securities Exchange Act of 1934, as amended (“</w:t>
      </w:r>
      <w:r>
        <w:rPr>
          <w:rFonts w:ascii="Arial;sans-serif" w:hAnsi="Arial;sans-serif"/>
          <w:b/>
          <w:i/>
          <w:color w:val="000000"/>
          <w:sz w:val="24"/>
        </w:rPr>
        <w:t>executive officers</w:t>
      </w:r>
      <w:r>
        <w:rPr>
          <w:color w:val="000000"/>
        </w:rPr>
        <w:t>”</w:t>
      </w:r>
      <w:r>
        <w:rPr>
          <w:rFonts w:ascii="Arial;sans-serif" w:hAnsi="Arial;sans-serif"/>
          <w:b w:val="false"/>
          <w:color w:val="000000"/>
          <w:sz w:val="24"/>
        </w:rPr>
        <w:t>), and certain designated employees and agents of the Company and its subsidiaries who have routine access to Material Nonpublic Information about the Company. The Company will notify you if you are subject to the Addendum.</w:t>
      </w:r>
    </w:p>
    <w:p>
      <w:pPr>
        <w:pStyle w:val="TextBody"/>
        <w:bidi w:val="0"/>
        <w:spacing w:before="4" w:after="283"/>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Addendum generally prohibits persons covered by it from trading in Company Securities during quarterly blackout periods (beginning 15 days before the end of a quarter and ending after the second full business day following the public announcement of the Company’s earnings for that quarter) and during certain event-specific blackouts. As more fully set forth in the Addendum, directors and executive officers of the Company must also pre-clear all transactions in Company Securities with the Securities Compliance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47395"/>
                <wp:effectExtent l="0" t="0" r="0" b="0"/>
                <wp:wrapNone/>
                <wp:docPr id="164" name="Frame16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before="24" w:after="283"/>
        <w:jc w:val="left"/>
        <w:rPr/>
      </w:pPr>
      <w:r>
        <w:rPr/>
      </w:r>
    </w:p>
    <w:p>
      <w:pPr>
        <w:pStyle w:val="TextBody"/>
        <w:bidi w:val="0"/>
        <w:spacing w:lineRule="auto" w:line="288" w:before="0" w:after="0"/>
        <w:ind w:left="0" w:right="0" w:hanging="495"/>
        <w:jc w:val="both"/>
        <w:rPr>
          <w:rFonts w:ascii="Arial;sans-serif" w:hAnsi="Arial;sans-serif"/>
          <w:b/>
          <w:color w:val="000000"/>
          <w:sz w:val="40"/>
        </w:rPr>
      </w:pPr>
      <w:r>
        <w:rPr>
          <w:rFonts w:ascii="Arial;sans-serif" w:hAnsi="Arial;sans-serif"/>
          <w:b/>
          <w:color w:val="000000"/>
          <w:sz w:val="40"/>
        </w:rPr>
        <w:t>D.ADDITIONAL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47395"/>
                <wp:effectExtent l="0" t="0" r="0" b="0"/>
                <wp:wrapNone/>
                <wp:docPr id="165" name="Frame16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lineRule="auto" w:line="288" w:before="69" w:after="283"/>
        <w:jc w:val="both"/>
        <w:rPr>
          <w:rFonts w:ascii="Arial;sans-serif" w:hAnsi="Arial;sans-serif"/>
          <w:b w:val="false"/>
          <w:color w:val="000000"/>
          <w:sz w:val="24"/>
        </w:rPr>
      </w:pPr>
      <w:r>
        <w:rPr>
          <w:rFonts w:ascii="Arial;sans-serif" w:hAnsi="Arial;sans-serif"/>
          <w:b w:val="false"/>
          <w:color w:val="000000"/>
          <w:sz w:val="24"/>
        </w:rPr>
        <w:t>The Company considers it improper and inappropriate for those employed by or associated with the Company to engage in short-term or speculative transactions in Company Securities or in other transactions in Company Securities that may lead to inadvertent violations of the insider trading laws. Accordingly, your trading in Company Securities is subject to the following additional guidance.</w:t>
      </w:r>
    </w:p>
    <w:p>
      <w:pPr>
        <w:pStyle w:val="TextBody"/>
        <w:bidi w:val="0"/>
        <w:spacing w:before="4" w:after="283"/>
        <w:jc w:val="left"/>
        <w:rPr/>
      </w:pPr>
      <w:r>
        <w:rPr/>
      </w:r>
    </w:p>
    <w:p>
      <w:pPr>
        <w:pStyle w:val="TextBody"/>
        <w:bidi w:val="0"/>
        <w:spacing w:lineRule="auto" w:line="288" w:before="0" w:after="0"/>
        <w:jc w:val="both"/>
        <w:rPr/>
      </w:pPr>
      <w:r>
        <w:rPr>
          <w:rFonts w:ascii="Arial;sans-serif" w:hAnsi="Arial;sans-serif"/>
          <w:b w:val="false"/>
          <w:color w:val="000000"/>
          <w:sz w:val="24"/>
        </w:rPr>
        <w:t>1.</w:t>
      </w:r>
      <w:r>
        <w:rPr>
          <w:rFonts w:ascii="Arial;sans-serif" w:hAnsi="Arial;sans-serif"/>
          <w:b w:val="false"/>
          <w:color w:val="000000"/>
          <w:sz w:val="24"/>
          <w:u w:val="single"/>
        </w:rPr>
        <w:t>Short Sales</w:t>
      </w:r>
      <w:r>
        <w:rPr>
          <w:rFonts w:ascii="Arial;sans-serif" w:hAnsi="Arial;sans-serif"/>
          <w:b w:val="false"/>
          <w:color w:val="000000"/>
          <w:sz w:val="24"/>
        </w:rPr>
        <w:t>. You may not engage in short sales of Company Securities (sales of securities that are not then owned), including a “sale against the box” (a sale with delayed delivery).</w:t>
      </w:r>
    </w:p>
    <w:p>
      <w:pPr>
        <w:pStyle w:val="TextBody"/>
        <w:bidi w:val="0"/>
        <w:spacing w:before="3" w:after="283"/>
        <w:jc w:val="left"/>
        <w:rPr/>
      </w:pPr>
      <w:r>
        <w:rPr/>
      </w:r>
    </w:p>
    <w:p>
      <w:pPr>
        <w:pStyle w:val="TextBody"/>
        <w:bidi w:val="0"/>
        <w:spacing w:lineRule="auto" w:line="288" w:before="0" w:after="0"/>
        <w:jc w:val="both"/>
        <w:rPr/>
      </w:pPr>
      <w:r>
        <w:rPr>
          <w:rFonts w:ascii="Arial;sans-serif" w:hAnsi="Arial;sans-serif"/>
          <w:b w:val="false"/>
          <w:color w:val="000000"/>
          <w:sz w:val="24"/>
        </w:rPr>
        <w:t>2.</w:t>
      </w:r>
      <w:r>
        <w:rPr>
          <w:rFonts w:ascii="Arial;sans-serif" w:hAnsi="Arial;sans-serif"/>
          <w:b w:val="false"/>
          <w:color w:val="000000"/>
          <w:sz w:val="24"/>
          <w:u w:val="single"/>
        </w:rPr>
        <w:t>Speculating</w:t>
      </w:r>
      <w:r>
        <w:rPr>
          <w:rFonts w:ascii="Arial;sans-serif" w:hAnsi="Arial;sans-serif"/>
          <w:b w:val="false"/>
          <w:color w:val="000000"/>
          <w:sz w:val="24"/>
        </w:rPr>
        <w:t>. You may not undertake speculating in Company Securities, which may include buying with the intention of quickly reselling such securities, or selling Company Securities with the intention of quickly buying such securities (other than in connection with the acquisition and sale of shares issued under the Company’s stock option plan or any other Company benefit plan or arrangement)</w:t>
      </w:r>
    </w:p>
    <w:p>
      <w:pPr>
        <w:pStyle w:val="TextBody"/>
        <w:bidi w:val="0"/>
        <w:spacing w:before="5" w:after="283"/>
        <w:jc w:val="left"/>
        <w:rPr/>
      </w:pPr>
      <w:r>
        <w:rPr/>
      </w:r>
    </w:p>
    <w:p>
      <w:pPr>
        <w:pStyle w:val="TextBody"/>
        <w:bidi w:val="0"/>
        <w:spacing w:lineRule="auto" w:line="288" w:before="0" w:after="0"/>
        <w:jc w:val="both"/>
        <w:rPr/>
      </w:pPr>
      <w:r>
        <w:rPr>
          <w:rFonts w:ascii="Arial;sans-serif" w:hAnsi="Arial;sans-serif"/>
          <w:b w:val="false"/>
          <w:color w:val="000000"/>
          <w:sz w:val="24"/>
        </w:rPr>
        <w:t>3.</w:t>
      </w:r>
      <w:r>
        <w:rPr>
          <w:rFonts w:ascii="Arial;sans-serif" w:hAnsi="Arial;sans-serif"/>
          <w:b w:val="false"/>
          <w:color w:val="000000"/>
          <w:sz w:val="24"/>
          <w:u w:val="single"/>
        </w:rPr>
        <w:t>Publicly Traded Options</w:t>
      </w:r>
      <w:r>
        <w:rPr>
          <w:rFonts w:ascii="Arial;sans-serif" w:hAnsi="Arial;sans-serif"/>
          <w:b w:val="false"/>
          <w:color w:val="000000"/>
          <w:sz w:val="24"/>
        </w:rPr>
        <w:t>. You may not engage in transactions in publicly traded options, such as puts, calls and other derivative securities, on an exchange or in any other organized market.</w:t>
      </w:r>
    </w:p>
    <w:p>
      <w:pPr>
        <w:pStyle w:val="TextBody"/>
        <w:bidi w:val="0"/>
        <w:spacing w:before="4" w:after="283"/>
        <w:jc w:val="left"/>
        <w:rPr/>
      </w:pPr>
      <w:r>
        <w:rPr/>
      </w:r>
    </w:p>
    <w:p>
      <w:pPr>
        <w:pStyle w:val="TextBody"/>
        <w:bidi w:val="0"/>
        <w:spacing w:lineRule="auto" w:line="288" w:before="0" w:after="0"/>
        <w:jc w:val="both"/>
        <w:rPr/>
      </w:pPr>
      <w:r>
        <w:rPr>
          <w:rFonts w:ascii="Arial;sans-serif" w:hAnsi="Arial;sans-serif"/>
          <w:b w:val="false"/>
          <w:color w:val="000000"/>
          <w:sz w:val="24"/>
        </w:rPr>
        <w:t>4.</w:t>
      </w:r>
      <w:r>
        <w:rPr>
          <w:rFonts w:ascii="Arial;sans-serif" w:hAnsi="Arial;sans-serif"/>
          <w:b w:val="false"/>
          <w:color w:val="000000"/>
          <w:sz w:val="24"/>
          <w:u w:val="single"/>
        </w:rPr>
        <w:t>Standing Orders</w:t>
      </w:r>
      <w:r>
        <w:rPr>
          <w:rFonts w:ascii="Arial;sans-serif" w:hAnsi="Arial;sans-serif"/>
          <w:b w:val="false"/>
          <w:color w:val="000000"/>
          <w:sz w:val="24"/>
        </w:rPr>
        <w:t>. Standing orders should be used only for a very brief period of time. A standing order placed with a broker to sell or purchase stock at a specified price leaves you with no control over the timing of the transaction. A standing order transaction executed by the broker when you are aware of Material Nonpublic Information may result in unlawful insider trading.</w:t>
      </w:r>
    </w:p>
    <w:p>
      <w:pPr>
        <w:pStyle w:val="TextBody"/>
        <w:bidi w:val="0"/>
        <w:spacing w:before="4" w:after="283"/>
        <w:jc w:val="left"/>
        <w:rPr/>
      </w:pPr>
      <w:r>
        <w:rPr/>
      </w:r>
    </w:p>
    <w:p>
      <w:pPr>
        <w:pStyle w:val="TextBody"/>
        <w:bidi w:val="0"/>
        <w:spacing w:lineRule="auto" w:line="288" w:before="0" w:after="0"/>
        <w:jc w:val="both"/>
        <w:rPr/>
      </w:pPr>
      <w:r>
        <w:rPr>
          <w:rFonts w:ascii="Arial;sans-serif" w:hAnsi="Arial;sans-serif"/>
          <w:b w:val="false"/>
          <w:color w:val="000000"/>
          <w:sz w:val="24"/>
        </w:rPr>
        <w:t>5.</w:t>
      </w:r>
      <w:r>
        <w:rPr>
          <w:rFonts w:ascii="Arial;sans-serif" w:hAnsi="Arial;sans-serif"/>
          <w:b w:val="false"/>
          <w:color w:val="000000"/>
          <w:sz w:val="24"/>
          <w:u w:val="single"/>
        </w:rPr>
        <w:t>Hedging Transactions.</w:t>
      </w:r>
      <w:r>
        <w:rPr>
          <w:color w:val="000000"/>
        </w:rPr>
        <w:t xml:space="preserve"> </w:t>
      </w:r>
      <w:r>
        <w:rPr>
          <w:rFonts w:ascii="Arial;sans-serif" w:hAnsi="Arial;sans-serif"/>
          <w:b w:val="false"/>
          <w:color w:val="000000"/>
          <w:sz w:val="24"/>
        </w:rPr>
        <w:t>Certain forms of hedging or monetization transactions, such as zero-cost collars and forward sale contracts, allow an employee or director to lock in much of the value of his or her stock holdings, often in exchange for all or part of the potential for upside appreciation in the stock. These transactions allow the employee or director to continue to own the covered securities, but without the full risks and rewards of ownership. When that occurs, the director or employee may no longer have the same objectives as the Company’s other shareholders. Therefore, directors and employees are prohibited from engaging in any hedging or monetization transactions involving Company Securities.</w:t>
      </w:r>
    </w:p>
    <w:p>
      <w:pPr>
        <w:pStyle w:val="TextBody"/>
        <w:bidi w:val="0"/>
        <w:spacing w:before="3" w:after="283"/>
        <w:jc w:val="left"/>
        <w:rPr/>
      </w:pPr>
      <w:r>
        <w:rPr/>
      </w:r>
    </w:p>
    <w:p>
      <w:pPr>
        <w:pStyle w:val="TextBody"/>
        <w:bidi w:val="0"/>
        <w:spacing w:lineRule="auto" w:line="288" w:before="1" w:after="283"/>
        <w:jc w:val="both"/>
        <w:rPr/>
      </w:pPr>
      <w:r>
        <w:rPr>
          <w:rFonts w:ascii="Arial;sans-serif" w:hAnsi="Arial;sans-serif"/>
          <w:b w:val="false"/>
          <w:color w:val="000000"/>
          <w:sz w:val="24"/>
        </w:rPr>
        <w:t>6.</w:t>
      </w:r>
      <w:r>
        <w:rPr>
          <w:rFonts w:ascii="Arial;sans-serif" w:hAnsi="Arial;sans-serif"/>
          <w:b w:val="false"/>
          <w:color w:val="000000"/>
          <w:sz w:val="24"/>
          <w:u w:val="single"/>
        </w:rPr>
        <w:t>Margin Accounts and Pledges</w:t>
      </w:r>
      <w:r>
        <w:rPr>
          <w:rFonts w:ascii="Arial;sans-serif" w:hAnsi="Arial;sans-serif"/>
          <w:b w:val="false"/>
          <w:color w:val="000000"/>
          <w:sz w:val="24"/>
        </w:rPr>
        <w:t>. 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are not permitted to trade in Company Securities, you are prohibited from holding Company Securities in a margin account or pledging Company Securities as collateral for a loan.</w:t>
      </w:r>
    </w:p>
    <w:p>
      <w:pPr>
        <w:pStyle w:val="TextBody"/>
        <w:bidi w:val="0"/>
        <w:spacing w:before="3" w:after="283"/>
        <w:jc w:val="left"/>
        <w:rPr/>
      </w:pPr>
      <w:r>
        <w:rPr/>
      </w:r>
    </w:p>
    <w:p>
      <w:pPr>
        <w:pStyle w:val="TextBody"/>
        <w:bidi w:val="0"/>
        <w:spacing w:lineRule="auto" w:line="288" w:before="0" w:after="0"/>
        <w:jc w:val="both"/>
        <w:rPr/>
      </w:pPr>
      <w:r>
        <w:rPr>
          <w:rFonts w:ascii="Arial;sans-serif" w:hAnsi="Arial;sans-serif"/>
          <w:b w:val="false"/>
          <w:color w:val="000000"/>
          <w:sz w:val="24"/>
        </w:rPr>
        <w:t>7.</w:t>
      </w:r>
      <w:r>
        <w:rPr>
          <w:rFonts w:ascii="Arial;sans-serif" w:hAnsi="Arial;sans-serif"/>
          <w:b w:val="false"/>
          <w:color w:val="000000"/>
          <w:sz w:val="24"/>
          <w:u w:val="single"/>
        </w:rPr>
        <w:t>Gifts</w:t>
      </w:r>
      <w:r>
        <w:rPr>
          <w:rFonts w:ascii="Arial;sans-serif" w:hAnsi="Arial;sans-serif"/>
          <w:b w:val="false"/>
          <w:color w:val="000000"/>
          <w:sz w:val="24"/>
        </w:rPr>
        <w:t xml:space="preserve">. </w:t>
      </w:r>
      <w:r>
        <w:rPr>
          <w:rFonts w:ascii="Arial;sans-serif" w:hAnsi="Arial;sans-serif"/>
          <w:b w:val="false"/>
          <w:i/>
          <w:color w:val="000000"/>
          <w:sz w:val="24"/>
        </w:rPr>
        <w:t xml:space="preserve">Bona fide </w:t>
      </w:r>
      <w:r>
        <w:rPr>
          <w:rFonts w:ascii="Arial;sans-serif" w:hAnsi="Arial;sans-serif"/>
          <w:b w:val="false"/>
          <w:color w:val="000000"/>
          <w:sz w:val="24"/>
        </w:rPr>
        <w:t>gifts are acceptable, unless the donor gifts the securities while they are aware of Material Nonpublic Information and there is a reason to believe that the donee will sell the securities before the Material Nonpublic Information is disclosed. Gifts are subject to pre-clearance procedures as set forth in the Addendum.</w:t>
      </w:r>
    </w:p>
    <w:p>
      <w:pPr>
        <w:pStyle w:val="TextBody"/>
        <w:bidi w:val="0"/>
        <w:spacing w:before="25" w:after="283"/>
        <w:jc w:val="left"/>
        <w:rPr/>
      </w:pPr>
      <w:r>
        <w:rPr/>
      </w:r>
    </w:p>
    <w:p>
      <w:pPr>
        <w:pStyle w:val="TextBody"/>
        <w:bidi w:val="0"/>
        <w:spacing w:lineRule="auto" w:line="288" w:before="1" w:after="283"/>
        <w:ind w:left="0" w:right="0" w:hanging="489"/>
        <w:jc w:val="both"/>
        <w:rPr>
          <w:rFonts w:ascii="Arial;sans-serif" w:hAnsi="Arial;sans-serif"/>
          <w:b/>
          <w:color w:val="000000"/>
          <w:sz w:val="40"/>
        </w:rPr>
      </w:pPr>
      <w:r>
        <w:rPr>
          <w:rFonts w:ascii="Arial;sans-serif" w:hAnsi="Arial;sans-serif"/>
          <w:b/>
          <w:color w:val="000000"/>
          <w:sz w:val="40"/>
        </w:rPr>
        <w:t>E.RULE 10B5-1 PLANS</w:t>
      </w:r>
    </w:p>
    <w:p>
      <w:pPr>
        <w:pStyle w:val="TextBody"/>
        <w:bidi w:val="0"/>
        <w:spacing w:lineRule="auto" w:line="288" w:before="279" w:after="283"/>
        <w:jc w:val="both"/>
        <w:rPr>
          <w:rFonts w:ascii="Arial;sans-serif" w:hAnsi="Arial;sans-serif"/>
          <w:b w:val="false"/>
          <w:color w:val="000000"/>
          <w:sz w:val="24"/>
        </w:rPr>
      </w:pPr>
      <w:r>
        <w:rPr>
          <w:rFonts w:ascii="Arial;sans-serif" w:hAnsi="Arial;sans-serif"/>
          <w:b w:val="false"/>
          <w:color w:val="000000"/>
          <w:sz w:val="24"/>
        </w:rPr>
        <w:t xml:space="preserve">Rule 10b5-1 under the Securities Exchange Act of 1934, as amended, provides a defense from insider trading liability under Rule 10b5-1. In order to be eligible to rely on this defense, a person </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47395"/>
                <wp:effectExtent l="0" t="0" r="0" b="0"/>
                <wp:wrapNone/>
                <wp:docPr id="166" name="Frame164"/>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lineRule="auto" w:line="288" w:before="279" w:after="283"/>
        <w:jc w:val="both"/>
        <w:rPr/>
      </w:pPr>
      <w:r>
        <w:rPr>
          <w:rFonts w:ascii="Arial;sans-serif" w:hAnsi="Arial;sans-serif"/>
          <w:b w:val="false"/>
          <w:color w:val="000000"/>
          <w:sz w:val="24"/>
        </w:rPr>
        <w:t>subject to this Policy Statement (a “</w:t>
      </w:r>
      <w:r>
        <w:rPr>
          <w:rFonts w:ascii="Arial;sans-serif" w:hAnsi="Arial;sans-serif"/>
          <w:b/>
          <w:i/>
          <w:color w:val="000000"/>
          <w:sz w:val="24"/>
        </w:rPr>
        <w:t>Participant</w:t>
      </w:r>
      <w:r>
        <w:rPr>
          <w:color w:val="000000"/>
        </w:rPr>
        <w:t>”</w:t>
      </w:r>
      <w:r>
        <w:rPr>
          <w:rFonts w:ascii="Arial;sans-serif" w:hAnsi="Arial;sans-serif"/>
          <w:b w:val="false"/>
          <w:color w:val="000000"/>
          <w:sz w:val="24"/>
        </w:rPr>
        <w:t>) must enter into a Rule 10b5-1 plan for transactions</w:t>
      </w:r>
    </w:p>
    <w:p>
      <w:pPr>
        <w:pStyle w:val="TextBody"/>
        <w:bidi w:val="0"/>
        <w:spacing w:before="0" w:after="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47395"/>
                <wp:effectExtent l="0" t="0" r="0" b="0"/>
                <wp:wrapNone/>
                <wp:docPr id="167" name="Frame165"/>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before="0" w:after="0"/>
        <w:jc w:val="both"/>
        <w:rPr/>
      </w:pPr>
      <w:r>
        <w:rPr/>
      </w:r>
    </w:p>
    <w:p>
      <w:pPr>
        <w:pStyle w:val="TextBody"/>
        <w:bidi w:val="0"/>
        <w:spacing w:lineRule="auto" w:line="288" w:before="69" w:after="283"/>
        <w:jc w:val="both"/>
        <w:rPr/>
      </w:pPr>
      <w:r>
        <w:rPr>
          <w:rFonts w:ascii="Arial;sans-serif" w:hAnsi="Arial;sans-serif"/>
          <w:b w:val="false"/>
          <w:color w:val="000000"/>
          <w:sz w:val="24"/>
        </w:rPr>
        <w:t>in Company Securities that meets certain conditions specified in the Rule (a “</w:t>
      </w:r>
      <w:r>
        <w:rPr>
          <w:rFonts w:ascii="Arial;sans-serif" w:hAnsi="Arial;sans-serif"/>
          <w:b/>
          <w:i/>
          <w:color w:val="000000"/>
          <w:sz w:val="24"/>
        </w:rPr>
        <w:t>Rule 10b5-1 Plan</w:t>
      </w:r>
      <w:r>
        <w:rPr>
          <w:color w:val="000000"/>
        </w:rPr>
        <w:t>”</w:t>
      </w:r>
      <w:r>
        <w:rPr>
          <w:rFonts w:ascii="Arial;sans-serif" w:hAnsi="Arial;sans-serif"/>
          <w:b w:val="false"/>
          <w:color w:val="000000"/>
          <w:sz w:val="24"/>
        </w:rPr>
        <w:t>). If the plan meets the requirements of Rule 10b5-1 and this Policy Statement, the Company Securities may be purchased or sold without regard to certain insider trading restrictions.</w:t>
      </w:r>
    </w:p>
    <w:p>
      <w:pPr>
        <w:pStyle w:val="TextBody"/>
        <w:bidi w:val="0"/>
        <w:spacing w:before="3" w:after="283"/>
        <w:jc w:val="left"/>
        <w:rPr/>
      </w:pPr>
      <w:r>
        <w:rPr/>
      </w:r>
    </w:p>
    <w:p>
      <w:pPr>
        <w:pStyle w:val="TextBody"/>
        <w:bidi w:val="0"/>
        <w:spacing w:lineRule="auto" w:line="288" w:before="1" w:after="283"/>
        <w:jc w:val="both"/>
        <w:rPr>
          <w:rFonts w:ascii="Arial;sans-serif" w:hAnsi="Arial;sans-serif"/>
          <w:b w:val="false"/>
          <w:color w:val="000000"/>
          <w:sz w:val="24"/>
        </w:rPr>
      </w:pPr>
      <w:r>
        <w:rPr>
          <w:rFonts w:ascii="Arial;sans-serif" w:hAnsi="Arial;sans-serif"/>
          <w:b w:val="false"/>
          <w:color w:val="000000"/>
          <w:sz w:val="24"/>
        </w:rPr>
        <w:t>Any Rule 10b5-1 Plan must be submitted for approval five days prior to the entry into the Rule 10b5- 1 Plan. No further pre-approval of transactions conducted pursuant to the Rule 10b5- 1 Plan will be required.</w:t>
      </w:r>
    </w:p>
    <w:p>
      <w:pPr>
        <w:pStyle w:val="TextBody"/>
        <w:bidi w:val="0"/>
        <w:spacing w:before="3" w:after="283"/>
        <w:jc w:val="left"/>
        <w:rPr/>
      </w:pPr>
      <w:r>
        <w:rPr/>
      </w:r>
    </w:p>
    <w:p>
      <w:pPr>
        <w:pStyle w:val="TextBody"/>
        <w:bidi w:val="0"/>
        <w:spacing w:lineRule="auto" w:line="288" w:before="0" w:after="0"/>
        <w:ind w:left="0" w:right="0" w:hanging="266"/>
        <w:jc w:val="left"/>
        <w:rPr/>
      </w:pPr>
      <w:r>
        <w:rPr>
          <w:rFonts w:ascii="Arial;sans-serif" w:hAnsi="Arial;sans-serif"/>
          <w:b w:val="false"/>
          <w:color w:val="000000"/>
          <w:sz w:val="24"/>
        </w:rPr>
        <w:t>1.</w:t>
      </w:r>
      <w:r>
        <w:rPr>
          <w:rFonts w:ascii="Arial;sans-serif" w:hAnsi="Arial;sans-serif"/>
          <w:b w:val="false"/>
          <w:color w:val="000000"/>
          <w:sz w:val="24"/>
          <w:u w:val="single"/>
        </w:rPr>
        <w:t>Reporting</w:t>
      </w:r>
      <w:r>
        <w:rPr>
          <w:rFonts w:ascii="Arial;sans-serif" w:hAnsi="Arial;sans-serif"/>
          <w:b w:val="false"/>
          <w:color w:val="000000"/>
          <w:sz w:val="24"/>
        </w:rPr>
        <w:t>.</w:t>
      </w:r>
    </w:p>
    <w:p>
      <w:pPr>
        <w:pStyle w:val="TextBody"/>
        <w:bidi w:val="0"/>
        <w:spacing w:before="5" w:after="283"/>
        <w:jc w:val="left"/>
        <w:rPr/>
      </w:pPr>
      <w:r>
        <w:rPr/>
      </w:r>
    </w:p>
    <w:p>
      <w:pPr>
        <w:pStyle w:val="TextBody"/>
        <w:bidi w:val="0"/>
        <w:spacing w:lineRule="auto" w:line="280" w:before="0" w:after="0"/>
        <w:ind w:left="0" w:right="0" w:firstLine="720"/>
        <w:jc w:val="both"/>
        <w:rPr>
          <w:rFonts w:ascii="Arial;sans-serif" w:hAnsi="Arial;sans-serif"/>
          <w:b w:val="false"/>
          <w:color w:val="000000"/>
          <w:sz w:val="24"/>
        </w:rPr>
      </w:pPr>
      <w:r>
        <w:rPr>
          <w:rFonts w:ascii="Arial;sans-serif" w:hAnsi="Arial;sans-serif"/>
          <w:b w:val="false"/>
          <w:color w:val="000000"/>
          <w:sz w:val="24"/>
        </w:rPr>
        <w:t>A copy of this Policy Statement will be disclosed as an exhibit to the Company’s annual report on Form 10-K.</w:t>
      </w:r>
    </w:p>
    <w:p>
      <w:pPr>
        <w:pStyle w:val="TextBody"/>
        <w:bidi w:val="0"/>
        <w:spacing w:before="1" w:after="283"/>
        <w:jc w:val="left"/>
        <w:rPr/>
      </w:pPr>
      <w:r>
        <w:rPr/>
      </w:r>
    </w:p>
    <w:p>
      <w:pPr>
        <w:pStyle w:val="TextBody"/>
        <w:bidi w:val="0"/>
        <w:spacing w:lineRule="auto" w:line="280" w:before="0" w:after="0"/>
        <w:ind w:left="0" w:right="0" w:firstLine="720"/>
        <w:jc w:val="both"/>
        <w:rPr>
          <w:rFonts w:ascii="Arial;sans-serif" w:hAnsi="Arial;sans-serif"/>
          <w:b w:val="false"/>
          <w:color w:val="000000"/>
          <w:sz w:val="24"/>
        </w:rPr>
      </w:pPr>
      <w:r>
        <w:rPr>
          <w:rFonts w:ascii="Arial;sans-serif" w:hAnsi="Arial;sans-serif"/>
          <w:b w:val="false"/>
          <w:color w:val="000000"/>
          <w:sz w:val="24"/>
        </w:rPr>
        <w:t>When a director or officer has adopted, modified or terminated a Rule 10b5-1 Plan or similar arrangement during a fiscal quarter, the event will be disclosed on the report on Form 10-Q or Form 10-K covering that quarter. The disclosure will identify whether the trading arrangement is intended to satisfy the affirmative defense of Rule 10b5-1(c), and it will also include a description of the material terms of each Rule10b5-1 Plan, other than pricing, including the name and title of the director or officer; the date the plan was adopted, modified or terminated; the plan’s duration; and the total amount of Company Securities to be purchased or sold under the plan.</w:t>
      </w:r>
    </w:p>
    <w:p>
      <w:pPr>
        <w:pStyle w:val="TextBody"/>
        <w:bidi w:val="0"/>
        <w:spacing w:before="0" w:after="0"/>
        <w:jc w:val="left"/>
        <w:rPr/>
      </w:pPr>
      <w:r>
        <w:rPr/>
      </w:r>
    </w:p>
    <w:p>
      <w:pPr>
        <w:pStyle w:val="TextBody"/>
        <w:bidi w:val="0"/>
        <w:spacing w:lineRule="auto" w:line="280" w:before="0" w:after="0"/>
        <w:ind w:left="0" w:right="0" w:firstLine="720"/>
        <w:jc w:val="both"/>
        <w:rPr>
          <w:rFonts w:ascii="Arial;sans-serif" w:hAnsi="Arial;sans-serif"/>
          <w:b w:val="false"/>
          <w:color w:val="000000"/>
          <w:sz w:val="24"/>
        </w:rPr>
      </w:pPr>
      <w:r>
        <w:rPr>
          <w:rFonts w:ascii="Arial;sans-serif" w:hAnsi="Arial;sans-serif"/>
          <w:b w:val="false"/>
          <w:color w:val="000000"/>
          <w:sz w:val="24"/>
        </w:rPr>
        <w:t>Each Participant understands that the approval or adoption of a pre-planned selling program in no way reduces or eliminates such person’s obligations under Section 16 of the Securities Exchange Act of 1934, as amended, including such person’s disclosure and short-swing trading liabilities thereunder. A Participant will check a checkbox on Forms 4 and 5 reporting their transactions in Company Securities, indicating whether a transaction reported on that form was made under a plan intended to satisfy the affirmative defense conditions of Rule 10b5-1, and providing the date the plan was adopted.</w:t>
      </w:r>
    </w:p>
    <w:p>
      <w:pPr>
        <w:pStyle w:val="TextBody"/>
        <w:bidi w:val="0"/>
        <w:spacing w:before="1" w:after="283"/>
        <w:jc w:val="left"/>
        <w:rPr/>
      </w:pPr>
      <w:r>
        <w:rPr/>
      </w:r>
    </w:p>
    <w:p>
      <w:pPr>
        <w:pStyle w:val="TextBody"/>
        <w:bidi w:val="0"/>
        <w:spacing w:lineRule="auto" w:line="288" w:before="0" w:after="0"/>
        <w:ind w:left="0" w:right="0" w:hanging="265"/>
        <w:jc w:val="left"/>
        <w:rPr/>
      </w:pPr>
      <w:r>
        <w:rPr>
          <w:rFonts w:ascii="Arial;sans-serif" w:hAnsi="Arial;sans-serif"/>
          <w:b w:val="false"/>
          <w:color w:val="000000"/>
          <w:sz w:val="24"/>
        </w:rPr>
        <w:t>2.</w:t>
      </w:r>
      <w:r>
        <w:rPr>
          <w:rFonts w:ascii="Arial;sans-serif" w:hAnsi="Arial;sans-serif"/>
          <w:b w:val="false"/>
          <w:color w:val="000000"/>
          <w:sz w:val="24"/>
          <w:u w:val="single"/>
        </w:rPr>
        <w:t>Rule 10b5-1 Plan Requirements</w:t>
      </w:r>
      <w:r>
        <w:rPr>
          <w:rFonts w:ascii="Arial;sans-serif" w:hAnsi="Arial;sans-serif"/>
          <w:b w:val="false"/>
          <w:color w:val="000000"/>
          <w:sz w:val="24"/>
        </w:rPr>
        <w:t>.</w:t>
      </w:r>
    </w:p>
    <w:p>
      <w:pPr>
        <w:pStyle w:val="TextBody"/>
        <w:bidi w:val="0"/>
        <w:spacing w:before="2" w:after="283"/>
        <w:jc w:val="left"/>
        <w:rPr/>
      </w:pPr>
      <w:r>
        <w:rPr/>
      </w:r>
    </w:p>
    <w:p>
      <w:pPr>
        <w:pStyle w:val="TextBody"/>
        <w:bidi w:val="0"/>
        <w:spacing w:lineRule="auto" w:line="288" w:before="1" w:after="283"/>
        <w:ind w:left="0" w:right="0" w:firstLine="720"/>
        <w:jc w:val="both"/>
        <w:rPr>
          <w:rFonts w:ascii="Arial;sans-serif" w:hAnsi="Arial;sans-serif"/>
          <w:b w:val="false"/>
          <w:color w:val="000000"/>
          <w:sz w:val="24"/>
        </w:rPr>
      </w:pPr>
      <w:r>
        <w:rPr>
          <w:rFonts w:ascii="Arial;sans-serif" w:hAnsi="Arial;sans-serif"/>
          <w:b w:val="false"/>
          <w:color w:val="000000"/>
          <w:sz w:val="24"/>
        </w:rPr>
        <w:t>A Rule 10b5-1 Plan must be approved by the Securities Compliance Officer and meet the requirements of Rule 10b5-1 and this Policy Statement. Any Rule 10b5-1 Plan must be submitted for approval five business days prior to the entry into the Rule 10b5-1 Plan. No further pre-approval of transactions conducted pursuant to the Rule 10b5-1 Plan will be required.</w:t>
      </w:r>
    </w:p>
    <w:p>
      <w:pPr>
        <w:pStyle w:val="TextBody"/>
        <w:bidi w:val="0"/>
        <w:spacing w:before="4" w:after="283"/>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following requirements apply to all Rule 10b5-1 Plans:</w:t>
      </w:r>
    </w:p>
    <w:p>
      <w:pPr>
        <w:pStyle w:val="TextBody"/>
        <w:bidi w:val="0"/>
        <w:spacing w:before="3" w:after="283"/>
        <w:jc w:val="left"/>
        <w:rPr/>
      </w:pPr>
      <w:r>
        <w:rPr/>
      </w:r>
    </w:p>
    <w:p>
      <w:pPr>
        <w:pStyle w:val="TextBody"/>
        <w:bidi w:val="0"/>
        <w:spacing w:lineRule="auto" w:line="288" w:before="1" w:after="283"/>
        <w:ind w:left="0" w:right="0" w:hanging="360"/>
        <w:jc w:val="both"/>
        <w:rPr/>
      </w:pPr>
      <w:r>
        <w:rPr>
          <w:color w:val="000000"/>
        </w:rPr>
        <w:t>•</w:t>
      </w:r>
      <w:r>
        <w:rPr>
          <w:rFonts w:ascii="Arial;sans-serif" w:hAnsi="Arial;sans-serif"/>
          <w:b w:val="false"/>
          <w:color w:val="000000"/>
          <w:sz w:val="24"/>
        </w:rPr>
        <w:t>Participants may not enter into, modify or terminate a Rule 10b5-1 Plan during a blackout period or while in possession of Material Nonpublic Information. Once the plan is adopted, the Participant must not exercise any influence over the amount of securities to be traded, the price at which they are to be traded or the date of the trade. The plan must either specify the amount of securities, pricing and timing of transactions in advance or delegate discretion on these matters to an independent third party.</w:t>
      </w:r>
    </w:p>
    <w:p>
      <w:pPr>
        <w:pStyle w:val="TextBody"/>
        <w:bidi w:val="0"/>
        <w:spacing w:lineRule="auto" w:line="288" w:before="117" w:after="283"/>
        <w:ind w:left="0" w:right="0" w:hanging="359"/>
        <w:jc w:val="both"/>
        <w:rPr/>
      </w:pPr>
      <w:r>
        <w:rPr>
          <w:color w:val="000000"/>
        </w:rPr>
        <w:t>•</w:t>
      </w:r>
      <w:r>
        <w:rPr>
          <w:rFonts w:ascii="Arial;sans-serif" w:hAnsi="Arial;sans-serif"/>
          <w:b w:val="false"/>
          <w:color w:val="000000"/>
          <w:sz w:val="24"/>
        </w:rPr>
        <w:t>All Rule 10b5-1 Plans must have a duration of at least 6 months and no more than 2 years.</w:t>
      </w:r>
    </w:p>
    <w:p>
      <w:pPr>
        <w:pStyle w:val="TextBody"/>
        <w:bidi w:val="0"/>
        <w:spacing w:lineRule="auto" w:line="288" w:before="119" w:after="283"/>
        <w:ind w:left="0" w:right="0" w:hanging="360"/>
        <w:jc w:val="both"/>
        <w:rPr/>
      </w:pPr>
      <w:r>
        <w:rPr>
          <w:color w:val="000000"/>
        </w:rPr>
        <w:t>•</w:t>
      </w:r>
      <w:r>
        <w:rPr>
          <w:rFonts w:ascii="Arial;sans-serif" w:hAnsi="Arial;sans-serif"/>
          <w:b w:val="false"/>
          <w:color w:val="000000"/>
          <w:sz w:val="24"/>
        </w:rPr>
        <w:t>If a Rule 10b5-1 Plan is terminated, a Participant must wait at least 30 days before trading outside of the Rule 10b5-1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47395"/>
                <wp:effectExtent l="0" t="0" r="0" b="0"/>
                <wp:wrapNone/>
                <wp:docPr id="168" name="Frame166"/>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lineRule="auto" w:line="288" w:before="88" w:after="283"/>
        <w:ind w:left="0" w:right="0" w:hanging="360"/>
        <w:jc w:val="both"/>
        <w:rPr/>
      </w:pPr>
      <w:r>
        <w:rPr>
          <w:color w:val="000000"/>
        </w:rPr>
        <w:t>•</w:t>
      </w:r>
      <w:r>
        <w:rPr>
          <w:rFonts w:ascii="Arial;sans-serif" w:hAnsi="Arial;sans-serif"/>
          <w:b w:val="false"/>
          <w:color w:val="000000"/>
          <w:sz w:val="24"/>
        </w:rPr>
        <w:t>A director or officer may not commence purchases or sales under a Rule 10b5-1 Plan until expiration of a cooling-off period consisting of the later of (1) 90 days after the adoption or modification of a Rule 10b5-1 Plan or (2) two business days following the disclosure of the Company’s financial results in a Form 10-Q or Form 10-K for the completed fiscal quarter in which the Rule 10b5-1 Plan was adopted. The cooling-off period will not exceed 120 days following adoption or modification of the Rule 10b5-1 Plan. A Participant who is not a director or officer may not commence purchases or sales under a Rule 10b5-1 Plan until the expiration of a cooling-off period that is 30 days after the adoption or modification of the Rule 10b5-1 Plan.</w:t>
      </w:r>
    </w:p>
    <w:p>
      <w:pPr>
        <w:pStyle w:val="TextBody"/>
        <w:bidi w:val="0"/>
        <w:spacing w:lineRule="auto" w:line="288" w:before="118" w:after="283"/>
        <w:ind w:left="0" w:right="0" w:hanging="360"/>
        <w:jc w:val="both"/>
        <w:rPr/>
      </w:pPr>
      <w:r>
        <w:rPr>
          <w:color w:val="000000"/>
        </w:rPr>
        <w:t>•</w:t>
      </w:r>
      <w:r>
        <w:rPr>
          <w:rFonts w:ascii="Arial;sans-serif" w:hAnsi="Arial;sans-serif"/>
          <w:b w:val="false"/>
          <w:color w:val="000000"/>
          <w:sz w:val="24"/>
        </w:rPr>
        <w:t>A director or officer must certify in their Rule 10b5-1 Plan that on the date of adoption or modification:</w:t>
      </w:r>
    </w:p>
    <w:p>
      <w:pPr>
        <w:pStyle w:val="TextBody"/>
        <w:bidi w:val="0"/>
        <w:spacing w:lineRule="auto" w:line="288" w:before="119" w:after="283"/>
        <w:ind w:left="0" w:right="0" w:hanging="360"/>
        <w:jc w:val="both"/>
        <w:rPr/>
      </w:pPr>
      <w:r>
        <w:rPr>
          <w:color w:val="000000"/>
        </w:rPr>
        <w:t>•</w:t>
      </w:r>
      <w:r>
        <w:rPr>
          <w:rFonts w:ascii="Arial;sans-serif" w:hAnsi="Arial;sans-serif"/>
          <w:b w:val="false"/>
          <w:color w:val="000000"/>
          <w:sz w:val="24"/>
        </w:rPr>
        <w:t>they are not aware of any Material Nonpublic Information about the Company Securities or the Company; and</w:t>
      </w:r>
    </w:p>
    <w:p>
      <w:pPr>
        <w:pStyle w:val="TextBody"/>
        <w:bidi w:val="0"/>
        <w:spacing w:lineRule="auto" w:line="288" w:before="118" w:after="283"/>
        <w:ind w:left="0" w:right="0" w:hanging="360"/>
        <w:jc w:val="both"/>
        <w:rPr/>
      </w:pPr>
      <w:r>
        <w:rPr>
          <w:color w:val="000000"/>
        </w:rPr>
        <w:t>•</w:t>
      </w:r>
      <w:r>
        <w:rPr>
          <w:rFonts w:ascii="Arial;sans-serif" w:hAnsi="Arial;sans-serif"/>
          <w:b w:val="false"/>
          <w:color w:val="000000"/>
          <w:sz w:val="24"/>
        </w:rPr>
        <w:t>they are adopting the Rule 10b5-1 Plan in good faith and not as part of a scheme to evade the prohibitions of Section 10(b) and Rule 10b5-1 under the Securities Exchange Act, as amended.</w:t>
      </w:r>
    </w:p>
    <w:p>
      <w:pPr>
        <w:pStyle w:val="TextBody"/>
        <w:bidi w:val="0"/>
        <w:spacing w:lineRule="auto" w:line="288" w:before="117" w:after="283"/>
        <w:ind w:left="0" w:right="0" w:hanging="360"/>
        <w:jc w:val="both"/>
        <w:rPr/>
      </w:pPr>
      <w:r>
        <w:rPr>
          <w:color w:val="000000"/>
        </w:rPr>
        <w:t>•</w:t>
      </w:r>
      <w:r>
        <w:rPr>
          <w:rFonts w:ascii="Arial;sans-serif" w:hAnsi="Arial;sans-serif"/>
          <w:b w:val="false"/>
          <w:color w:val="000000"/>
          <w:sz w:val="24"/>
        </w:rPr>
        <w:t>A Participant must not adopt multiple overlapping Rule 10b5-1 Plans, except as permitted under Rule 10b5-1. These exceptions may include:</w:t>
      </w:r>
    </w:p>
    <w:p>
      <w:pPr>
        <w:pStyle w:val="TextBody"/>
        <w:bidi w:val="0"/>
        <w:spacing w:lineRule="auto" w:line="288" w:before="119" w:after="283"/>
        <w:ind w:left="0" w:right="0" w:hanging="360"/>
        <w:jc w:val="both"/>
        <w:rPr/>
      </w:pPr>
      <w:r>
        <w:rPr>
          <w:color w:val="000000"/>
        </w:rPr>
        <w:t>•</w:t>
      </w:r>
      <w:r>
        <w:rPr>
          <w:rFonts w:ascii="Arial;sans-serif" w:hAnsi="Arial;sans-serif"/>
          <w:b w:val="false"/>
          <w:color w:val="000000"/>
          <w:sz w:val="24"/>
        </w:rPr>
        <w:t>entry into one later-commencing Rule 10b5-1 Plan under which trading is not authorized to begin until after all trades under the earlier-commencing Rule 10b5-1 Plan are completed or expired without execution, as long as the first trade under the later-commencing plan is not scheduled during the cooling-off period that would be applicable with respect to the later- commencing plan if its date of adoption were deemed to be the date of termination of the earlier-commencing plan; and</w:t>
      </w:r>
    </w:p>
    <w:p>
      <w:pPr>
        <w:pStyle w:val="TextBody"/>
        <w:bidi w:val="0"/>
        <w:spacing w:lineRule="auto" w:line="288" w:before="118" w:after="283"/>
        <w:ind w:left="0" w:right="0" w:hanging="360"/>
        <w:jc w:val="both"/>
        <w:rPr/>
      </w:pPr>
      <w:r>
        <w:rPr>
          <w:color w:val="000000"/>
        </w:rPr>
        <w:t>•“</w:t>
      </w:r>
      <w:r>
        <w:rPr>
          <w:rFonts w:ascii="Arial;sans-serif" w:hAnsi="Arial;sans-serif"/>
          <w:b w:val="false"/>
          <w:color w:val="000000"/>
          <w:sz w:val="24"/>
        </w:rPr>
        <w:t>Sell-to-cover” provisions for the sale of only such Company Securities as are necessary to satisfy tax-withholding obligations arising exclusively from the vesting of a compensatory award, as long as the Participant does not otherwise exercise control over the timing of such sale.</w:t>
      </w:r>
    </w:p>
    <w:p>
      <w:pPr>
        <w:pStyle w:val="TextBody"/>
        <w:bidi w:val="0"/>
        <w:spacing w:lineRule="auto" w:line="288" w:before="119" w:after="283"/>
        <w:ind w:left="0" w:right="0" w:hanging="360"/>
        <w:jc w:val="both"/>
        <w:rPr/>
      </w:pPr>
      <w:r>
        <w:rPr>
          <w:color w:val="000000"/>
        </w:rPr>
        <w:t>•</w:t>
      </w:r>
      <w:r>
        <w:rPr>
          <w:rFonts w:ascii="Arial;sans-serif" w:hAnsi="Arial;sans-serif"/>
          <w:b w:val="false"/>
          <w:color w:val="000000"/>
          <w:sz w:val="24"/>
        </w:rPr>
        <w:t>In any 12-month period, a Participant is limited to one “single-trade plan” — one designed to effect the open market purchase or sale of the total amount of the Company Securities subject to the plan as a single transaction. A Rule 10b5-1 Plan will not be treated as a single- trade plan if, for example, it gives the broker discretion over whether to execute the plan as a single transaction, or provides that the broker’s future acts will depend on events or data not known at the time the plan is entered into, and it is reasonably foreseeable at the time the plan is entered into that the plan might result in multiple trades. “Sell-to-cover” plans are exempt from this limitation.</w:t>
      </w:r>
    </w:p>
    <w:p>
      <w:pPr>
        <w:pStyle w:val="TextBody"/>
        <w:bidi w:val="0"/>
        <w:spacing w:lineRule="auto" w:line="288" w:before="117" w:after="283"/>
        <w:ind w:left="0" w:right="0" w:hanging="360"/>
        <w:jc w:val="both"/>
        <w:rPr/>
      </w:pPr>
      <w:r>
        <w:rPr>
          <w:color w:val="000000"/>
        </w:rPr>
        <w:t>•</w:t>
      </w:r>
      <w:r>
        <w:rPr>
          <w:rFonts w:ascii="Arial;sans-serif" w:hAnsi="Arial;sans-serif"/>
          <w:b w:val="false"/>
          <w:color w:val="000000"/>
          <w:sz w:val="24"/>
        </w:rPr>
        <w:t>A Participant may not enter into any sale of Company Securities outside of a Rule 10b5-1 Plan while the plan is in effect.</w:t>
      </w:r>
    </w:p>
    <w:p>
      <w:pPr>
        <w:pStyle w:val="TextBody"/>
        <w:bidi w:val="0"/>
        <w:spacing w:lineRule="auto" w:line="288" w:before="118" w:after="283"/>
        <w:ind w:left="0" w:right="0" w:hanging="360"/>
        <w:jc w:val="both"/>
        <w:rPr/>
      </w:pPr>
      <w:r>
        <w:rPr>
          <w:color w:val="000000"/>
        </w:rPr>
        <w:t>•</w:t>
      </w:r>
      <w:r>
        <w:rPr>
          <w:rFonts w:ascii="Arial;sans-serif" w:hAnsi="Arial;sans-serif"/>
          <w:b w:val="false"/>
          <w:color w:val="000000"/>
          <w:sz w:val="24"/>
        </w:rPr>
        <w:t>A Participant must use the broker approved by the Company. The substitution of a broker that is executing trades pursuant to a Rule 10b5-1 Plan will not be a modification of the plan, as long as the purchase or sales instructions applicable to the substitute and substituted broker are identical with respect to the prices, execution dates and amount of securities to be purchased or sold.</w:t>
      </w:r>
    </w:p>
    <w:p>
      <w:pPr>
        <w:pStyle w:val="TextBody"/>
        <w:bidi w:val="0"/>
        <w:spacing w:lineRule="auto" w:line="288" w:before="119" w:after="283"/>
        <w:ind w:left="0" w:right="0" w:hanging="359"/>
        <w:jc w:val="both"/>
        <w:rPr/>
      </w:pPr>
      <w:r>
        <w:rPr>
          <w:color w:val="000000"/>
        </w:rPr>
        <w:t>•</w:t>
      </w:r>
      <w:r>
        <w:rPr>
          <w:rFonts w:ascii="Arial;sans-serif" w:hAnsi="Arial;sans-serif"/>
          <w:b w:val="false"/>
          <w:color w:val="000000"/>
          <w:sz w:val="24"/>
        </w:rPr>
        <w:t>A Participant must act in good faith throughout the duration of their Rule 10b5-1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47395"/>
                <wp:effectExtent l="0" t="0" r="0" b="0"/>
                <wp:wrapNone/>
                <wp:docPr id="169" name="Frame16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lineRule="auto" w:line="288" w:before="68" w:after="283"/>
        <w:ind w:left="0" w:right="0" w:firstLine="720"/>
        <w:jc w:val="left"/>
        <w:rPr>
          <w:rFonts w:ascii="Arial;sans-serif" w:hAnsi="Arial;sans-serif"/>
          <w:b w:val="false"/>
          <w:color w:val="000000"/>
          <w:sz w:val="24"/>
        </w:rPr>
      </w:pPr>
      <w:r>
        <w:rPr>
          <w:rFonts w:ascii="Arial;sans-serif" w:hAnsi="Arial;sans-serif"/>
          <w:b w:val="false"/>
          <w:color w:val="000000"/>
          <w:sz w:val="24"/>
        </w:rPr>
        <w:t>If any questions arise, a Participant should consult with their own counsel in implementing a Rule 10b5-1 Plan.</w:t>
      </w:r>
    </w:p>
    <w:p>
      <w:pPr>
        <w:pStyle w:val="TextBody"/>
        <w:bidi w:val="0"/>
        <w:spacing w:before="25" w:after="283"/>
        <w:jc w:val="left"/>
        <w:rPr/>
      </w:pPr>
      <w:r>
        <w:rPr/>
      </w:r>
    </w:p>
    <w:p>
      <w:pPr>
        <w:pStyle w:val="TextBody"/>
        <w:bidi w:val="0"/>
        <w:spacing w:lineRule="auto" w:line="288" w:before="0" w:after="0"/>
        <w:ind w:left="0" w:right="0" w:hanging="423"/>
        <w:jc w:val="left"/>
        <w:rPr>
          <w:rFonts w:ascii="Arial;sans-serif" w:hAnsi="Arial;sans-serif"/>
          <w:b/>
          <w:color w:val="000000"/>
          <w:sz w:val="40"/>
        </w:rPr>
      </w:pPr>
      <w:r>
        <w:rPr>
          <w:rFonts w:ascii="Arial;sans-serif" w:hAnsi="Arial;sans-serif"/>
          <w:b/>
          <w:color w:val="000000"/>
          <w:sz w:val="40"/>
        </w:rPr>
        <w:t>F.POST-TERMINATION TRANSACTIONS</w:t>
      </w:r>
    </w:p>
    <w:p>
      <w:pPr>
        <w:pStyle w:val="TextBody"/>
        <w:bidi w:val="0"/>
        <w:spacing w:lineRule="auto" w:line="288" w:before="279" w:after="283"/>
        <w:jc w:val="both"/>
        <w:rPr>
          <w:rFonts w:ascii="Arial;sans-serif" w:hAnsi="Arial;sans-serif"/>
          <w:b w:val="false"/>
          <w:color w:val="000000"/>
          <w:sz w:val="24"/>
        </w:rPr>
      </w:pPr>
      <w:r>
        <w:rPr>
          <w:rFonts w:ascii="Arial;sans-serif" w:hAnsi="Arial;sans-serif"/>
          <w:b w:val="false"/>
          <w:color w:val="000000"/>
          <w:sz w:val="24"/>
        </w:rPr>
        <w:t>This Policy Statement continues to apply to your transactions in Company Securities even after you have terminated employment or other services to the Company or a subsidiary as follows: if you are aware of Material Nonpublic Information when your employment or service relationship terminates, you may not trade in Company Securities until that information has become public or is no longer material.</w:t>
      </w:r>
    </w:p>
    <w:p>
      <w:pPr>
        <w:pStyle w:val="TextBody"/>
        <w:bidi w:val="0"/>
        <w:spacing w:before="25" w:after="283"/>
        <w:jc w:val="left"/>
        <w:rPr/>
      </w:pPr>
      <w:r>
        <w:rPr/>
      </w:r>
    </w:p>
    <w:p>
      <w:pPr>
        <w:pStyle w:val="TextBody"/>
        <w:bidi w:val="0"/>
        <w:spacing w:lineRule="auto" w:line="288" w:before="1" w:after="283"/>
        <w:ind w:left="0" w:right="0" w:hanging="532"/>
        <w:jc w:val="left"/>
        <w:rPr>
          <w:rFonts w:ascii="Arial;sans-serif" w:hAnsi="Arial;sans-serif"/>
          <w:b/>
          <w:color w:val="000000"/>
          <w:sz w:val="40"/>
        </w:rPr>
      </w:pPr>
      <w:r>
        <w:rPr>
          <w:rFonts w:ascii="Arial;sans-serif" w:hAnsi="Arial;sans-serif"/>
          <w:b/>
          <w:color w:val="000000"/>
          <w:sz w:val="40"/>
        </w:rPr>
        <w:t>G.CONFIDENTIALITY OF NONPUBLIC INFORMATION</w:t>
      </w:r>
    </w:p>
    <w:p>
      <w:pPr>
        <w:pStyle w:val="TextBody"/>
        <w:bidi w:val="0"/>
        <w:spacing w:lineRule="auto" w:line="288" w:before="279" w:after="283"/>
        <w:jc w:val="both"/>
        <w:rPr/>
      </w:pPr>
      <w:r>
        <w:rPr>
          <w:rFonts w:ascii="Arial;sans-serif" w:hAnsi="Arial;sans-serif"/>
          <w:b w:val="false"/>
          <w:color w:val="000000"/>
          <w:sz w:val="24"/>
        </w:rPr>
        <w:t xml:space="preserve">1.Maintaining the confidentiality of Company information is essential for competitive, security and other business reasons, as well as to comply with the securities laws and applicable banking laws. You should treat all nonpublic information you learn about the Company or its business plans in connection with your employment as confidential and proprietary to the Company. Disclosure of that information to </w:t>
      </w:r>
      <w:r>
        <w:rPr>
          <w:rFonts w:ascii="Arial;sans-serif" w:hAnsi="Arial;sans-serif"/>
          <w:b w:val="false"/>
          <w:color w:val="000000"/>
          <w:sz w:val="24"/>
          <w:u w:val="single"/>
        </w:rPr>
        <w:t>any</w:t>
      </w:r>
      <w:r>
        <w:rPr>
          <w:color w:val="000000"/>
        </w:rPr>
        <w:t xml:space="preserve"> </w:t>
      </w:r>
      <w:r>
        <w:rPr>
          <w:rFonts w:ascii="Arial;sans-serif" w:hAnsi="Arial;sans-serif"/>
          <w:b w:val="false"/>
          <w:color w:val="000000"/>
          <w:sz w:val="24"/>
        </w:rPr>
        <w:t>person other than Company Personnel (including family members), whether directly, in the form of a recommendation to purchase or sell Company Securities, or in any other manner or for any other purpose, violates Company policy and is prohibited. Inadvertent disclosure of confidential or inside information may expose the Company and you to significant risk of investigation and litigation.</w:t>
      </w:r>
    </w:p>
    <w:p>
      <w:pPr>
        <w:pStyle w:val="TextBody"/>
        <w:bidi w:val="0"/>
        <w:spacing w:before="4" w:after="283"/>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2.Company Personnel working on sensitive matters involving Material Nonpublic Information shall adopt and implement protective measures appropriate and consistent with the level of confidentiality reasonably called for in the particular circumstances to prevent the misappropriation, loss or other misuse of such information by Company Personnel and/or other parties. All Company Personnel working on sensitive matters involving Material Nonpublic Information shall cooperate with, assist in and abide by the protective measures instituted to prevent misappropriation, loss or other misuse of the information.</w:t>
      </w:r>
    </w:p>
    <w:p>
      <w:pPr>
        <w:pStyle w:val="TextBody"/>
        <w:bidi w:val="0"/>
        <w:spacing w:before="3" w:after="283"/>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3.This Policy Statement supplements, but does not supersede or otherwise modify, the provisions of existing confidentiality agreements and other standard procedures and agreements intended to protect confidential information and materials.</w:t>
      </w:r>
    </w:p>
    <w:p>
      <w:pPr>
        <w:pStyle w:val="TextBody"/>
        <w:bidi w:val="0"/>
        <w:spacing w:before="26" w:after="283"/>
        <w:jc w:val="left"/>
        <w:rPr/>
      </w:pPr>
      <w:r>
        <w:rPr/>
      </w:r>
    </w:p>
    <w:p>
      <w:pPr>
        <w:pStyle w:val="TextBody"/>
        <w:bidi w:val="0"/>
        <w:spacing w:lineRule="auto" w:line="288" w:before="0" w:after="0"/>
        <w:ind w:left="0" w:right="0" w:hanging="511"/>
        <w:jc w:val="left"/>
        <w:rPr>
          <w:rFonts w:ascii="Arial;sans-serif" w:hAnsi="Arial;sans-serif"/>
          <w:b/>
          <w:color w:val="000000"/>
          <w:sz w:val="40"/>
        </w:rPr>
      </w:pPr>
      <w:r>
        <w:rPr>
          <w:rFonts w:ascii="Arial;sans-serif" w:hAnsi="Arial;sans-serif"/>
          <w:b/>
          <w:color w:val="000000"/>
          <w:sz w:val="40"/>
        </w:rPr>
        <w:t>H.PERSONAL RESPONSIBILITY</w:t>
      </w:r>
    </w:p>
    <w:p>
      <w:pPr>
        <w:pStyle w:val="TextBody"/>
        <w:bidi w:val="0"/>
        <w:spacing w:lineRule="auto" w:line="288" w:before="279" w:after="283"/>
        <w:jc w:val="both"/>
        <w:rPr>
          <w:rFonts w:ascii="Arial;sans-serif" w:hAnsi="Arial;sans-serif"/>
          <w:b w:val="false"/>
          <w:color w:val="000000"/>
          <w:sz w:val="24"/>
        </w:rPr>
      </w:pPr>
      <w:r>
        <w:rPr>
          <w:rFonts w:ascii="Arial;sans-serif" w:hAnsi="Arial;sans-serif"/>
          <w:b w:val="false"/>
          <w:color w:val="000000"/>
          <w:sz w:val="24"/>
        </w:rPr>
        <w:t>You should remember that the ultimate responsibility for adhering to this Policy Statement and avoiding improper trading rests with you. You are responsible for making sure that you comply with this Policy Statement, and that any Family Members and Controlled Entities also comply with this Policy Statement. In all cases, it is your responsibility for determining whether you are in possession of Material Nonpublic Information, and any action on the part of the Company, the Securities Compliance Officer or any other employee or director pursuant to this Policy Statement (or otherwise) does not in any way constitute legal advice or insulate you from liability under applicable securities laws. If you violate this Policy Statement, you could be subject to severe legal penalties and the Company may take disciplinary action, including dismissal for cause.</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47395"/>
                <wp:effectExtent l="0" t="0" r="0" b="0"/>
                <wp:wrapNone/>
                <wp:docPr id="170" name="Frame16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before="0" w:after="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47395"/>
                <wp:effectExtent l="0" t="0" r="0" b="0"/>
                <wp:wrapNone/>
                <wp:docPr id="171" name="Frame16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before="0" w:after="0"/>
        <w:jc w:val="both"/>
        <w:rPr/>
      </w:pPr>
      <w:r>
        <w:rPr/>
      </w:r>
    </w:p>
    <w:p>
      <w:pPr>
        <w:pStyle w:val="TextBody"/>
        <w:bidi w:val="0"/>
        <w:spacing w:lineRule="auto" w:line="288" w:before="69" w:after="283"/>
        <w:ind w:left="0" w:right="0" w:hanging="333"/>
        <w:jc w:val="left"/>
        <w:rPr>
          <w:rFonts w:ascii="Arial;sans-serif" w:hAnsi="Arial;sans-serif"/>
          <w:b/>
          <w:color w:val="000000"/>
          <w:sz w:val="40"/>
        </w:rPr>
      </w:pPr>
      <w:r>
        <w:rPr>
          <w:rFonts w:ascii="Arial;sans-serif" w:hAnsi="Arial;sans-serif"/>
          <w:b/>
          <w:color w:val="000000"/>
          <w:sz w:val="40"/>
        </w:rPr>
        <w:t>I.COMPANY ASSISTANCE</w:t>
      </w:r>
    </w:p>
    <w:p>
      <w:pPr>
        <w:pStyle w:val="TextBody"/>
        <w:bidi w:val="0"/>
        <w:spacing w:lineRule="auto" w:line="288" w:before="279" w:after="283"/>
        <w:jc w:val="both"/>
        <w:rPr>
          <w:rFonts w:ascii="Arial;sans-serif" w:hAnsi="Arial;sans-serif"/>
          <w:b w:val="false"/>
          <w:color w:val="000000"/>
          <w:sz w:val="24"/>
        </w:rPr>
      </w:pPr>
      <w:r>
        <w:rPr>
          <w:rFonts w:ascii="Arial;sans-serif" w:hAnsi="Arial;sans-serif"/>
          <w:b w:val="false"/>
          <w:color w:val="000000"/>
          <w:sz w:val="24"/>
        </w:rPr>
        <w:t>Your compliance with this Policy Statement is of the utmost importance both for you and for the Company. Many Company Personnel do not deal on a regular basis with matters of the type discussed in this Policy Statement, and some of these matters may be unfamiliar. If and when questions arise about any of the policies expressed in this policy, please direct inquiries to the Securities Compliance Officer. That officer will obtain assistance from the Company’s securities counsel as necessary or appropriate. Do not try to resolve uncertainties on your own, as the rules relating to insider trading are often complex, not always intuitive, and carry severe consequences.</w:t>
      </w:r>
    </w:p>
    <w:p>
      <w:pPr>
        <w:pStyle w:val="TextBody"/>
        <w:bidi w:val="0"/>
        <w:spacing w:before="25" w:after="283"/>
        <w:jc w:val="left"/>
        <w:rPr/>
      </w:pPr>
      <w:r>
        <w:rPr/>
      </w:r>
    </w:p>
    <w:p>
      <w:pPr>
        <w:pStyle w:val="TextBody"/>
        <w:bidi w:val="0"/>
        <w:spacing w:lineRule="auto" w:line="288" w:before="1" w:after="283"/>
        <w:ind w:left="0" w:right="0" w:hanging="444"/>
        <w:jc w:val="left"/>
        <w:rPr>
          <w:rFonts w:ascii="Arial;sans-serif" w:hAnsi="Arial;sans-serif"/>
          <w:b/>
          <w:color w:val="000000"/>
          <w:sz w:val="40"/>
        </w:rPr>
      </w:pPr>
      <w:r>
        <w:rPr>
          <w:rFonts w:ascii="Arial;sans-serif" w:hAnsi="Arial;sans-serif"/>
          <w:b/>
          <w:color w:val="000000"/>
          <w:sz w:val="40"/>
        </w:rPr>
        <w:t>J.CERTIFICATION</w:t>
      </w:r>
    </w:p>
    <w:p>
      <w:pPr>
        <w:pStyle w:val="TextBody"/>
        <w:bidi w:val="0"/>
        <w:spacing w:lineRule="auto" w:line="288" w:before="279" w:after="283"/>
        <w:jc w:val="both"/>
        <w:rPr>
          <w:rFonts w:ascii="Arial;sans-serif" w:hAnsi="Arial;sans-serif"/>
          <w:b w:val="false"/>
          <w:color w:val="000000"/>
          <w:sz w:val="24"/>
        </w:rPr>
      </w:pPr>
      <w:r>
        <w:rPr>
          <w:rFonts w:ascii="Arial;sans-serif" w:hAnsi="Arial;sans-serif"/>
          <w:b w:val="false"/>
          <w:color w:val="000000"/>
          <w:sz w:val="24"/>
        </w:rPr>
        <w:t>All Company Personnel must certify their understanding of, and intent to comply with, this Policy Statement on the attached form of Certificate of Compliance. Directors, executive officers and certain employees and consultants are subject to the Addendum. Persons who are covered by the Addendum should sign the form of Certificate of Compliance attached to the Addendum.</w:t>
      </w:r>
    </w:p>
    <w:p>
      <w:pPr>
        <w:pStyle w:val="TextBody"/>
        <w:bidi w:val="0"/>
        <w:spacing w:before="23" w:after="283"/>
        <w:jc w:val="left"/>
        <w:rPr/>
      </w:pPr>
      <w:r>
        <w:rPr/>
      </w:r>
    </w:p>
    <w:p>
      <w:pPr>
        <w:pStyle w:val="TextBody"/>
        <w:bidi w:val="0"/>
        <w:spacing w:lineRule="auto" w:line="288" w:before="0" w:after="0"/>
        <w:jc w:val="left"/>
        <w:rPr>
          <w:rFonts w:ascii="Arial;sans-serif" w:hAnsi="Arial;sans-serif"/>
          <w:b/>
          <w:color w:val="000000"/>
          <w:sz w:val="48"/>
        </w:rPr>
      </w:pPr>
      <w:r>
        <w:rPr>
          <w:rFonts w:ascii="Arial;sans-serif" w:hAnsi="Arial;sans-serif"/>
          <w:b/>
          <w:color w:val="000000"/>
          <w:sz w:val="48"/>
        </w:rPr>
        <w:t>Exceptions</w:t>
      </w:r>
    </w:p>
    <w:p>
      <w:pPr>
        <w:pStyle w:val="TextBody"/>
        <w:bidi w:val="0"/>
        <w:spacing w:lineRule="auto" w:line="288" w:before="281" w:after="283"/>
        <w:jc w:val="both"/>
        <w:rPr>
          <w:rFonts w:ascii="Arial;sans-serif" w:hAnsi="Arial;sans-serif"/>
          <w:b w:val="false"/>
          <w:color w:val="000000"/>
          <w:sz w:val="24"/>
        </w:rPr>
      </w:pPr>
      <w:r>
        <w:rPr>
          <w:rFonts w:ascii="Arial;sans-serif" w:hAnsi="Arial;sans-serif"/>
          <w:b w:val="false"/>
          <w:color w:val="000000"/>
          <w:sz w:val="24"/>
        </w:rPr>
        <w:t>Any exception to this Policy Statement requires prior written approval by the Securities Compliance Officer or his/her designee and must be documented in writing. The previous statement and the trading restrictions of this Policy Statement do not apply to the following transactions (except as specifically noted):</w:t>
      </w:r>
    </w:p>
    <w:p>
      <w:pPr>
        <w:pStyle w:val="TextBody"/>
        <w:bidi w:val="0"/>
        <w:spacing w:before="3" w:after="283"/>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4"/>
        </w:rPr>
        <w:t>a.</w:t>
      </w:r>
      <w:r>
        <w:rPr>
          <w:rFonts w:ascii="Arial;sans-serif" w:hAnsi="Arial;sans-serif"/>
          <w:b w:val="false"/>
          <w:i/>
          <w:color w:val="000000"/>
          <w:sz w:val="24"/>
        </w:rPr>
        <w:t>Exercise of Stock Options</w:t>
      </w:r>
      <w:r>
        <w:rPr>
          <w:rFonts w:ascii="Arial;sans-serif" w:hAnsi="Arial;sans-serif"/>
          <w:b w:val="false"/>
          <w:color w:val="000000"/>
          <w:sz w:val="24"/>
        </w:rPr>
        <w:t>. This Policy Statement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Statement does apply, however, to any sale of stock as part of a broker-assisted cashless exercise of an option, or any other market sale for the purpose of generating the cash needed to pay the exercise price of cashless exercise.</w:t>
      </w:r>
    </w:p>
    <w:p>
      <w:pPr>
        <w:pStyle w:val="TextBody"/>
        <w:bidi w:val="0"/>
        <w:spacing w:lineRule="auto" w:line="288" w:before="0" w:after="0"/>
        <w:ind w:left="0" w:right="0" w:hanging="360"/>
        <w:jc w:val="both"/>
        <w:rPr/>
      </w:pPr>
      <w:r>
        <w:rPr>
          <w:rFonts w:ascii="Arial;sans-serif" w:hAnsi="Arial;sans-serif"/>
          <w:b w:val="false"/>
          <w:color w:val="000000"/>
          <w:sz w:val="24"/>
        </w:rPr>
        <w:t>b.</w:t>
      </w:r>
      <w:r>
        <w:rPr>
          <w:rFonts w:ascii="Arial;sans-serif" w:hAnsi="Arial;sans-serif"/>
          <w:b w:val="false"/>
          <w:i/>
          <w:color w:val="000000"/>
          <w:sz w:val="24"/>
        </w:rPr>
        <w:t>Restricted Stock Awards</w:t>
      </w:r>
      <w:r>
        <w:rPr>
          <w:rFonts w:ascii="Arial;sans-serif" w:hAnsi="Arial;sans-serif"/>
          <w:b w:val="false"/>
          <w:color w:val="000000"/>
          <w:sz w:val="24"/>
        </w:rPr>
        <w:t>. This Policy Statement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pStyle w:val="TextBody"/>
        <w:bidi w:val="0"/>
        <w:spacing w:lineRule="auto" w:line="288" w:before="1" w:after="283"/>
        <w:ind w:left="0" w:right="0" w:hanging="360"/>
        <w:jc w:val="both"/>
        <w:rPr/>
      </w:pPr>
      <w:r>
        <w:rPr>
          <w:rFonts w:ascii="Arial;sans-serif" w:hAnsi="Arial;sans-serif"/>
          <w:b w:val="false"/>
          <w:color w:val="000000"/>
          <w:sz w:val="24"/>
        </w:rPr>
        <w:t>c.</w:t>
      </w:r>
      <w:r>
        <w:rPr>
          <w:rFonts w:ascii="Arial;sans-serif" w:hAnsi="Arial;sans-serif"/>
          <w:b w:val="false"/>
          <w:i/>
          <w:color w:val="000000"/>
          <w:sz w:val="24"/>
        </w:rPr>
        <w:t>Other Similar Transaction</w:t>
      </w:r>
      <w:r>
        <w:rPr>
          <w:rFonts w:ascii="Arial;sans-serif" w:hAnsi="Arial;sans-serif"/>
          <w:b w:val="false"/>
          <w:color w:val="000000"/>
          <w:sz w:val="24"/>
        </w:rPr>
        <w:t>. Any purchase of securities of Amalgamated Bank (or other Amalgamated Financial Corp. subsidiaries) from the Company or sales of Company Securities to the Company are not subject to this Policy.</w:t>
      </w:r>
    </w:p>
    <w:p>
      <w:pPr>
        <w:pStyle w:val="TextBody"/>
        <w:bidi w:val="0"/>
        <w:spacing w:before="23" w:after="283"/>
        <w:jc w:val="left"/>
        <w:rPr/>
      </w:pPr>
      <w:r>
        <w:rPr/>
      </w:r>
    </w:p>
    <w:p>
      <w:pPr>
        <w:pStyle w:val="TextBody"/>
        <w:bidi w:val="0"/>
        <w:spacing w:lineRule="auto" w:line="288" w:before="0" w:after="0"/>
        <w:jc w:val="left"/>
        <w:rPr>
          <w:rFonts w:ascii="Arial;sans-serif" w:hAnsi="Arial;sans-serif"/>
          <w:b/>
          <w:color w:val="000000"/>
          <w:sz w:val="48"/>
        </w:rPr>
      </w:pPr>
      <w:r>
        <w:rPr>
          <w:rFonts w:ascii="Arial;sans-serif" w:hAnsi="Arial;sans-serif"/>
          <w:b/>
          <w:color w:val="000000"/>
          <w:sz w:val="48"/>
        </w:rPr>
        <w:t>Ownership</w:t>
      </w:r>
    </w:p>
    <w:p>
      <w:pPr>
        <w:pStyle w:val="TextBody"/>
        <w:bidi w:val="0"/>
        <w:spacing w:lineRule="auto" w:line="288" w:before="280" w:after="283"/>
        <w:jc w:val="both"/>
        <w:rPr>
          <w:rFonts w:ascii="Arial;sans-serif" w:hAnsi="Arial;sans-serif"/>
          <w:b w:val="false"/>
          <w:color w:val="000000"/>
          <w:sz w:val="24"/>
        </w:rPr>
      </w:pPr>
      <w:r>
        <w:rPr>
          <w:rFonts w:ascii="Arial;sans-serif" w:hAnsi="Arial;sans-serif"/>
          <w:b w:val="false"/>
          <w:color w:val="000000"/>
          <w:sz w:val="24"/>
        </w:rPr>
        <w:t>The Company’s Chief Legal Officer holds the responsibility for adherence to and maintenance of this policy.</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47395"/>
                <wp:effectExtent l="0" t="0" r="0" b="0"/>
                <wp:wrapNone/>
                <wp:docPr id="172" name="Frame17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before="0" w:after="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47395"/>
                <wp:effectExtent l="0" t="0" r="0" b="0"/>
                <wp:wrapNone/>
                <wp:docPr id="173" name="Frame17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before="0" w:after="0"/>
        <w:jc w:val="both"/>
        <w:rPr/>
      </w:pPr>
      <w:r>
        <w:rPr/>
      </w:r>
    </w:p>
    <w:p>
      <w:pPr>
        <w:pStyle w:val="TextBody"/>
        <w:bidi w:val="0"/>
        <w:spacing w:lineRule="auto" w:line="288" w:before="68" w:after="283"/>
        <w:jc w:val="left"/>
        <w:rPr>
          <w:rFonts w:ascii="Arial;sans-serif" w:hAnsi="Arial;sans-serif"/>
          <w:b/>
          <w:color w:val="000000"/>
          <w:sz w:val="48"/>
        </w:rPr>
      </w:pPr>
      <w:r>
        <w:rPr>
          <w:rFonts w:ascii="Arial;sans-serif" w:hAnsi="Arial;sans-serif"/>
          <w:b/>
          <w:color w:val="000000"/>
          <w:sz w:val="48"/>
        </w:rPr>
        <w:t>Roles and Responsibilities:</w:t>
      </w:r>
    </w:p>
    <w:p>
      <w:pPr>
        <w:pStyle w:val="TextBody"/>
        <w:bidi w:val="0"/>
        <w:spacing w:lineRule="auto" w:line="288" w:before="281" w:after="283"/>
        <w:jc w:val="both"/>
        <w:rPr/>
      </w:pPr>
      <w:r>
        <w:rPr>
          <w:rFonts w:ascii="Arial;sans-serif" w:hAnsi="Arial;sans-serif"/>
          <w:b/>
          <w:color w:val="000000"/>
          <w:sz w:val="24"/>
        </w:rPr>
        <w:t xml:space="preserve">Internal Audit Department: </w:t>
      </w:r>
      <w:r>
        <w:rPr>
          <w:rFonts w:ascii="Arial;sans-serif" w:hAnsi="Arial;sans-serif"/>
          <w:b w:val="false"/>
          <w:color w:val="000000"/>
          <w:sz w:val="24"/>
        </w:rPr>
        <w:t>Responsible for periodically reviewing this policy and for testing the appropriate control of each department through the internal audit process to ensure the adherence of the program by all employees.</w:t>
      </w:r>
    </w:p>
    <w:p>
      <w:pPr>
        <w:pStyle w:val="TextBody"/>
        <w:bidi w:val="0"/>
        <w:spacing w:before="3" w:after="283"/>
        <w:jc w:val="left"/>
        <w:rPr/>
      </w:pPr>
      <w:r>
        <w:rPr/>
      </w:r>
    </w:p>
    <w:p>
      <w:pPr>
        <w:pStyle w:val="TextBody"/>
        <w:bidi w:val="0"/>
        <w:spacing w:lineRule="auto" w:line="288" w:before="0" w:after="0"/>
        <w:jc w:val="both"/>
        <w:rPr/>
      </w:pPr>
      <w:r>
        <w:rPr>
          <w:rFonts w:ascii="Arial;sans-serif" w:hAnsi="Arial;sans-serif"/>
          <w:b/>
          <w:color w:val="000000"/>
          <w:sz w:val="24"/>
        </w:rPr>
        <w:t xml:space="preserve">Department Heads: </w:t>
      </w:r>
      <w:r>
        <w:rPr>
          <w:rFonts w:ascii="Arial;sans-serif" w:hAnsi="Arial;sans-serif"/>
          <w:b w:val="false"/>
          <w:color w:val="000000"/>
          <w:sz w:val="24"/>
        </w:rPr>
        <w:t>Responsible for ensuring that their departments follow this policy and that they raise all appropriate questions to the Chief Legal Officer or their designee.</w:t>
      </w:r>
    </w:p>
    <w:p>
      <w:pPr>
        <w:pStyle w:val="TextBody"/>
        <w:bidi w:val="0"/>
        <w:spacing w:before="5" w:after="283"/>
        <w:jc w:val="left"/>
        <w:rPr/>
      </w:pPr>
      <w:r>
        <w:rPr/>
      </w:r>
    </w:p>
    <w:p>
      <w:pPr>
        <w:pStyle w:val="TextBody"/>
        <w:bidi w:val="0"/>
        <w:spacing w:lineRule="auto" w:line="288" w:before="0" w:after="0"/>
        <w:jc w:val="both"/>
        <w:rPr/>
      </w:pPr>
      <w:r>
        <w:rPr>
          <w:rFonts w:ascii="Arial;sans-serif" w:hAnsi="Arial;sans-serif"/>
          <w:b/>
          <w:color w:val="000000"/>
          <w:sz w:val="24"/>
        </w:rPr>
        <w:t xml:space="preserve">The Office of the Chief Legal Officer: </w:t>
      </w:r>
      <w:r>
        <w:rPr>
          <w:rFonts w:ascii="Arial;sans-serif" w:hAnsi="Arial;sans-serif"/>
          <w:b w:val="false"/>
          <w:color w:val="000000"/>
          <w:sz w:val="24"/>
        </w:rPr>
        <w:t>Responsible for maintaining the policy and responding to inquiries from department heads.</w:t>
      </w:r>
    </w:p>
    <w:p>
      <w:pPr>
        <w:pStyle w:val="TextBody"/>
        <w:bidi w:val="0"/>
        <w:spacing w:before="4" w:after="283"/>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As mentioned in H above, the ultimate responsibility rests with each employee.</w:t>
      </w:r>
    </w:p>
    <w:p>
      <w:pPr>
        <w:pStyle w:val="TextBody"/>
        <w:bidi w:val="0"/>
        <w:spacing w:before="23" w:after="283"/>
        <w:jc w:val="left"/>
        <w:rPr/>
      </w:pPr>
      <w:r>
        <w:rPr/>
      </w:r>
    </w:p>
    <w:p>
      <w:pPr>
        <w:pStyle w:val="TextBody"/>
        <w:bidi w:val="0"/>
        <w:spacing w:lineRule="auto" w:line="288" w:before="0" w:after="0"/>
        <w:jc w:val="left"/>
        <w:rPr>
          <w:rFonts w:ascii="Arial;sans-serif" w:hAnsi="Arial;sans-serif"/>
          <w:b/>
          <w:color w:val="000000"/>
          <w:sz w:val="48"/>
        </w:rPr>
      </w:pPr>
      <w:r>
        <w:rPr>
          <w:rFonts w:ascii="Arial;sans-serif" w:hAnsi="Arial;sans-serif"/>
          <w:b/>
          <w:color w:val="000000"/>
          <w:sz w:val="48"/>
        </w:rPr>
        <w:t>Review and Approval</w:t>
      </w:r>
    </w:p>
    <w:p>
      <w:pPr>
        <w:pStyle w:val="TextBody"/>
        <w:bidi w:val="0"/>
        <w:spacing w:lineRule="auto" w:line="288" w:before="281" w:after="283"/>
        <w:jc w:val="both"/>
        <w:rPr>
          <w:rFonts w:ascii="Arial;sans-serif" w:hAnsi="Arial;sans-serif"/>
          <w:b w:val="false"/>
          <w:color w:val="000000"/>
          <w:sz w:val="24"/>
        </w:rPr>
      </w:pPr>
      <w:r>
        <w:rPr>
          <w:rFonts w:ascii="Arial;sans-serif" w:hAnsi="Arial;sans-serif"/>
          <w:b w:val="false"/>
          <w:color w:val="000000"/>
          <w:sz w:val="24"/>
        </w:rPr>
        <w:t>This Policy is to be annually reviewed, revised as needed and approved by the Board of Directors (or an appropriate Board Committee).</w:t>
      </w:r>
    </w:p>
    <w:p>
      <w:pPr>
        <w:pStyle w:val="TextBody"/>
        <w:bidi w:val="0"/>
        <w:spacing w:before="24" w:after="283"/>
        <w:jc w:val="left"/>
        <w:rPr/>
      </w:pPr>
      <w:r>
        <w:rPr/>
      </w:r>
    </w:p>
    <w:p>
      <w:pPr>
        <w:pStyle w:val="TextBody"/>
        <w:bidi w:val="0"/>
        <w:spacing w:lineRule="auto" w:line="288" w:before="0" w:after="0"/>
        <w:jc w:val="left"/>
        <w:rPr>
          <w:rFonts w:ascii="Arial;sans-serif" w:hAnsi="Arial;sans-serif"/>
          <w:b/>
          <w:color w:val="000000"/>
          <w:sz w:val="48"/>
        </w:rPr>
      </w:pPr>
      <w:r>
        <w:rPr>
          <w:rFonts w:ascii="Arial;sans-serif" w:hAnsi="Arial;sans-serif"/>
          <w:b/>
          <w:color w:val="000000"/>
          <w:sz w:val="48"/>
        </w:rPr>
        <w:t>Change Log</w:t>
      </w:r>
    </w:p>
    <w:p>
      <w:pPr>
        <w:pStyle w:val="TextBody"/>
        <w:bidi w:val="0"/>
        <w:spacing w:before="71" w:after="1"/>
        <w:jc w:val="left"/>
        <w:rPr/>
      </w:pPr>
      <w:r>
        <w:rPr/>
      </w:r>
    </w:p>
    <w:tbl>
      <w:tblPr>
        <w:tblW w:w="10205" w:type="dxa"/>
        <w:jc w:val="left"/>
        <w:tblInd w:w="0" w:type="dxa"/>
        <w:tblLayout w:type="fixed"/>
        <w:tblCellMar>
          <w:top w:w="28" w:type="dxa"/>
          <w:left w:w="28" w:type="dxa"/>
          <w:bottom w:w="28" w:type="dxa"/>
          <w:right w:w="28" w:type="dxa"/>
        </w:tblCellMar>
      </w:tblPr>
      <w:tblGrid>
        <w:gridCol w:w="537"/>
        <w:gridCol w:w="471"/>
        <w:gridCol w:w="473"/>
        <w:gridCol w:w="2553"/>
        <w:gridCol w:w="2553"/>
        <w:gridCol w:w="3618"/>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op w:val="double" w:sz="6" w:space="0" w:color="A0A0A0"/>
              <w:left w:val="double" w:sz="6" w:space="0" w:color="EFEFEF"/>
            </w:tcBorders>
            <w:tcMar>
              <w:top w:w="30" w:type="dxa"/>
              <w:bottom w:w="0" w:type="dxa"/>
              <w:right w:w="0" w:type="dxa"/>
            </w:tcMar>
            <w:vAlign w:val="center"/>
          </w:tcPr>
          <w:p>
            <w:pPr>
              <w:pStyle w:val="TableContents"/>
              <w:bidi w:val="0"/>
              <w:spacing w:lineRule="auto" w:line="288" w:before="23" w:after="283"/>
              <w:jc w:val="left"/>
              <w:rPr>
                <w:rFonts w:ascii="Times New Roman;sans-serif" w:hAnsi="Times New Roman;sans-serif"/>
                <w:b/>
                <w:color w:val="000000"/>
                <w:sz w:val="24"/>
              </w:rPr>
            </w:pPr>
            <w:r>
              <w:rPr>
                <w:rFonts w:ascii="Times New Roman;sans-serif" w:hAnsi="Times New Roman;sans-serif"/>
                <w:b/>
                <w:color w:val="000000"/>
                <w:sz w:val="24"/>
              </w:rPr>
              <w:t>Approval Date</w:t>
            </w:r>
          </w:p>
        </w:tc>
        <w:tc>
          <w:tcPr>
            <w:tcW w:w="8724" w:type="dxa"/>
            <w:gridSpan w:val="3"/>
            <w:tcBorders>
              <w:top w:val="double" w:sz="6" w:space="0" w:color="A0A0A0"/>
              <w:left w:val="double" w:sz="6" w:space="0" w:color="A0A0A0"/>
              <w:right w:val="double" w:sz="6" w:space="0" w:color="A0A0A0"/>
            </w:tcBorders>
            <w:tcMar>
              <w:top w:w="30" w:type="dxa"/>
              <w:bottom w:w="0" w:type="dxa"/>
            </w:tcMar>
            <w:vAlign w:val="center"/>
          </w:tcPr>
          <w:p>
            <w:pPr>
              <w:pStyle w:val="TableContents"/>
              <w:bidi w:val="0"/>
              <w:spacing w:lineRule="auto" w:line="288" w:before="23" w:after="283"/>
              <w:jc w:val="left"/>
              <w:rPr>
                <w:rFonts w:ascii="Times New Roman;sans-serif" w:hAnsi="Times New Roman;sans-serif"/>
                <w:b/>
                <w:color w:val="000000"/>
                <w:sz w:val="24"/>
              </w:rPr>
            </w:pPr>
            <w:r>
              <w:rPr>
                <w:rFonts w:ascii="Times New Roman;sans-serif" w:hAnsi="Times New Roman;sans-serif"/>
                <w:b/>
                <w:color w:val="000000"/>
                <w:sz w:val="24"/>
              </w:rPr>
              <w:t>Change / Description</w:t>
            </w:r>
          </w:p>
        </w:tc>
      </w:tr>
      <w:tr>
        <w:trPr/>
        <w:tc>
          <w:tcPr>
            <w:tcW w:w="1481" w:type="dxa"/>
            <w:gridSpan w:val="3"/>
            <w:tcBorders>
              <w:top w:val="double" w:sz="6" w:space="0" w:color="A0A0A0"/>
              <w:left w:val="double" w:sz="6" w:space="0" w:color="EFEFEF"/>
            </w:tcBorders>
            <w:tcMar>
              <w:top w:w="30" w:type="dxa"/>
              <w:bottom w:w="0" w:type="dxa"/>
              <w:right w:w="0" w:type="dxa"/>
            </w:tcMar>
            <w:vAlign w:val="center"/>
          </w:tcPr>
          <w:p>
            <w:pPr>
              <w:pStyle w:val="TableContents"/>
              <w:bidi w:val="0"/>
              <w:spacing w:lineRule="auto" w:line="288" w:before="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July 9, 2018</w:t>
            </w:r>
          </w:p>
        </w:tc>
        <w:tc>
          <w:tcPr>
            <w:tcW w:w="8724" w:type="dxa"/>
            <w:gridSpan w:val="3"/>
            <w:tcBorders>
              <w:top w:val="double" w:sz="6" w:space="0" w:color="A0A0A0"/>
              <w:left w:val="double" w:sz="6" w:space="0" w:color="A0A0A0"/>
              <w:right w:val="double" w:sz="6" w:space="0" w:color="A0A0A0"/>
            </w:tcBorders>
            <w:tcMar>
              <w:top w:w="30" w:type="dxa"/>
              <w:bottom w:w="0" w:type="dxa"/>
            </w:tcMar>
            <w:vAlign w:val="center"/>
          </w:tcPr>
          <w:p>
            <w:pPr>
              <w:pStyle w:val="TableContents"/>
              <w:bidi w:val="0"/>
              <w:spacing w:lineRule="auto" w:line="288" w:before="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Initial approval of Policy</w:t>
            </w:r>
          </w:p>
        </w:tc>
      </w:tr>
      <w:tr>
        <w:trPr/>
        <w:tc>
          <w:tcPr>
            <w:tcW w:w="1481" w:type="dxa"/>
            <w:gridSpan w:val="3"/>
            <w:tcBorders>
              <w:top w:val="double" w:sz="6" w:space="0" w:color="A0A0A0"/>
              <w:left w:val="double" w:sz="6" w:space="0" w:color="EFEFEF"/>
            </w:tcBorders>
            <w:tcMar>
              <w:top w:w="30" w:type="dxa"/>
              <w:bottom w:w="0" w:type="dxa"/>
              <w:right w:w="0" w:type="dxa"/>
            </w:tcMar>
            <w:vAlign w:val="center"/>
          </w:tcPr>
          <w:p>
            <w:pPr>
              <w:pStyle w:val="TableContents"/>
              <w:bidi w:val="0"/>
              <w:spacing w:lineRule="auto" w:line="288" w:before="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February 5, 2020</w:t>
            </w:r>
          </w:p>
        </w:tc>
        <w:tc>
          <w:tcPr>
            <w:tcW w:w="8724" w:type="dxa"/>
            <w:gridSpan w:val="3"/>
            <w:tcBorders>
              <w:top w:val="double" w:sz="6" w:space="0" w:color="A0A0A0"/>
              <w:left w:val="double" w:sz="6" w:space="0" w:color="A0A0A0"/>
              <w:right w:val="double" w:sz="6" w:space="0" w:color="A0A0A0"/>
            </w:tcBorders>
            <w:tcMar>
              <w:top w:w="30" w:type="dxa"/>
              <w:bottom w:w="0" w:type="dxa"/>
            </w:tcMar>
            <w:vAlign w:val="center"/>
          </w:tcPr>
          <w:p>
            <w:pPr>
              <w:pStyle w:val="TableContents"/>
              <w:bidi w:val="0"/>
              <w:spacing w:lineRule="auto" w:line="288" w:before="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Annual Policy Approval – No Changes</w:t>
            </w:r>
          </w:p>
        </w:tc>
      </w:tr>
      <w:tr>
        <w:trPr/>
        <w:tc>
          <w:tcPr>
            <w:tcW w:w="1481" w:type="dxa"/>
            <w:gridSpan w:val="3"/>
            <w:tcBorders>
              <w:top w:val="double" w:sz="6" w:space="0" w:color="A0A0A0"/>
              <w:left w:val="double" w:sz="6" w:space="0" w:color="EFEFEF"/>
            </w:tcBorders>
            <w:tcMar>
              <w:top w:w="30" w:type="dxa"/>
              <w:bottom w:w="0" w:type="dxa"/>
              <w:right w:w="0" w:type="dxa"/>
            </w:tcMar>
            <w:vAlign w:val="center"/>
          </w:tcPr>
          <w:p>
            <w:pPr>
              <w:pStyle w:val="TableContents"/>
              <w:bidi w:val="0"/>
              <w:spacing w:lineRule="auto" w:line="288" w:before="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February 3, 2021</w:t>
            </w:r>
          </w:p>
        </w:tc>
        <w:tc>
          <w:tcPr>
            <w:tcW w:w="8724" w:type="dxa"/>
            <w:gridSpan w:val="3"/>
            <w:tcBorders>
              <w:top w:val="double" w:sz="6" w:space="0" w:color="A0A0A0"/>
              <w:left w:val="double" w:sz="6" w:space="0" w:color="A0A0A0"/>
              <w:right w:val="double" w:sz="6" w:space="0" w:color="A0A0A0"/>
            </w:tcBorders>
            <w:tcMar>
              <w:top w:w="30" w:type="dxa"/>
              <w:bottom w:w="0" w:type="dxa"/>
            </w:tcMar>
            <w:vAlign w:val="center"/>
          </w:tcPr>
          <w:p>
            <w:pPr>
              <w:pStyle w:val="TableContents"/>
              <w:bidi w:val="0"/>
              <w:spacing w:lineRule="auto" w:line="288" w:before="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Annual Policy Approval - updated to comply with policy format.</w:t>
            </w:r>
          </w:p>
        </w:tc>
      </w:tr>
      <w:tr>
        <w:trPr/>
        <w:tc>
          <w:tcPr>
            <w:tcW w:w="1481" w:type="dxa"/>
            <w:gridSpan w:val="3"/>
            <w:tcBorders>
              <w:top w:val="double" w:sz="6" w:space="0" w:color="A0A0A0"/>
              <w:left w:val="double" w:sz="6" w:space="0" w:color="EFEFEF"/>
            </w:tcBorders>
            <w:tcMar>
              <w:top w:w="30" w:type="dxa"/>
              <w:bottom w:w="0" w:type="dxa"/>
              <w:right w:w="0" w:type="dxa"/>
            </w:tcMar>
            <w:vAlign w:val="center"/>
          </w:tcPr>
          <w:p>
            <w:pPr>
              <w:pStyle w:val="TableContents"/>
              <w:bidi w:val="0"/>
              <w:spacing w:lineRule="auto" w:line="288" w:before="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January 25, 2022</w:t>
            </w:r>
          </w:p>
        </w:tc>
        <w:tc>
          <w:tcPr>
            <w:tcW w:w="8724" w:type="dxa"/>
            <w:gridSpan w:val="3"/>
            <w:tcBorders>
              <w:top w:val="double" w:sz="6" w:space="0" w:color="A0A0A0"/>
              <w:left w:val="double" w:sz="6" w:space="0" w:color="A0A0A0"/>
              <w:right w:val="double" w:sz="6" w:space="0" w:color="A0A0A0"/>
            </w:tcBorders>
            <w:tcMar>
              <w:top w:w="30" w:type="dxa"/>
              <w:bottom w:w="0" w:type="dxa"/>
            </w:tcMar>
            <w:vAlign w:val="center"/>
          </w:tcPr>
          <w:p>
            <w:pPr>
              <w:pStyle w:val="TableContents"/>
              <w:bidi w:val="0"/>
              <w:spacing w:lineRule="auto" w:line="288" w:before="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Annual Policy Approval - revisions to reflect holdco.</w:t>
            </w:r>
          </w:p>
        </w:tc>
      </w:tr>
      <w:tr>
        <w:trPr/>
        <w:tc>
          <w:tcPr>
            <w:tcW w:w="1481" w:type="dxa"/>
            <w:gridSpan w:val="3"/>
            <w:tcBorders>
              <w:top w:val="double" w:sz="6" w:space="0" w:color="A0A0A0"/>
              <w:left w:val="double" w:sz="6" w:space="0" w:color="EFEFEF"/>
            </w:tcBorders>
            <w:tcMar>
              <w:top w:w="30" w:type="dxa"/>
              <w:bottom w:w="0" w:type="dxa"/>
              <w:right w:w="0" w:type="dxa"/>
            </w:tcMar>
            <w:vAlign w:val="center"/>
          </w:tcPr>
          <w:p>
            <w:pPr>
              <w:pStyle w:val="TableContents"/>
              <w:bidi w:val="0"/>
              <w:spacing w:before="23" w:after="283"/>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June 27, 2022</w:t>
            </w:r>
          </w:p>
        </w:tc>
        <w:tc>
          <w:tcPr>
            <w:tcW w:w="8724" w:type="dxa"/>
            <w:gridSpan w:val="3"/>
            <w:tcBorders>
              <w:top w:val="double" w:sz="6" w:space="0" w:color="A0A0A0"/>
              <w:left w:val="double" w:sz="6" w:space="0" w:color="A0A0A0"/>
              <w:right w:val="double" w:sz="6" w:space="0" w:color="A0A0A0"/>
            </w:tcBorders>
            <w:tcMar>
              <w:top w:w="30" w:type="dxa"/>
              <w:bottom w:w="0" w:type="dxa"/>
            </w:tcMar>
            <w:vAlign w:val="center"/>
          </w:tcPr>
          <w:p>
            <w:pPr>
              <w:pStyle w:val="TableContents"/>
              <w:bidi w:val="0"/>
              <w:spacing w:lineRule="auto" w:line="288" w:before="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Annual Policy Approval – revisions to reflect incorporation of new pre-clearance form and provide updates/clarifications throughout the policy</w:t>
            </w:r>
          </w:p>
        </w:tc>
      </w:tr>
      <w:tr>
        <w:trPr/>
        <w:tc>
          <w:tcPr>
            <w:tcW w:w="1481" w:type="dxa"/>
            <w:gridSpan w:val="3"/>
            <w:tcBorders>
              <w:top w:val="double" w:sz="6" w:space="0" w:color="A0A0A0"/>
              <w:left w:val="double" w:sz="6" w:space="0" w:color="EFEFEF"/>
            </w:tcBorders>
            <w:tcMar>
              <w:top w:w="30" w:type="dxa"/>
              <w:bottom w:w="0" w:type="dxa"/>
              <w:right w:w="0" w:type="dxa"/>
            </w:tcMar>
            <w:vAlign w:val="center"/>
          </w:tcPr>
          <w:p>
            <w:pPr>
              <w:pStyle w:val="TableContents"/>
              <w:bidi w:val="0"/>
              <w:spacing w:before="23" w:after="283"/>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Month Day, Year</w:t>
            </w:r>
          </w:p>
        </w:tc>
        <w:tc>
          <w:tcPr>
            <w:tcW w:w="8724" w:type="dxa"/>
            <w:gridSpan w:val="3"/>
            <w:tcBorders>
              <w:top w:val="double" w:sz="6" w:space="0" w:color="A0A0A0"/>
              <w:left w:val="double" w:sz="6" w:space="0" w:color="A0A0A0"/>
              <w:right w:val="double" w:sz="6" w:space="0" w:color="A0A0A0"/>
            </w:tcBorders>
            <w:tcMar>
              <w:top w:w="30" w:type="dxa"/>
              <w:bottom w:w="0" w:type="dxa"/>
            </w:tcMar>
            <w:vAlign w:val="center"/>
          </w:tcPr>
          <w:p>
            <w:pPr>
              <w:pStyle w:val="TableContents"/>
              <w:bidi w:val="0"/>
              <w:spacing w:lineRule="auto" w:line="288" w:before="23"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Annual Policy Approval – revisions to include 10B5-1 Plan Policy and some conforming changes to align 10B5-1 Plan Policy with the rest of this Policy.</w:t>
            </w:r>
          </w:p>
        </w:tc>
      </w:tr>
      <w:tr>
        <w:trPr/>
        <w:tc>
          <w:tcPr>
            <w:tcW w:w="1481" w:type="dxa"/>
            <w:gridSpan w:val="3"/>
            <w:tcBorders>
              <w:top w:val="double" w:sz="6" w:space="0" w:color="A0A0A0"/>
              <w:left w:val="double" w:sz="6" w:space="0" w:color="EFEFEF"/>
              <w:bottom w:val="double" w:sz="6" w:space="0" w:color="A0A0A0"/>
            </w:tcBorders>
            <w:tcMar>
              <w:top w:w="30" w:type="dxa"/>
              <w:bottom w:w="30" w:type="dxa"/>
              <w:right w:w="0" w:type="dxa"/>
            </w:tcMar>
            <w:vAlign w:val="center"/>
          </w:tcPr>
          <w:p>
            <w:pPr>
              <w:pStyle w:val="TableContents"/>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July 22, 2024</w:t>
            </w:r>
          </w:p>
        </w:tc>
        <w:tc>
          <w:tcPr>
            <w:tcW w:w="8724" w:type="dxa"/>
            <w:gridSpan w:val="3"/>
            <w:tcBorders>
              <w:top w:val="double" w:sz="6" w:space="0" w:color="A0A0A0"/>
              <w:left w:val="double" w:sz="6" w:space="0" w:color="A0A0A0"/>
              <w:bottom w:val="double" w:sz="6" w:space="0" w:color="A0A0A0"/>
              <w:right w:val="double" w:sz="6" w:space="0" w:color="A0A0A0"/>
            </w:tcBorders>
            <w:tcMar>
              <w:top w:w="30" w:type="dxa"/>
              <w:bottom w:w="30" w:type="dxa"/>
            </w:tcMar>
            <w:vAlign w:val="center"/>
          </w:tcPr>
          <w:p>
            <w:pPr>
              <w:pStyle w:val="TableContents"/>
              <w:bidi w:val="0"/>
              <w:spacing w:lineRule="auto" w:line="288" w:before="23"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Annual Policy Approval – revisions to provide updates/clarifications on trading in other companies’ securities and gifts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0" w:after="283"/>
        <w:jc w:val="left"/>
        <w:rPr/>
      </w:pPr>
      <w:r>
        <w:rPr/>
        <w:drawing>
          <wp:inline distT="0" distB="0" distL="0" distR="0">
            <wp:extent cx="6858000" cy="19050"/>
            <wp:effectExtent l="0" t="0" r="0" b="0"/>
            <wp:docPr id="17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 descr=""/>
                    <pic:cNvPicPr>
                      <a:picLocks noChangeAspect="1" noChangeArrowheads="1"/>
                    </pic:cNvPicPr>
                  </pic:nvPicPr>
                  <pic:blipFill>
                    <a:blip r:embed="rId61"/>
                    <a:stretch>
                      <a:fillRect/>
                    </a:stretch>
                  </pic:blipFill>
                  <pic:spPr bwMode="auto">
                    <a:xfrm>
                      <a:off x="0" y="0"/>
                      <a:ext cx="6858000" cy="190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47395"/>
                <wp:effectExtent l="0" t="0" r="0" b="0"/>
                <wp:wrapNone/>
                <wp:docPr id="175" name="Frame17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81.35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19.1</w:t>
      </w:r>
    </w:p>
    <w:p>
      <w:pPr>
        <w:pStyle w:val="TextBody"/>
        <w:bidi w:val="0"/>
        <w:spacing w:before="0" w:after="0"/>
        <w:jc w:val="left"/>
        <w:rPr/>
      </w:pPr>
      <w:r>
        <w:rPr/>
      </w:r>
    </w:p>
    <w:p>
      <w:pPr>
        <w:pStyle w:val="TextBody"/>
        <w:bidi w:val="0"/>
        <w:spacing w:lineRule="auto" w:line="288" w:before="68" w:after="283"/>
        <w:jc w:val="left"/>
        <w:rPr>
          <w:rFonts w:ascii="Arial;sans-serif" w:hAnsi="Arial;sans-serif"/>
          <w:b/>
          <w:color w:val="000000"/>
          <w:sz w:val="48"/>
        </w:rPr>
      </w:pPr>
      <w:r>
        <w:rPr>
          <w:rFonts w:ascii="Arial;sans-serif" w:hAnsi="Arial;sans-serif"/>
          <w:b/>
          <w:color w:val="000000"/>
          <w:sz w:val="48"/>
        </w:rPr>
        <w:t>Appendices</w:t>
      </w:r>
    </w:p>
    <w:p>
      <w:pPr>
        <w:pStyle w:val="TextBody"/>
        <w:bidi w:val="0"/>
        <w:spacing w:lineRule="auto" w:line="288" w:before="281" w:after="283"/>
        <w:jc w:val="left"/>
        <w:rPr>
          <w:rFonts w:ascii="Arial;sans-serif" w:hAnsi="Arial;sans-serif"/>
          <w:b/>
          <w:color w:val="000000"/>
          <w:sz w:val="40"/>
        </w:rPr>
      </w:pPr>
      <w:r>
        <w:rPr>
          <w:rFonts w:ascii="Arial;sans-serif" w:hAnsi="Arial;sans-serif"/>
          <w:b/>
          <w:color w:val="000000"/>
          <w:sz w:val="40"/>
        </w:rPr>
        <w:t>Insider Trading Policy Addendum</w:t>
      </w:r>
    </w:p>
    <w:p>
      <w:pPr>
        <w:pStyle w:val="TextBody"/>
        <w:bidi w:val="0"/>
        <w:spacing w:lineRule="auto" w:line="288" w:before="280" w:after="283"/>
        <w:jc w:val="left"/>
        <w:rPr/>
      </w:pPr>
      <w:r>
        <w:rPr>
          <w:rFonts w:ascii="Arial;sans-serif" w:hAnsi="Arial;sans-serif"/>
          <w:b w:val="false"/>
          <w:color w:val="000000"/>
          <w:sz w:val="24"/>
        </w:rPr>
        <w:t xml:space="preserve">To help prevent inadvertent violations of the federal securities laws and to avoid even the appearance of trading on the basis of Material Nonpublic Information, the Company’s Board of Directors has adopted the Addendum that applies to executive officers, and certain designated employees and agents of the Company and its subsidiaries who have routine access to Material Nonpublic Information about the Company. </w:t>
      </w:r>
      <w:r>
        <w:rPr>
          <w:rFonts w:ascii="Arial;sans-serif" w:hAnsi="Arial;sans-serif"/>
          <w:b/>
          <w:color w:val="000000"/>
          <w:sz w:val="24"/>
        </w:rPr>
        <w:t>Attachments:</w:t>
      </w:r>
    </w:p>
    <w:p>
      <w:pPr>
        <w:pStyle w:val="TextBody"/>
        <w:bidi w:val="0"/>
        <w:spacing w:before="4" w:after="283"/>
        <w:jc w:val="left"/>
        <w:rPr/>
      </w:pPr>
      <w:r>
        <w:rPr/>
      </w:r>
    </w:p>
    <w:p>
      <w:pPr>
        <w:pStyle w:val="TextBody"/>
        <w:bidi w:val="0"/>
        <w:spacing w:lineRule="auto" w:line="288" w:before="0" w:after="0"/>
        <w:ind w:left="0" w:right="0" w:hanging="359"/>
        <w:jc w:val="left"/>
        <w:rPr/>
      </w:pPr>
      <w:r>
        <w:rPr>
          <w:color w:val="000000"/>
        </w:rPr>
        <w:t>•</w:t>
      </w:r>
      <w:r>
        <w:rPr>
          <w:rFonts w:ascii="Arial;sans-serif" w:hAnsi="Arial;sans-serif"/>
          <w:b w:val="false"/>
          <w:color w:val="0000FF"/>
          <w:sz w:val="24"/>
          <w:u w:val="single"/>
        </w:rPr>
        <w:t>Insider Trading Policy Addendum.pdf</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21.1</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47395"/>
                <wp:effectExtent l="0" t="0" r="0" b="0"/>
                <wp:wrapNone/>
                <wp:docPr id="176" name="Frame17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420pt;mso-position-horizontal:left;mso-position-horizontal-relative:text">
                <v:textbox>
                  <w:txbxContent>
                    <w:tbl>
                      <w:tblPr>
                        <w:tblW w:w="1499" w:type="dxa"/>
                        <w:jc w:val="left"/>
                        <w:tblInd w:w="0" w:type="dxa"/>
                        <w:tblLayout w:type="fixed"/>
                        <w:tblCellMar>
                          <w:top w:w="28" w:type="dxa"/>
                          <w:left w:w="28" w:type="dxa"/>
                          <w:bottom w:w="28" w:type="dxa"/>
                          <w:right w:w="28" w:type="dxa"/>
                        </w:tblCellMar>
                      </w:tblPr>
                      <w:tblGrid>
                        <w:gridCol w:w="478"/>
                        <w:gridCol w:w="422"/>
                        <w:gridCol w:w="599"/>
                      </w:tblGrid>
                      <w:tr>
                        <w:trPr/>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6"/>
                              </w:rPr>
                            </w:pPr>
                            <w:r>
                              <w:rPr>
                                <w:rFonts w:ascii="Times New Roman;sans-serif" w:hAnsi="Times New Roman;sans-serif"/>
                                <w:b w:val="false"/>
                                <w:color w:val="000000"/>
                                <w:sz w:val="16"/>
                              </w:rPr>
                              <w:t>4867-9420-6549\3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the subsidiaries of Amalgamated Financial Corp.:</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1.Amalgamated Bank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2.Amalgamated Merger Subsidiary, Inc., incorporated in Illinois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the subsidiaries of Amalgamated Bank:</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1.Amalgamated Real Estate Management Company, Inc.,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2.275 Property Holdings, Inc.,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3.275A Property Holdings, Inc.,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4.727 Holdings, LLC, incorporated in New Jersey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5.AT2017 LLC, incorporated in New Jersey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6.The New Hillman Company, incorporated in New York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the subsidiaries of Amalgamated Bank, as Trustee of Longview Ultra Construction Loan Investment Fund (for trust other real estate owned properties):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1.Mill Condominiums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2.LV Holdings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3.LV Holdings Sole Member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4.1352 Lofts Property Corporation, incorporated in Pennsylvania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5.1352 Lofts Property Holdings, LP, incorporated in Pennsylvania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6.39 Grant Property Holdings, LLC, incorporated in Massachusetts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7.Winthrop Club at Bletchley Park LLC, incorporated in Illinois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8.80 East Milton Avenue, LLC, incorporated in New Jersey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9.Park Lafayette Property Holdings, LLC, incorporated in Wisconsin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10.21 Water Street Development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11.Water Street Property Holdings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12.Tower Drive Property Holdings LLC, incorporated in Rhode Island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13.Tower Drive Development LLC, incorporated in Rhode Island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14.One Madison R/A Holdings, LLC, incorporated in Delaware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15.ABQ Studios, LLC, incorporated in New Mexico</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16.Pacifica Mesa Studios, LLC, incorporated in California</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17.Bletchley Hotel at O'Hare Field LLC, incorporated in Illinois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18.Terrazio on South Wabash LLC, incorporated in Illinois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19.321 Glisan Property Holdings LLC, incorporated in Oregon</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20.Water Street Development at Sag Harbor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21.Broad Street Property Holdings GP Corporation, incorporated in Pennsylvania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22.Broad Street Property Holdings, LP, incorporated in Pennsylvania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23.Signit Parking at LAX, LLC, incorporated in California</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24.Humnit Hotel at LAX, LLC, incorporated in California</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25.Lacon Property Development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26.66th Street Property Development LLC, incorporated in New York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27.Fort Tryon Overlook LLC, incorporated in New York</w:t>
      </w:r>
    </w:p>
    <w:p>
      <w:pPr>
        <w:pStyle w:val="TextBody"/>
        <w:bidi w:val="0"/>
        <w:spacing w:lineRule="auto" w:line="288"/>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28.Fort Tryon Overlook Property Owner LLC, incorporated in New York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CONSENT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Registration Statement No. 333-248652 on Form S-4EF, as amended on Form S-4/A and on Post-Effective Amendment No. 1 on Form S-8, Registration Statement Nos. 333-273064 and 333-254074 on Form S-8 and Registration Statement No. 333-260076 on Form S-3 of Amalgamated Financial Corp. of our report dated March 6, 2025 relating to the consolidated financial statements of Amalgamated Financial Corp. and the effectiveness of internal control over financial reporting, appearing in this Annual Report on Form 10-K.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 Crowe LLP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Livingston, New Jersey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March 6, 2025</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Rule 13a-14(a) Certification of the 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Priscilla Sims Brown,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Amalgamated Financial Corp.;</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6, 2025 </w:t>
      </w:r>
    </w:p>
    <w:tbl>
      <w:tblPr>
        <w:tblW w:w="4992" w:type="dxa"/>
        <w:jc w:val="right"/>
        <w:tblInd w:w="0" w:type="dxa"/>
        <w:tblLayout w:type="fixed"/>
        <w:tblCellMar>
          <w:top w:w="28" w:type="dxa"/>
          <w:left w:w="28" w:type="dxa"/>
          <w:bottom w:w="28" w:type="dxa"/>
          <w:right w:w="28" w:type="dxa"/>
        </w:tblCellMar>
      </w:tblPr>
      <w:tblGrid>
        <w:gridCol w:w="868"/>
        <w:gridCol w:w="762"/>
        <w:gridCol w:w="762"/>
        <w:gridCol w:w="762"/>
        <w:gridCol w:w="762"/>
        <w:gridCol w:w="1076"/>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9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Priscilla Sims Brown</w:t>
            </w:r>
          </w:p>
        </w:tc>
      </w:tr>
      <w:tr>
        <w:trPr/>
        <w:tc>
          <w:tcPr>
            <w:tcW w:w="49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Priscilla Sims Brown,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pPr>
      <w:r>
        <w:rPr>
          <w:rFonts w:ascii="Times New Roman;sans-serif" w:hAnsi="Times New Roman;sans-serif"/>
          <w:b/>
          <w:color w:val="000000"/>
          <w:sz w:val="20"/>
        </w:rPr>
        <w:t>Rule 13a-14(a)</w:t>
      </w:r>
      <w:r>
        <w:rPr>
          <w:color w:val="000000"/>
        </w:rPr>
        <w:t xml:space="preserve"> </w:t>
      </w:r>
      <w:r>
        <w:rPr>
          <w:rFonts w:ascii="Times New Roman;sans-serif" w:hAnsi="Times New Roman;sans-serif"/>
          <w:b/>
          <w:color w:val="000000"/>
          <w:sz w:val="20"/>
        </w:rPr>
        <w:t>Certification of the 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Jason Darby,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Amalgamated Financial Corp.;</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6, 2025</w:t>
      </w:r>
    </w:p>
    <w:tbl>
      <w:tblPr>
        <w:tblW w:w="3105" w:type="dxa"/>
        <w:jc w:val="right"/>
        <w:tblInd w:w="0" w:type="dxa"/>
        <w:tblLayout w:type="fixed"/>
        <w:tblCellMar>
          <w:top w:w="28" w:type="dxa"/>
          <w:left w:w="28" w:type="dxa"/>
          <w:bottom w:w="28" w:type="dxa"/>
          <w:right w:w="28" w:type="dxa"/>
        </w:tblCellMar>
      </w:tblPr>
      <w:tblGrid>
        <w:gridCol w:w="991"/>
        <w:gridCol w:w="873"/>
        <w:gridCol w:w="1241"/>
      </w:tblGrid>
      <w:tr>
        <w:trPr/>
        <w:tc>
          <w:tcPr>
            <w:tcW w:w="9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Jason Darby</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Jason Darby,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Amalgamated Financial Corp. (the “Company”) on Form 10-K for the year ended December 31, 2024 as filed with the U.S. Securities and Exchange Commission on the date hereof (the “Report”), the undersigned officers each certify, pursuant to 18 U.S.C. Section 1350, as adopted pursuant to Section 906 of the Sarbanes-Oxley Act of 2002 that, to his knowledge: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551" w:type="dxa"/>
        <w:jc w:val="right"/>
        <w:tblInd w:w="0" w:type="dxa"/>
        <w:tblLayout w:type="fixed"/>
        <w:tblCellMar>
          <w:top w:w="28" w:type="dxa"/>
          <w:left w:w="28" w:type="dxa"/>
          <w:bottom w:w="28" w:type="dxa"/>
          <w:right w:w="28" w:type="dxa"/>
        </w:tblCellMar>
      </w:tblPr>
      <w:tblGrid>
        <w:gridCol w:w="1149"/>
        <w:gridCol w:w="1010"/>
        <w:gridCol w:w="1020"/>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Priscilla Sims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Priscilla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Jason Darby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Darby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hanging="72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3608/000119312521062425/d132716dex31.htm" TargetMode="External"/><Relationship Id="rId4" Type="http://schemas.openxmlformats.org/officeDocument/2006/relationships/hyperlink" Target="https://www.sec.gov/Archives/edgar/data/1823608/000119312521062425/d132716dex32.htm" TargetMode="External"/><Relationship Id="rId5" Type="http://schemas.openxmlformats.org/officeDocument/2006/relationships/hyperlink" Target="https://www.sec.gov/Archives/edgar/data/1823608/000119312521062425/d132716dex32.htm" TargetMode="External"/><Relationship Id="rId6" Type="http://schemas.openxmlformats.org/officeDocument/2006/relationships/hyperlink" Target="https://www.sec.gov/Archives/edgar/data/1823608/000119312521062425/d132716dex32.htm" TargetMode="External"/><Relationship Id="rId7" Type="http://schemas.openxmlformats.org/officeDocument/2006/relationships/hyperlink" Target="https://www.sec.gov/Archives/edgar/data/1823608/000119312521062425/d132716dex32.htm" TargetMode="External"/><Relationship Id="rId8" Type="http://schemas.openxmlformats.org/officeDocument/2006/relationships/hyperlink" Target="https://www.sec.gov/Archives/edgar/data/1823608/000119312521062425/d132716dex32.htm" TargetMode="External"/><Relationship Id="rId9" Type="http://schemas.openxmlformats.org/officeDocument/2006/relationships/hyperlink" Target="https://www.sec.gov/Archives/edgar/data/1823608/000119312521062425/d132716dex32.htm" TargetMode="External"/><Relationship Id="rId10" Type="http://schemas.openxmlformats.org/officeDocument/2006/relationships/hyperlink" Target="https://www.sec.gov/Archives/edgar/data/1823608/000119312521062425/d132716dex32.htm" TargetMode="External"/><Relationship Id="rId11" Type="http://schemas.openxmlformats.org/officeDocument/2006/relationships/hyperlink" Target="https://www.sec.gov/Archives/edgar/data/1823608/000119312521062425/d132716dex32.htm" TargetMode="External"/><Relationship Id="rId12" Type="http://schemas.openxmlformats.org/officeDocument/2006/relationships/hyperlink" Target="https://www.sec.gov/Archives/edgar/data/1823608/000119312521062425/d132716dex32.htm" TargetMode="External"/><Relationship Id="rId13" Type="http://schemas.openxmlformats.org/officeDocument/2006/relationships/hyperlink" Target="https://www.sec.gov/Archives/edgar/data/1823608/000119312520240985/d76363dex41.htm" TargetMode="External"/><Relationship Id="rId14" Type="http://schemas.openxmlformats.org/officeDocument/2006/relationships/hyperlink" Target="https://www.sec.gov/Archives/edgar/data/1823608/000119312520240985/d76363dex42.htm" TargetMode="External"/><Relationship Id="rId15" Type="http://schemas.openxmlformats.org/officeDocument/2006/relationships/hyperlink" Target="https://www.sec.gov/Archives/edgar/data/1823608/000119312520240985/d76363dex43.htm" TargetMode="External"/><Relationship Id="rId16" Type="http://schemas.openxmlformats.org/officeDocument/2006/relationships/hyperlink" Target="https://www.sec.gov/Archives/edgar/data/1823608/000182360821000010/a202012_amal10-kxex46.htm" TargetMode="External"/><Relationship Id="rId17" Type="http://schemas.openxmlformats.org/officeDocument/2006/relationships/hyperlink" Target="https://www.sec.gov/Archives/edgar/data/0001823608/000155278121000788/e21608_ex4-1.htm" TargetMode="External"/><Relationship Id="rId18" Type="http://schemas.openxmlformats.org/officeDocument/2006/relationships/hyperlink" Target="https://www.sec.gov/Archives/edgar/data/0001823608/000155278121000788/e21608_ex4-2.htm" TargetMode="External"/><Relationship Id="rId19" Type="http://schemas.openxmlformats.org/officeDocument/2006/relationships/hyperlink" Target="https://www.sec.gov/Archives/edgar/data/1823608/000155278121000788/e21608_ex4-2.htm" TargetMode="External"/><Relationship Id="rId20" Type="http://schemas.openxmlformats.org/officeDocument/2006/relationships/hyperlink" Target="https://www.sec.gov/Archives/edgar/data/1823608/000119312520240985/d76363dex104.htm" TargetMode="External"/><Relationship Id="rId21" Type="http://schemas.openxmlformats.org/officeDocument/2006/relationships/hyperlink" Target="https://www.sec.gov/Archives/edgar/data/1823608/000119312520240985/d76363dex105.htm" TargetMode="External"/><Relationship Id="rId22" Type="http://schemas.openxmlformats.org/officeDocument/2006/relationships/hyperlink" Target="https://www.sec.gov/Archives/edgar/data/1823608/000119312520240985/d76363dex105.htm" TargetMode="External"/><Relationship Id="rId23" Type="http://schemas.openxmlformats.org/officeDocument/2006/relationships/hyperlink" Target="https://www.sec.gov/Archives/edgar/data/1823608/000119312520240985/d76363dex105.htm" TargetMode="External"/><Relationship Id="rId24" Type="http://schemas.openxmlformats.org/officeDocument/2006/relationships/hyperlink" Target="https://www.sec.gov/Archives/edgar/data/1823608/000119312520240985/d76363dex105.htm" TargetMode="External"/><Relationship Id="rId25" Type="http://schemas.openxmlformats.org/officeDocument/2006/relationships/hyperlink" Target="https://www.sec.gov/Archives/edgar/data/1823608/000119312520240985/d76363dex105.htm" TargetMode="External"/><Relationship Id="rId26" Type="http://schemas.openxmlformats.org/officeDocument/2006/relationships/hyperlink" Target="https://www.sec.gov/Archives/edgar/data/1823608/000119312520240985/d76363dex105.htm" TargetMode="External"/><Relationship Id="rId27" Type="http://schemas.openxmlformats.org/officeDocument/2006/relationships/hyperlink" Target="https://www.sec.gov/Archives/edgar/data/1823608/000119312520240985/d76363dex105.htm" TargetMode="External"/><Relationship Id="rId28" Type="http://schemas.openxmlformats.org/officeDocument/2006/relationships/hyperlink" Target="https://www.sec.gov/Archives/edgar/data/1823608/000119312520240985/d76363dex105.htm" TargetMode="External"/><Relationship Id="rId29" Type="http://schemas.openxmlformats.org/officeDocument/2006/relationships/hyperlink" Target="https://www.sec.gov/Archives/edgar/data/1823608/000119312520240985/d76363dex105.htm" TargetMode="External"/><Relationship Id="rId30" Type="http://schemas.openxmlformats.org/officeDocument/2006/relationships/hyperlink" Target="https://www.sec.gov/Archives/edgar/data/1823608/000119312520240985/d76363dex105.htm" TargetMode="External"/><Relationship Id="rId31" Type="http://schemas.openxmlformats.org/officeDocument/2006/relationships/hyperlink" Target="https://www.sec.gov/Archives/edgar/data/1823608/000119312520240985/d76363dex105.htm" TargetMode="External"/><Relationship Id="rId32" Type="http://schemas.openxmlformats.org/officeDocument/2006/relationships/hyperlink" Target="https://www.sec.gov/Archives/edgar/data/1823608/000119312520240985/d76363dex105.htm" TargetMode="External"/><Relationship Id="rId33" Type="http://schemas.openxmlformats.org/officeDocument/2006/relationships/hyperlink" Target="https://www.sec.gov/Archives/edgar/data/1823608/000119312520240985/d76363dex105.htm" TargetMode="External"/><Relationship Id="rId34" Type="http://schemas.openxmlformats.org/officeDocument/2006/relationships/hyperlink" Target="https://www.sec.gov/Archives/edgar/data/1823608/000119312520240985/d76363dex105.htm" TargetMode="External"/><Relationship Id="rId35" Type="http://schemas.openxmlformats.org/officeDocument/2006/relationships/hyperlink" Target="https://www.sec.gov/Archives/edgar/data/1823608/000119312520240985/d76363dex105.htm" TargetMode="External"/><Relationship Id="rId36" Type="http://schemas.openxmlformats.org/officeDocument/2006/relationships/hyperlink" Target="https://www.sec.gov/Archives/edgar/data/1823608/000119312520240985/d76363dex105.htm" TargetMode="External"/><Relationship Id="rId37" Type="http://schemas.openxmlformats.org/officeDocument/2006/relationships/hyperlink" Target="https://www.sec.gov/Archives/edgar/data/1823608/000119312520240985/d76363dex105.htm" TargetMode="External"/><Relationship Id="rId38" Type="http://schemas.openxmlformats.org/officeDocument/2006/relationships/hyperlink" Target="https://www.sec.gov/Archives/edgar/data/1823608/000119312520240985/d76363dex107.htm" TargetMode="External"/><Relationship Id="rId39" Type="http://schemas.openxmlformats.org/officeDocument/2006/relationships/hyperlink" Target="https://www.sec.gov/Archives/edgar/data/1823608/000119312520240985/d76363dex109.htm" TargetMode="External"/><Relationship Id="rId40" Type="http://schemas.openxmlformats.org/officeDocument/2006/relationships/hyperlink" Target="https://www.sec.gov/Archives/edgar/data/1823608/000119312520240985/d76363dex1010.htm" TargetMode="External"/><Relationship Id="rId41" Type="http://schemas.openxmlformats.org/officeDocument/2006/relationships/hyperlink" Target="https://www.sec.gov/Archives/edgar/data/1823608/000182360821000042/annualincentiveplannew0503.htm" TargetMode="External"/><Relationship Id="rId42" Type="http://schemas.openxmlformats.org/officeDocument/2006/relationships/hyperlink" Target="https://www.sec.gov/Archives/edgar/data/1823608/000119312520240985/d76363dex1012.htm" TargetMode="External"/><Relationship Id="rId43" Type="http://schemas.openxmlformats.org/officeDocument/2006/relationships/hyperlink" Target="https://www.sec.gov/Archives/edgar/data/1823608/000119312520240985/d76363dex1013.htm" TargetMode="External"/><Relationship Id="rId44" Type="http://schemas.openxmlformats.org/officeDocument/2006/relationships/hyperlink" Target="https://www.sec.gov/Archives/edgar/data/1823608/000119312520240985/d76363dex1014.htm" TargetMode="External"/><Relationship Id="rId45" Type="http://schemas.openxmlformats.org/officeDocument/2006/relationships/hyperlink" Target="https://www.sec.gov/Archives/edgar/data/1823608/000119312520240985/d76363dex1015.htm" TargetMode="External"/><Relationship Id="rId46" Type="http://schemas.openxmlformats.org/officeDocument/2006/relationships/hyperlink" Target="https://www.sec.gov/Archives/edgar/data/1823608/000119312520240985/d76363dex1016.htm" TargetMode="External"/><Relationship Id="rId47" Type="http://schemas.openxmlformats.org/officeDocument/2006/relationships/hyperlink" Target="https://www.sec.gov/Archives/edgar/data/0001823608/000119312521075630/d141974dex103.htm" TargetMode="External"/><Relationship Id="rId48" Type="http://schemas.openxmlformats.org/officeDocument/2006/relationships/hyperlink" Target="https://www.sec.gov/Archives/edgar/data/1823608/000119312521075630/d141974dex104.htm" TargetMode="External"/><Relationship Id="rId49" Type="http://schemas.openxmlformats.org/officeDocument/2006/relationships/hyperlink" Target="https://www.sec.gov/Archives/edgar/data/1823608/000119312521075630/d141974dex105.htm" TargetMode="External"/><Relationship Id="rId50" Type="http://schemas.openxmlformats.org/officeDocument/2006/relationships/hyperlink" Target="https://www.sec.gov/Archives/edgar/data/1823608/000182360821000010/a202012_amal10-kxex1022.htm" TargetMode="External"/><Relationship Id="rId51" Type="http://schemas.openxmlformats.org/officeDocument/2006/relationships/hyperlink" Target="https://www.sec.gov/Archives/edgar/data/1823608/000182360821000010/a202012_amal10-kxex1026.htm" TargetMode="External"/><Relationship Id="rId52" Type="http://schemas.openxmlformats.org/officeDocument/2006/relationships/hyperlink" Target="https://www.sec.gov/Archives/edgar/data/1823608/000155278121000402/e21377_ex10-1.htm" TargetMode="External"/><Relationship Id="rId53" Type="http://schemas.openxmlformats.org/officeDocument/2006/relationships/hyperlink" Target="https://www.sec.gov/Archives/edgar/data/1823608/000155278121000402/e21377_ex10-2.htm" TargetMode="External"/><Relationship Id="rId54" Type="http://schemas.openxmlformats.org/officeDocument/2006/relationships/hyperlink" Target="https://www.sec.gov/Archives/edgar/data/1823608/000182360823000074/a2022afcproxy.htm" TargetMode="External"/><Relationship Id="rId55" Type="http://schemas.openxmlformats.org/officeDocument/2006/relationships/hyperlink" Target="https://www.sec.gov/Archives/edgar/data/1823608/000182360822000146/a101amalgamatedbank-sean.htm" TargetMode="External"/><Relationship Id="rId56" Type="http://schemas.openxmlformats.org/officeDocument/2006/relationships/hyperlink" Target="https://www.sec.gov/Archives/edgar/data/1823608/000182360822000146/a102amalgamatedbank-jaso.htm" TargetMode="External"/><Relationship Id="rId57" Type="http://schemas.openxmlformats.org/officeDocument/2006/relationships/hyperlink" Target="https://www.sec.gov/Archives/edgar/data/1823608/000182360822000146/a103amalgamatedbank-samb.htm" TargetMode="External"/><Relationship Id="rId58" Type="http://schemas.openxmlformats.org/officeDocument/2006/relationships/hyperlink" Target="https://www.sec.gov/Archives/edgar/data/1823608/000182360822000146/a104amalgamatedbank-mand.htm" TargetMode="External"/><Relationship Id="rId59" Type="http://schemas.openxmlformats.org/officeDocument/2006/relationships/hyperlink" Target="https://www.sec.gov/Archives/edgar/data/1823608/000182360822000125/amalgamated-severancepol.htm" TargetMode="External"/><Relationship Id="rId60" Type="http://schemas.openxmlformats.org/officeDocument/2006/relationships/image" Target="media/image2.png"/><Relationship Id="rId61" Type="http://schemas.openxmlformats.org/officeDocument/2006/relationships/image" Target="media/image3.pn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85631</Words>
  <Characters>480823</Characters>
  <CharactersWithSpaces>563441</CharactersWithSpaces>
  <Paragraphs>9113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