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November 4, 2024, the registrant had 30,669,303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September 30, 2024 and December 31,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September 30,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September 30, 2024 and 2023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September 30,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2024 and 2023</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line="350"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Page </w:t>
      </w:r>
      <w:r>
        <w:rPr>
          <w:rFonts w:ascii="Times New Roman" w:cs="Times New Roman" w:eastAsia="Times New Roman" w:hAnsi="Times New Roman"/>
          <w:sz w:val="17"/>
          <w:szCs w:val="17"/>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47</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75</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10480" w:space="36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“approximately,” “will,” “anticipate,” “should,” “would,” “believe,” “contemplate,” “expect,” “estimate,” “continue,” “plan,” “possible,” and “intend,”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our core markets, which may have an adverse impact on our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line="23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deposits, including an increase in uninsured deposits;</w:t>
      </w:r>
    </w:p>
    <w:p>
      <w:pPr>
        <w:ind w:left="660" w:hanging="328"/>
        <w:spacing w:after="0" w:line="24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to meet our deposit and debt obligations as they come due, which may require that we sell investment securities at a loss, negatively impacting our net income, earnings and capital;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our stock price and the value of our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our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regulation, public policies, or administrative practices impacting the banking industry, including increased minimum capital requirements and other regulation in the aftermath of recent bank failures;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we make and policies that we implement in establishing our allowance for credit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our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exposure from the use of “big data” techniques, machine learning, and artificial intelligence;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in our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us and our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floods, and other natural disasters) affecting the markets in which we operate;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our business and the businesses that we finance;</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our shares through our common stock repurchase program;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145,261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87,714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149,207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1,617,045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1,429,739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149,500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53,303</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1,766,545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1,483,042</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$51 and $54, respectively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583,788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620,232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$641 and $667, respectively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1,028,588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1,076,602</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1,612,376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1,696,834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4,547,903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4,486,437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4,345,628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105,528</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56,603</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25,371</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8,413,640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7,594,564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7,011,988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304,927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39,399</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7,715,308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7,386,960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30,776,163 and 30,736,141 shares issued, respectively, and</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30,662,883 and 30,428,359 shares outstanding, respectively)</w:t>
            </w: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287,167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288,232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388,033</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(113,280 and 307,782 shares,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0" w:type="dxa"/>
            <w:vAlign w:val="bottom"/>
          </w:tcPr>
          <w:p>
            <w:pPr>
              <w:spacing w:after="0"/>
              <w:rPr>
                <w:sz w:val="1"/>
                <w:szCs w:val="1"/>
                <w:color w:val="auto"/>
              </w:rPr>
            </w:pPr>
          </w:p>
        </w:tc>
      </w:tr>
      <w:tr>
        <w:trPr>
          <w:trHeight w:val="189"/>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Amalgamated Financial Corp. stockholders' equity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698,199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585,231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698,332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585,364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8,413,640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157,355</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118,989</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262,093</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55,809</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68,101</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193,992</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23"/>
        </w:trPr>
        <w:tc>
          <w:tcPr>
            <w:tcW w:w="5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183,079</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176"/>
        </w:trPr>
        <w:tc>
          <w:tcPr>
            <w:tcW w:w="56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23"/>
        </w:trPr>
        <w:tc>
          <w:tcPr>
            <w:tcW w:w="5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113,495</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89,514</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w:t>
            </w:r>
          </w:p>
        </w:tc>
      </w:tr>
      <w:tr>
        <w:trPr>
          <w:trHeight w:val="223"/>
        </w:trPr>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benefits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cash flow hedges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gains on cash flow hedges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r>
      <w:tr>
        <w:trPr>
          <w:trHeight w:val="23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68,697</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21"/>
                <w:szCs w:val="21"/>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$0.12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30,662,883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287,167</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459,398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698,199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$0.36 stock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30,662,883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287,167</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459,398</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(1,972)</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698,199</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2023</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30,572,606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$286,877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528,614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$0.10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30,458,781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287,579</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368,420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(4,854)</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546,158</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546,291</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508,955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adoption of ASU No.</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adjusted for change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accounting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491,130</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$0.30 stock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30,458,781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287,579</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368,420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546,158</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546,291</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amortization on loan fees, costs, premiums, and discounts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(accretion) on securities premiums, discounts, and deferred costs on subordinated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on sale of loans and change in fair value on loans held-for-sale,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101,907</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(69,382)</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(211,211)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249,971</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70,100</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resell agreements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23"/>
        </w:trPr>
        <w:tc>
          <w:tcPr>
            <w:tcW w:w="85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395,817</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(345,619)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Employee Stock Purchase Plan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r>
      <w:tr>
        <w:trPr>
          <w:trHeight w:val="500"/>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59,104</w:t>
            </w: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from held-for-sale</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nine months ended September 30, 2024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2023 (the “2023 Annual Report”). A more detailed description of our accounting policies is included in the 2023 Annual Report, which remain significantly unchanged except for the addition of accounting policies related to derivatives: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 The Company’s derivative instruments are carried at fair value in the Company’s financial statements as part of Other assets for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positive fair values and Other liabilities for derivatives with negative fair values. The accounting for changes in the fair value of a derivative instrument is dependent upon whether or not it qualifies and has been designated as a hedge for accounting purposes, and further, by the type of hedging relationship.</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cash flow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 When hedge accounting is discontinued on a fair value hedge that no longer qualifies as an effective hedge, the derivative continues to be reported at fair value in the statement of condition, but the carrying amount of the hedged item is no longer adjusted for future changes in fair value. The adjustment to the carrying amount of the hedged item that existed at the date hedge accounting is discontinued is amortized over the remaining life of the hedged item into earnings.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condition or to specific firm commitments or forecasted transactions.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to our accounting policies, or the estimates made pursuant to those policies as described in our 2023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 Measurement of Credit Losses on Financial Instruments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adopted ASU No. 2016-13 on a modified retrospective basis with a cumulative-effect adjustment to retained earnings as of the adoption date and, accordingly, the Company recorded a $24.6 million increase to the allowance for credit losses, a $6.8 million increase to deferred tax assets, and a net of tax decrease of $17.8 million to retained earnings as of January 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 below table illustrates the impact of the adoption of ASU 2016-13.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Adjustment</w:t>
            </w: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Tax Impact</w:t>
            </w:r>
          </w:p>
        </w:tc>
        <w:tc>
          <w:tcPr>
            <w:tcW w:w="162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Net Adjustment to</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held-to-maturity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Day 1 Adjustment for Adoption of ASU 2016-13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however such reclassifications did not change stockholders' equity or net income.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4"/>
                <w:szCs w:val="24"/>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0" w:type="dxa"/>
            <w:vAlign w:val="bottom"/>
          </w:tcPr>
          <w:p>
            <w:pPr>
              <w:spacing w:after="0"/>
              <w:rPr>
                <w:sz w:val="24"/>
                <w:szCs w:val="24"/>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16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3"/>
                <w:szCs w:val="23"/>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0" w:type="dxa"/>
            <w:vAlign w:val="bottom"/>
          </w:tcPr>
          <w:p>
            <w:pPr>
              <w:spacing w:after="0"/>
              <w:rPr>
                <w:sz w:val="23"/>
                <w:szCs w:val="23"/>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24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160" w:type="dxa"/>
            <w:vAlign w:val="bottom"/>
          </w:tcPr>
          <w:p>
            <w:pPr>
              <w:spacing w:after="0"/>
              <w:rPr>
                <w:sz w:val="21"/>
                <w:szCs w:val="21"/>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(93,270)</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2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2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6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76"/>
        </w:trPr>
        <w:tc>
          <w:tcPr>
            <w:tcW w:w="6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 compensation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620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w:t>
            </w: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available for 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loss on sale of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available for 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on cash flow hedges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cash flow hedges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cash flow hedges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September 30, 2024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residential &amp;</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666,893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1,617,045</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1,766,545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248,880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554,372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729,792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1,029,229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961,170</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1,515,542</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available for sale securities with a fair value of $1.21 billion and held-to-maturity securities with a fair value of $526.1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521,101</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1,429,739</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575,418</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229,095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744,996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1,077,269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974,091</w:t>
            </w: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1,549,509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nine months ended September 30, 2024, or the three or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September 30, 2024.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571,388</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1,105,336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1,267,092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4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0" w:type="dxa"/>
            <w:vAlign w:val="bottom"/>
          </w:tcPr>
          <w:p>
            <w:pPr>
              <w:spacing w:after="0"/>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75,434</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271,033</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held-to-maturity securities during the three or nine months ended September 30, 2024 or the three months or nine ended September 30,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FMNA, and SBA are private. Mortgage-related securities may include mortgage pass-through certificates, participation certificates and CMOs. At September 30, 2024 and September 30, 2023,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September 30, 2024 and December 31, 2023,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274,597</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discussed in Note 1, upon adoption of the Current Expected Credit Losses ("CECL") standard, no allowance for credit losses was recorded on available for sale securities. During the three and nine months ended September 30, 2024, there were no charge-offs. During the nine months ended September 30, 2023, the Company charged-off an unrealized loss position of $1.2 million related to a corporate bond related to Silicon Valley Bank following credit concerns over the issuer, and the sale of the security resulted in an immaterial additional loss. During the three months ended September 30, 2023, no available for sale securities were charged-off.</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September 30, 2024,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September 30, 2024,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September 30, 2024.</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no ratings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September 30, 2024 is primarily due to an increase in interest rates and spreads since the time these investments were acquired.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$31.9 million and $35.1 million at September 30, 2024 and December 31, 2023, respectively, was included in other assets in the consolidated balance sheet and excluded from the amortized cost and estimated fair value totals in the table above.</w:t>
      </w:r>
    </w:p>
    <w:p>
      <w:pPr>
        <w:spacing w:after="0" w:line="1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September 30, 2024:</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nine months ended September 30, 2024:</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nine months ended September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2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4,486,437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$200.1 million at September 30, 2024 and $225.6 million at December 31, 2023. Due to these loans being fully guaranteed by the United States government, no allowance for credit losses is recorded in relation to these loans at September 30, 2024 and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September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60-89 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1,058,376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1,291,380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2,787,057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1,350,347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374,499</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1,739,954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1,760,846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4,499,036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4,547,903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nine months ended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8"/>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52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Extension</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Extension</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000" w:type="dxa"/>
            <w:vAlign w:val="bottom"/>
            <w:gridSpan w:val="2"/>
            <w:vMerge w:val="restart"/>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and</w:t>
            </w:r>
          </w:p>
        </w:tc>
        <w:tc>
          <w:tcPr>
            <w:tcW w:w="1540" w:type="dxa"/>
            <w:vAlign w:val="bottom"/>
            <w:gridSpan w:val="3"/>
            <w:vMerge w:val="restart"/>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 of Portfolio</w:t>
            </w: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300" w:type="dxa"/>
            <w:vAlign w:val="bottom"/>
            <w:vMerge w:val="restart"/>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 of Portfolio</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3"/>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0" w:type="dxa"/>
            <w:vAlign w:val="bottom"/>
            <w:gridSpan w:val="2"/>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gridSpan w:val="2"/>
            <w:vMerge w:val="restart"/>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Payment</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nine months ended September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top w:val="single" w:sz="8" w:color="auto"/>
            </w:tcBorders>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402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4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05"/>
        </w:trPr>
        <w:tc>
          <w:tcPr>
            <w:tcW w:w="3360" w:type="dxa"/>
            <w:vAlign w:val="bottom"/>
          </w:tcPr>
          <w:p>
            <w:pPr>
              <w:spacing w:after="0"/>
              <w:rPr>
                <w:sz w:val="24"/>
                <w:szCs w:val="24"/>
                <w:color w:val="auto"/>
              </w:rPr>
            </w:pPr>
          </w:p>
        </w:tc>
        <w:tc>
          <w:tcPr>
            <w:tcW w:w="38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21</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3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top w:val="single" w:sz="8" w:color="auto"/>
            </w:tcBorders>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4020" w:type="dxa"/>
            <w:vAlign w:val="bottom"/>
          </w:tcPr>
          <w:p>
            <w:pPr>
              <w:jc w:val="center"/>
              <w:ind w:left="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3860" w:type="dxa"/>
            <w:vAlign w:val="bottom"/>
            <w:vMerge w:val="continue"/>
          </w:tcPr>
          <w:p>
            <w:pPr>
              <w:spacing w:after="0"/>
              <w:rPr>
                <w:sz w:val="21"/>
                <w:szCs w:val="21"/>
                <w:color w:val="auto"/>
              </w:rPr>
            </w:pPr>
          </w:p>
        </w:tc>
        <w:tc>
          <w:tcPr>
            <w:tcW w:w="4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nine months ended September 30,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440" w:type="dxa"/>
            <w:vAlign w:val="bottom"/>
            <w:tcBorders>
              <w:top w:val="single" w:sz="8" w:color="auto"/>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Term</w:t>
            </w:r>
          </w:p>
        </w:tc>
        <w:tc>
          <w:tcPr>
            <w:tcW w:w="220" w:type="dxa"/>
            <w:vAlign w:val="bottom"/>
          </w:tcPr>
          <w:p>
            <w:pPr>
              <w:spacing w:after="0"/>
              <w:rPr>
                <w:sz w:val="13"/>
                <w:szCs w:val="13"/>
                <w:color w:val="auto"/>
              </w:rPr>
            </w:pPr>
          </w:p>
        </w:tc>
        <w:tc>
          <w:tcPr>
            <w:tcW w:w="9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Extension and</w:t>
            </w:r>
          </w:p>
        </w:tc>
        <w:tc>
          <w:tcPr>
            <w:tcW w:w="1480" w:type="dxa"/>
            <w:vAlign w:val="bottom"/>
            <w:gridSpan w:val="3"/>
            <w:vMerge w:val="restart"/>
          </w:tcPr>
          <w:p>
            <w:pPr>
              <w:jc w:val="right"/>
              <w:ind w:right="290"/>
              <w:spacing w:after="0" w:line="162" w:lineRule="exact"/>
              <w:rPr>
                <w:sz w:val="20"/>
                <w:szCs w:val="20"/>
                <w:color w:val="auto"/>
              </w:rPr>
            </w:pPr>
            <w:r>
              <w:rPr>
                <w:rFonts w:ascii="Times New Roman" w:cs="Times New Roman" w:eastAsia="Times New Roman" w:hAnsi="Times New Roman"/>
                <w:sz w:val="16"/>
                <w:szCs w:val="16"/>
                <w:b w:val="1"/>
                <w:bCs w:val="1"/>
                <w:color w:val="auto"/>
              </w:rPr>
              <w:t>% of Portfolio</w:t>
            </w:r>
          </w:p>
        </w:tc>
        <w:tc>
          <w:tcPr>
            <w:tcW w:w="1020" w:type="dxa"/>
            <w:vAlign w:val="bottom"/>
            <w:gridSpan w:val="2"/>
            <w:vMerge w:val="continue"/>
          </w:tcPr>
          <w:p>
            <w:pPr>
              <w:spacing w:after="0"/>
              <w:rPr>
                <w:sz w:val="7"/>
                <w:szCs w:val="7"/>
                <w:color w:val="auto"/>
              </w:rPr>
            </w:pP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Extension and</w:t>
            </w:r>
          </w:p>
        </w:tc>
        <w:tc>
          <w:tcPr>
            <w:tcW w:w="1240" w:type="dxa"/>
            <w:vAlign w:val="bottom"/>
            <w:vMerge w:val="restart"/>
          </w:tcPr>
          <w:p>
            <w:pPr>
              <w:jc w:val="right"/>
              <w:ind w:right="32"/>
              <w:spacing w:after="0" w:line="162" w:lineRule="exact"/>
              <w:rPr>
                <w:sz w:val="20"/>
                <w:szCs w:val="20"/>
                <w:color w:val="auto"/>
              </w:rPr>
            </w:pPr>
            <w:r>
              <w:rPr>
                <w:rFonts w:ascii="Times New Roman" w:cs="Times New Roman" w:eastAsia="Times New Roman" w:hAnsi="Times New Roman"/>
                <w:sz w:val="16"/>
                <w:szCs w:val="16"/>
                <w:b w:val="1"/>
                <w:bCs w:val="1"/>
                <w:color w:val="auto"/>
              </w:rPr>
              <w:t>% of Portfolio</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180" w:type="dxa"/>
            <w:vAlign w:val="bottom"/>
            <w:gridSpan w:val="3"/>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20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9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nine months ended September 30,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4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3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000" w:type="dxa"/>
            <w:vAlign w:val="bottom"/>
            <w:gridSpan w:val="2"/>
            <w:vMerge w:val="continue"/>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top w:val="single" w:sz="8" w:color="auto"/>
            </w:tcBorders>
            <w:gridSpan w:val="3"/>
          </w:tcPr>
          <w:p>
            <w:pPr>
              <w:ind w:left="24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4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3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4000" w:type="dxa"/>
            <w:vAlign w:val="bottom"/>
            <w:gridSpan w:val="2"/>
            <w:vMerge w:val="continue"/>
          </w:tcPr>
          <w:p>
            <w:pPr>
              <w:spacing w:after="0"/>
              <w:rPr>
                <w:sz w:val="21"/>
                <w:szCs w:val="21"/>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prior twelve months, nine loan modifications were made to borrowers experiencing financial difficulty. Four loans that were modified during this period had a payment default during the three and nine months ended September 30, 2024.</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specific risk factors including (i) historical and projected financial results of the borrower, (ii) market conditions of the 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September 30, 2024:</w:t>
      </w: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tcPr>
          <w:p>
            <w:pPr>
              <w:spacing w:after="0"/>
              <w:rPr>
                <w:sz w:val="12"/>
                <w:szCs w:val="12"/>
                <w:color w:val="auto"/>
              </w:rPr>
            </w:pPr>
          </w:p>
        </w:tc>
        <w:tc>
          <w:tcPr>
            <w:tcW w:w="10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189,201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187,149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224,809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1,013,149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15,629</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14,465</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29,598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189,284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209,156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239,274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144,659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1,058,376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6,656</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226,960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374,169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467,358</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1,277,644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7,949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5,787</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226,960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374,169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481,094</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1,291,380</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173,059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407,232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7,845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180,904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415,077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11,098</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16,297</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22,224</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131,927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399,915</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292,532</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473,649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1,342,901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7,446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131,927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401,890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294,684</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476,968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1,350,347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96,090</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371,910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97,168</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122,550</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128,558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374,499</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6,011</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12,933</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35,799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36,000</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498,774</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1,093,747</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703,468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1,482,538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149,807</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4,459,761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23,578</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13,590</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64,564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498,857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531,554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1,101,164</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728,443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1,522,533</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165,352</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4,547,903</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13,062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2023:</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 &amp; Prior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220,552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192,682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141,542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21,072</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1,010,998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377,554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1,137,453</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388,221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1,148,120</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345,145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147,103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353,432</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23,626</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413,962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328,952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403,508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1,418,384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417,194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329,955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406,086</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1,425,596</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405,849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408,260</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41,287</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1,179,430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758,419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500,122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1,149,363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4,301,787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1,183,947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777,257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512,024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183,120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r>
      <w:tr>
        <w:trPr>
          <w:trHeight w:val="188"/>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2023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2024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2023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ALLL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Adoption of ASU No. 2016-13</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21,229</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66,260</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10,047</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September 30, 2024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September 30,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mortgage loans with an unpaid principal balance of $2.47 billion and $2.35 billion, respectively, were pledged to the FHLBNY to secure outstanding advances and letters of credit.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ended September 30, 2024, the Company updated its listing of related parties and as such, there are no related party loans outstanding as of September 30, 2024, compared to $1.7 million related party loans as of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Loans Held for Sale ("LHFS") on the Consolidated Statements of Financial Condition was $38.6 million and $1.8 million, respectively. Included in LHFS were certain non-performing loans of $1.0 million and $1.0 million as of September 30, 2024 and December 31, 2023, respectively. In addition, at September 30, 2024, there was a pool of $36.6 million performing residential loans in loans held-for-sale that settled shortly after the quarter ended. Remaining loans in both periods were related to residential loans originated for sale.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3,801,834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2,940,398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2,959,264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3,100,681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327,935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certificates of deposit ("CDs")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7,594,564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7,011,988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and brokered CDs as of September 30,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93,362</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133,373</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30,499</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r>
      <w:tr>
        <w:trPr>
          <w:trHeight w:val="22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318,974</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$44.0 million as of September 30, 2024 and $42.2 million as of December 31,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Federal Deposit Insurance Corporation ("FDIC") to bank customers with balances in excess of FDIC insurance limits. CDARS deposits totaled approximately $86.7 million and $63.1 million as of September 30, 2024 and December 31, 2023, respectively, and are included in Time deposits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$61.3 million as of September 30, 2024 and $56.4 million as of December 31,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$56.3 million and $51.9 million as of September 30, 2024 and December 31, 2023,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subordinated debt for the three months ended September 30, 2024 and 2023 was $0.6 million and $0.7 million, respectively. Interest expense on subordinated debt for the nine months ended September 30, 2024 and 2023 was $1.8 million and $2.0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repurchased subordinated notes with a par value of $4.5 million for cash paid of $3.8 million. During the three months ended September 30, 2023 the Company repurchased subordinated notes with a par value of $3.5 million for cash paid of $2.8 million. During the nine months ended September 30, 2024 and September 30, 2023, subordinated notes with a par value of $7.0 million and $7.5 million were repurchased for cash paid of $5.9 million, and $6.0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on repurchases of subordinated debt for the three and nine months ended September 30, 2024 were $0.7 million and $1.1 million, respectively. Gains on repurchases of subordinated debt for the three and nine months ended September 30, 2023 were $0.6 million and $1.4 million, respectively. All gains are recorded in Non-interest income - other on the consolidated statements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borrowed funds and Other Borrowings</w:t>
      </w:r>
    </w:p>
    <w:p>
      <w:pPr>
        <w:spacing w:after="0" w:line="2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September 30, 2024, the value of the other eligible assets had an estimated market value net of haircut totaling $2.11 billion (comprised of securities of $461.9 million and mortgage loans of $2.45 billion). The fair value of assets pledged to the FHLBNY is required to be not less than 110% of the outstanding advances. There were $4.8 million outstanding FHLB advances as of September 30, 2024 and $4.4 million in outstanding FHLBNY advances as of December 31, 2023. The current FHLBNY advances are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There was no interest expense on FHLBNY advances for the three and nine months ended September 30, 2024. For the three and nine months ended September 30, 2023, interest expense on FHLBNY advances was $1.0 million and $5.4 million, respectively.</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September 30, 2024, and December 31, 2023 there were no outstanding balances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There was no interest expense on other borrowings for the three months ended September 30, 2024, and $2.6 million for the three months ended September 30, 2023. For the nine months ended September 30, 2024, and 2023, interest expense on other borrowings was $2.7 million and $4.9 million,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months ended September 30, 2024 and September 30, 2023, we had 137 and 13,323 anti-dilutive shares, respectively. For the nine months ended September 30, 2024 and September 30, 2023, we had 200 and 49,008 anti-dilutive shares,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17"/>
                <w:szCs w:val="17"/>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26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6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September 30, 2024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$11.00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and nine months ended September 30, 2024 or for the three and nine months ended September 30, 2023 as all options had been fully expensed as of December 31, 2020. The fair value of all awards outstanding as of September 30, 2024 and December 31, 2023 was $2.8 million and $4.7 million, respectively. No cash was received for options exercised in the three and nine months ended September 30, 2024 or for the three and nine months ended September 30, 2023.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104,009 shares and 30,937 shares for options exercised in the nine months ended September 30, 2024 and September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2021 Equity Incentive Plan (the “Equity Plan”) provides for the grant of stock-based incentive awards to employees and directors of the Company. The number of shares of common stock of the Company available for stock-based awards in the Equity Plan is 1,300,000 of which 866,438 shares were available for issuance as of September 30,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nine months ended September 30,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291,762</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RSUs for the nine months ended September 30,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125,963</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36,737 and 29,654 performance-based RSUs at a fair value of $23.20 and $23.18 per share, respectively, which vest subject to the achievement of the Company’s corporate goal for the three-year period from January 1, 2024 to December 31, 2026. The corporate goal is based on the Company achieving a target increase in Tangible Book Value, adjusted for certain factors. The minimum and maximum awards that are achievable are 0 and 99,587 shares,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69,343 market-based RSUs at a fair value of $22.21 per share which vest subject to the Bank’s relative total shareholder return compared to a group of peer banks over a three-year period from March 1, 2024 to February 28, 2027. The minimum and maximum awards that are achievable are 0 and 104,015 shares,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4,423 shares at a fair value of $14.97 per share, respectively, related to the vesting of performance-based RSUs to satisfy the achievement of corporate goals above target. Compensation expense attributable to the vesting of these shares was $66 thousand.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reserved 363,360 shares for issuance upon vesting of performance-based RSUs assuming the Company’s employees achieve the maximum share payout.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62,346 shares and 52,715 shares for RSUs vested in the nine months ended September 30, 2024 and 2023,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544,092 unvested RSUs and PSUs on September 30, 2024, the minimum units that will vest, solely due to a service test, are 301,852. The maximum units that will vest, assuming the highest payout on performance and market-based units, are 665,212.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attributable to RSUs and PSUs was $1.2 million and $3.6 million for the three and nine months ended September 30, 2024, and $1.1 million and $3.1 million for the three and nine months ended September 30, 2023. The company recorded an expense of $0.1 million and $0.4 million attributable to RSUs granted to directors for the three and nine months ended September 30, 2024 and $0.1 million and $0.3 million for the three and nine September 30, 2023. As of September 30, 2024, there was $14.7 million of total unrecognized compensation cost related to the non-vested RSUs and PSUs granted. This expense may increase or decrease depending on the expected number of performance-based shares to be issued. This expense is expected to be recognized over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purchase at December 31, 2023</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424,848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during the three months ended:</w:t>
            </w:r>
          </w:p>
        </w:tc>
        <w:tc>
          <w:tcPr>
            <w:tcW w:w="2260" w:type="dxa"/>
            <w:vAlign w:val="bottom"/>
          </w:tcPr>
          <w:p>
            <w:pPr>
              <w:spacing w:after="0"/>
              <w:rPr>
                <w:sz w:val="19"/>
                <w:szCs w:val="19"/>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30, 2024</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3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purchases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r>
      <w:tr>
        <w:trPr>
          <w:trHeight w:val="25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shares available for purchase at September 30, 2024</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 related to the discount on purchased shares for the three months ended September 30, 2024 and September 30, 2023 was $27 thousand and $20 thousand, respectively, and is recorded within compensation and employee benefits expense on the Consolidated Statements of Income. The expense for the nine months ended September 30, 2024 and September 30, 2023 was $95 thousand and $97 thousand, respectively.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620,375</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218,480</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666,893</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70"/>
        </w:trPr>
        <w:tc>
          <w:tcPr>
            <w:tcW w:w="53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1,768,939</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57"/>
        </w:trPr>
        <w:tc>
          <w:tcPr>
            <w:tcW w:w="53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1,483,042</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three months ended September 30, 2024 and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9"/>
                <w:szCs w:val="19"/>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gains/losses included in other comprehensive income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September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September 30, 2024 and 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(18.8%)</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there were no individually analyzed collateral-dependent loans carried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0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1,515,542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4,314,435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74,883</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7,275,590</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320,236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1,549,509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4,345,628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borrowings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0" w:type="dxa"/>
            <w:vAlign w:val="bottom"/>
          </w:tcPr>
          <w:p>
            <w:pPr>
              <w:spacing w:after="0"/>
              <w:rPr>
                <w:sz w:val="1"/>
                <w:szCs w:val="1"/>
                <w:color w:val="auto"/>
              </w:rPr>
            </w:pPr>
          </w:p>
        </w:tc>
      </w:tr>
      <w:tr>
        <w:trPr>
          <w:trHeight w:val="234"/>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514,206</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545,884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$3.3 million as of September 30, 2024, compared to an allowance of $4.2 million as of December 31, 2023. The recovery of credit losses related to off balance sheet credit commitments was $3.0 million and $0.9 million for the three and nine months ended September 30, 2024, and the provision for credit losses related to off balance sheet commitments was $1.3 million and $0.4 million for the three and nine months ended September 30,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PACE assessment securities until January 2025. As of September 30, 2024, the Company had purchased $812.4 million of these obligations and had an estimated remaining commitment of $60.9 million. These investments are currently held in the Company's available for sale and held-to-maturity investment portfolio. The Company evaluates these obligations for credit risk and the recorded reserve is immaterial. A commercial PACE transaction was closed in the third quarter that still has periodic funding over the next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Entities projects, we also have commitments to provide financing, which are included in Note 13.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September 30, 2024.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6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September 30, 2024 and September 30, 2023 was 2.4 years and 3.2 years,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3.14% and 3.26% at September 30, 2024 and September 30, 2023,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September 30,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September 30, 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2024 and estimates and assumptions that the Company believes most appropriate for the analysis. Based on the qualitative analysis performed in accordance with ASC 350, the Company determined it more likely than not that goodwill was not impaired as of June 30, 2024. During the three and nine months ended September 30, 2024,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$7.4 million and $6.9 million as of September 30, 2024 and December 31, 2023, respectively. At September 30, 2024 and December 31, 2023, the carrying amount of the core deposit intangible was $1.7 million and $2.2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$0.2 million and $0.2 million for the three months ended September 30, 2024 and September 30, 2023, respectively, and $0.5 million and $0.7 million for the nine months ended September 30, 2024 and September 30, 2023,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September 30, 2024, the Company's maximum exposure to loss is $58.2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3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September 30, 2024, the Company had one interest rate swap with a notional value of $100.0 million and one interest rate option contract with a floor with a notional value of $80.0 million, both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fair value of the Company’s derivative assets as of September 30, 2024 and December 31, 2023.</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8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Value Assets</w:t>
            </w:r>
          </w:p>
        </w:tc>
        <w:tc>
          <w:tcPr>
            <w:tcW w:w="180" w:type="dxa"/>
            <w:vAlign w:val="bottom"/>
          </w:tcPr>
          <w:p>
            <w:pPr>
              <w:spacing w:after="0"/>
              <w:rPr>
                <w:sz w:val="19"/>
                <w:szCs w:val="19"/>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Fair Value Assets</w:t>
            </w: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nine months ended September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5"/>
                <w:szCs w:val="15"/>
                <w:color w:val="auto"/>
              </w:rPr>
            </w:pP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5"/>
                <w:szCs w:val="15"/>
                <w:color w:val="auto"/>
              </w:rPr>
            </w:pP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$1.2 million will be reclassified as a reduction in interest income.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three and nine months ended September 30, 2024. There were no derivatives during the three and nine months ended September 30,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recognized in other comprehensive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c>
          <w:tcPr>
            <w:tcW w:w="8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reclassified from other comprehensive income into interest income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0" w:name="page51"/>
    <w:bookmarkEnd w:id="50"/>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September 30, 2024, as compared to December 31, 2023, and our results of operations for the three and nine month periods ended September 30, 2024 and September 30,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2023 (the “2023 Annual Report”), filed with the Securities and Exchange Commission on March 7, 2024.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40% of our equity as of September 30, 2024. As of September 30, 2024, our total assets were $8.41 billion, our total loans, net of allowance for credit losses were $4.49 billion, our total deposits were $7.59 billion, and our stockholders' equity was $698.3 million. As of September 30, 2024, our trust business held $35.43 billion in assets under custody and $14.55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2023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addition of accounting policies related to derivatives, there have been no significant changes to our significant accounting policies, or the estimates made pursuant to those policies as described in our 2023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we adopted the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w:t>
      </w:r>
    </w:p>
    <w:p>
      <w:pPr>
        <w:sectPr>
          <w:pgSz w:w="11900" w:h="16838" w:orient="portrait"/>
          <w:cols w:equalWidth="0" w:num="1">
            <w:col w:w="11240"/>
          </w:cols>
          <w:pgMar w:left="320" w:top="1440"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the loan review system; (7) the experience, ability, and depth of staff; (8) regulatory and legal environment; (9) changes in market conditions; and (10) changes in economic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2024 and onward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This ASU is effective for fiscal years beginning after December 15, 2023, and interim periods within fiscal years beginning after December 15, 2024. Early adoption is permitted. The Company does not expect an impact of this standard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is currently evaluating the impact of this standard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third quarter of 2024 was $27.9 million, or $0.90 per diluted share, compared to $22.3 million, or $0.73 per diluted share, for the third quarter of 2023. The $5.6 million increase was primarily due to a $6.5 million increase in interest income on securities, a $4.5 million increase in interest income on loans, a $2.2 million increase in non-interest income, and a $0.6 million increase in interest on interest-bearing deposits in banks, offset by a $3.2 million increase in interest expense primarily related to a $6.9 million increase in deposits offset by a $3.7 million decrease in borrowed funds, an increase in non-interest expense of $3.6 million, and a $1.4 million increase in income tax expense.</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$81.9 million, or $2.65 per diluted share, compared to $65.3 million, or $2.12 per diluted share, for the same period in 2023. The $16.6 million increase was primarily due to a $17.7 increase in interest income on loans, a $14.8 million increase in interest income on securities, a $8.5 million increase in non-interest income primarily due to an increase in service charges on deposit accounts, a $4.3 million decrease in the provision for credit losses, and a $4.2 million increase in interest income from interest-bearing deposits in banks, offset by a $21.3 million increase in interest expense, $6.4 million increase in income tax expense, and a $5.1 million increase in non-interest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170,830</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3,208,334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4,493,520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4,314,767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8,170,014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7,693,931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217,332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8,393,490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7,904,566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3,506,499</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3,446,027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371,329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3,860,939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3,993,527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376,585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3,932,887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4,370,112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3,721,398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7,725,089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7,365,813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668,401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538,753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8,393,490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7,904,566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3"/>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4,237,127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3,323,819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37"/>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7,582,337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6,914,264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7,654,285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7,290,849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66"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3Q2024 and 3Q2023 of $0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$72.1 million for the third quarter of 2024, compared to $63.7 million for the third quarter of 2023. The $8.4 million increase, or 13.2% increase from the third quarter of 2023 was primarily attributable to higher yields on and average balances in interest-earning assets coupled with lower average balances in interest-bearing liabilities and higher average balances in demand and transaction deposits, partially offset by higher costs.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interest spread was 1.90% for the three months ended September 30, 2024, compared to 2.20% for the same period in 2023, a decrease of 30 basis points. Our net interest margin was 3.51% for the third quarter of 2024, an increase of 22 basis points from 3.29% in the third quarter of 2023. This was largely due to increases in yields and average balances on interest-bearing assets, offset by increases in cost of funds on interest-bearing liabilities.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average earning assets was 5.01% for the three months ended September 30, 2024, compared to 4.70% for the same period in 2023, an increase of 31 basis points. This increase was driven primarily by the current rate environment resulting in increased yields across securities and loan portfolios.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3.11% for the three months ended September 30, 2024, an increase of 61 basis points from the same period in 2023, which was primarily due to the rising rate environment that led to an increase in interest expense paid for deposits, particularly in savings, NOW, money market deposits and time deposits. Non-interest-bearing deposits represented 49.1% of average deposits for the three months ended September 30, 2024, compared to 42.2% for the three months ended September 30, 2023.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2023</w:t>
      </w:r>
    </w:p>
    <w:p>
      <w:pPr>
        <w:spacing w:after="0" w:line="25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6"/>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6"/>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84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Yield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12"/>
        </w:trPr>
        <w:tc>
          <w:tcPr>
            <w:tcW w:w="3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9"/>
                <w:szCs w:val="9"/>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200,627</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125,560</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3,289,635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4,431,801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157,355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4,216,391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8,024,260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7,626,019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8,249,218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7,841,198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3,608,927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3,248,278</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159,041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383,521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3,975,342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3,793,555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365,262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4,129,906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4,158,817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3,417,970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3,086,482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7,618,352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7,318,120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523,078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8,249,218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7,841,198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3,894,354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3,467,202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7,393,312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 total cost of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7,547,876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7,245,299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FHLBNY stock in the average balance, and dividend income on FHLBNY stock in interest income.</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prepayment penalty interest income in September YTD 2024 and September YTD 2023 of $18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$209.3 million for the nine months ended September 30, 2024, compared to $194.0 million for the same period in 2023. The year-over-year increase of $15.3 million, or 7.9%, was primarily attributable to higher yields and average balances on interest-earning assets, partially offset by higher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interest spread was 2.08% for the nine months ended September 30, 2024, compared to 2.41% for the same period in 2023, a decrease of 33 basis points. Our net interest margin was 3.48% for the nine months ended September 30, 2024, an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increase of 8 basis points from 3.40% in the same period of 2023. This was largely due to increases in yields on interest-bearing assets, offset by increases in cost of funds on interest-bearing liabilities.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4.97% for the nine months ended September 30, 2024, compared to 4.60% for the same period in 2023, an increase of 37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rate on interest-bearing liabilities was 2.89% for the nine months ended September 30, 2024, an increase of 70 basis points from the same period in 2023, which was primarily due to the rising rate environment that led to an increase in interest expense paid for deposits. Non-interest-bearing deposits represented 46.2% of average deposits for the nine months ended September 30, 2024, compared to 44.9% for the same period in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ectPr>
          <w:pgSz w:w="11900" w:h="16838" w:orient="portrait"/>
          <w:cols w:equalWidth="0" w:num="1">
            <w:col w:w="11240"/>
          </w:cols>
          <w:pgMar w:left="320" w:top="931" w:right="339" w:bottom="1440" w:gutter="0" w:footer="0" w:header="0"/>
        </w:sectPr>
      </w:pPr>
    </w:p>
    <w:p>
      <w:pPr>
        <w:spacing w:after="0" w:line="88"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September 30, 2024 over September 30, 2023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 2024 over September 30, 2023</w:t>
      </w:r>
    </w:p>
    <w:p>
      <w:pPr>
        <w:spacing w:after="0" w:line="15" w:lineRule="exact"/>
        <w:rPr>
          <w:sz w:val="20"/>
          <w:szCs w:val="20"/>
          <w:color w:val="auto"/>
        </w:rPr>
      </w:pPr>
    </w:p>
    <w:p>
      <w:pPr>
        <w:sectPr>
          <w:pgSz w:w="11900" w:h="16838" w:orient="portrait"/>
          <w:cols w:equalWidth="0" w:num="2">
            <w:col w:w="7340" w:space="720"/>
            <w:col w:w="318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580"/>
              <w:spacing w:after="0" w:line="175" w:lineRule="exact"/>
              <w:rPr>
                <w:sz w:val="20"/>
                <w:szCs w:val="20"/>
                <w:color w:val="auto"/>
              </w:rPr>
            </w:pPr>
            <w:r>
              <w:rPr>
                <w:rFonts w:ascii="Times New Roman" w:cs="Times New Roman" w:eastAsia="Times New Roman" w:hAnsi="Times New Roman"/>
                <w:sz w:val="16"/>
                <w:szCs w:val="16"/>
                <w:b w:val="1"/>
                <w:bCs w:val="1"/>
                <w:color w:val="auto"/>
              </w:rPr>
              <w:t>Changes</w:t>
            </w:r>
          </w:p>
        </w:tc>
        <w:tc>
          <w:tcPr>
            <w:tcW w:w="9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240" w:type="dxa"/>
            <w:vAlign w:val="bottom"/>
            <w:vMerge w:val="restart"/>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580"/>
              <w:spacing w:after="0" w:line="175" w:lineRule="exact"/>
              <w:rPr>
                <w:sz w:val="20"/>
                <w:szCs w:val="20"/>
                <w:color w:val="auto"/>
              </w:rPr>
            </w:pPr>
            <w:r>
              <w:rPr>
                <w:rFonts w:ascii="Times New Roman" w:cs="Times New Roman" w:eastAsia="Times New Roman" w:hAnsi="Times New Roman"/>
                <w:sz w:val="16"/>
                <w:szCs w:val="16"/>
                <w:b w:val="1"/>
                <w:bCs w:val="1"/>
                <w:color w:val="auto"/>
              </w:rPr>
              <w:t>Changes</w:t>
            </w:r>
          </w:p>
        </w:tc>
        <w:tc>
          <w:tcPr>
            <w:tcW w:w="9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5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Due To</w:t>
            </w:r>
          </w:p>
        </w:tc>
        <w:tc>
          <w:tcPr>
            <w:tcW w:w="9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w w:val="95"/>
              </w:rPr>
              <w:t>Due To</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36.619</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29,371</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we adopted the CECL standard for calculating the allowance for credit losses and the provision for credit losses. We establish an allowance for credit losses through a provision for credit losses charged as an expense in our Consolidated Statements of Income. For further discussion of the methodology under the CECL standard, refer to Note 1 to the Consolidated Financial Statements in Item 1 of this Form 10-Q.</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 for credit losses totaled an expense of $1.8 million for the third quarter of 2024 compared to an expense of $2.0 million for the same period in 2023. The provision for credit losses on loans totaled an expense of $4.9 million, the provision for credit losses on securities was a recovery of $18 thousand, and the provision for credit losses on off-balance sheet credit exposures was a recovery of $3.0 million. Overall, the provision expense on loans was primarily driven by charge-offs on our consumer solar and small business portfolios and updates to CECL model assumptions, offset by decreases in reserves for unfunded commitments. During the third quarter of 2024, the consumer solar loss rate assumption was refreshed given the level of continued losses, which increased the segment coverage ratio and resulted in higher required reserves.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Nine Months Ended September 30, 2024 and </w:t>
      </w:r>
      <w:r>
        <w:rPr>
          <w:rFonts w:ascii="Times New Roman" w:cs="Times New Roman" w:eastAsia="Times New Roman" w:hAnsi="Times New Roman"/>
          <w:sz w:val="18"/>
          <w:szCs w:val="18"/>
          <w:color w:val="auto"/>
        </w:rPr>
        <w:t>2023</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provision for credit losses totaled an expense of $6.6 million for the nine months ended September 30, 2024 compared to an expense of $10.9 million for the same period in 2023. The provision for credit losses on loans totaled $7.6 million, the provision for credit losses on securities was a recovery of $31 thousand, and the provision for credit losses on off-balance sheet credit exposures was a recovery of $0.9 million. Overall, the provision expense on loans was primarily driven by increases in charge-offs on our consumer solar and small business portfolios, an increase in reserve for multifamily loans to reflect the current market repricing conditions, and updates to CECL model assumptions, offset by improvements in macro-economic forecasts used in the CECL model, and decreases in reserves for unfunded commitments. During the third quarter of 2024, the consumer solar loss rate assumption was refreshed given the level of continued losses, which increased the segment coverage ratio and resulted in higher required reserves.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175"/>
        </w:trPr>
        <w:tc>
          <w:tcPr>
            <w:tcW w:w="54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3"/>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$8.9 million for the third quarter of 2024, compared to $6.8 million for the third quarter in 2023. The increase of $2.2 million in the third quarter of 2024 compared to the corresponding quarter in 2023 was primarily due to a $9.4 million increase in service charges on deposit accounts primarily due to increases in ICS One-Way Sell income, partially offset by a $4.2 million increase in losses on sale of loans and changes in fair value on loans held-for-sale and a $1.5 million increase in losses on sale of securities, and a decrease in income from equity investments of $1.4 million. Our Trust Department fees were $3.7 million in the third quarter of 2024, and $3.7 million in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2023</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was $28.4 million for the nine months ended September 30, 2024, compared to $19.9 million for the nine months ended September 30, 2023. The increase of $8.5 million was primarily due to $18.9 million in increased service charges on deposit accounts primarily due to increases in ICS One-Way Sell income, partially offset by a $4.1 million increase in losses on sale of loans and changes in fair value on loans held-for-sale and a $3.6 million increase in losses on sale of securities, a $1.6 million decrease in income from equity investments, a decrease in other income of $0.5 million, a $0.4 million decrease in Trust Department fees, and a decrease in income from Bank-owned life insurance of $0.2 million. Our Trust Department fees were $11.2 million for the nine months of 2024, compared to $11.6 million in the same period in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federal deposit insurance premiums,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23"/>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113,495</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Non-interest expense for the third quarter of 2024 was $41.0 million, an increase of $3.6 million from $37.3 million for the third quarter of 2023. The increase was driven by a $2.4 million increase in compensation and benefits expense related to an expected increase in compensation due to increased headcount and corporate incentive payments, and a $0.5 million increase in data processing, a $0.4 million increase in other expenses, a $0.4 million increase in professional fees and a $0.2 million increase in advertising and promotion expense. This was partially offset by a $0.3 million decrease in federal deposit insurance premiums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2023</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2024 was $118.6 million, an increase of $5.1 million from $113.5 million for nine months ended September 30, 2023. The increase was driven by a $4.6 million increase in compensation and benefits expense related to an expected increase in compensation due to increased headcount, corporate incentive payments, and temporary personnel costs, and a $1.3 million increase in data processing expense. This was partially offset by a $0.5 million decrease in occupancy and depreciation expense due to a gain from settlement of a lease termination, a $0.2 million decrease in office maintenance and depreciation expense, and a $0.1 million increase in professional fees.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$10.3 million for the third quarter of 2024, compared to $8.8 million for the third quarter of 2023. Our effective tax rate for the third quarter of 2024 was 26.9% compared to 28.4% for the third quarter of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2023</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$30.6 million for the nine months ended September 30, 2024, compared to $24.2 million for same period in 2023. Our effective tax rate for the nine months ended September 30, 2024 was 27.2%, compared to 27.1% for the same period in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$8.41 billion at September 30, 2024, compared to $7.97 billion at December 31, 2023. Notable changes within individual balance sheet line items include a $582.6 million increase in deposits, a $199.0 million increase in securities, a $58.6 million increase in cash, a $24.9 million increase in resell agreements, a $140.8 million increase in loans receivable, net, and a $236.5 million decrease in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CMOs. We invest in non-GSE securities, including property assessed clean energy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September 30, 2024 or at December 31, 2023.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we had available for sale securities of $1.77 billion and $1.48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our held-to-maturity securities portfolio primarily consisted of PACE assessments, tax-exempt municipal securities, GSE commercial and residential certificates and other debt. We carry these securities at amortized cost. We had held-to-maturity securities of $1.61 billion at September 30, 2024, and $1.70 billion at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purchased a total of $793.4 million securities consisting of both available for sale and held-to-maturity and sold available for sale securities resulting in proceeds of $271.0 million and a net realized loss of $8.7 million. During the nine months ended September 30, 2023 we purchased a total of $280.6 million securities consisting of both available for sale and held-to-maturity and sold available for sale securities resulting in proceeds of $250.0 million and a net realized loss of $5.1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$17.8 million at September 30, 2024 and $22.5 million at December 31, 2023, and is excluded from the estimate of credit losses, as accrued interest receivable is reversed for securities placed on nonaccrual status. The allowance for credit losses for held-to-maturity securities at September 30, 2024 was $0.7 million compared to $0.7 million at December 31, 2023. The provision for credit losses for held-to-maturity securities was a</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recovery of $18.0 thousand and $31.0 thousand for the three and nine months ended September 30, 2024, compared to an expense of $18 thousand and $83 thousand for the three and nine months ended September 30, 2023,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$14.0 million at September 30, 2024 and $12.6 million at December 31, 2023, and is excluded from the estimate of credit losses, as accrued interest receivable is reversed for securities placed on nonaccrual status.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666,893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1,766,545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253,036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773,101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held-to-maturity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1,613,068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3,379,613</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3,180,597</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September 30, 2024</w:t>
            </w:r>
          </w:p>
        </w:tc>
        <w:tc>
          <w:tcPr>
            <w:tcW w:w="4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211,570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433,692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773,101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490,838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2,793,868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September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2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7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539,455</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205,420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27 %</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99,884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75,170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919,929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6 %</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w:t>
      </w:r>
    </w:p>
    <w:p>
      <w:pPr>
        <w:sectPr>
          <w:pgSz w:w="11900" w:h="16838" w:orient="portrait"/>
          <w:cols w:equalWidth="0" w:num="1">
            <w:col w:w="11240"/>
          </w:cols>
          <w:pgMar w:left="320" w:top="1053"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mortgage-backed securities, collateralized loan obligations, non-agency mortgage-backed securities, and asset-backed securities, are senior tranche and approximately 86% carry AAA credit ratings and 14% carry A credit ratings or higher. Approximately 50% of this portfolio is classified as “available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 related income is the most important component of our net interest income and is the main driver of our results of operations. Total loans, net of deferred origination fees and allowance for credit losses, were $4.49 billion as of September 30, 2024 compared to $4.35 billion as of December 31, 2023.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September 30,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38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Pr>
          <w:p>
            <w:pPr>
              <w:spacing w:after="0"/>
              <w:rPr>
                <w:sz w:val="20"/>
                <w:szCs w:val="20"/>
                <w:color w:val="auto"/>
              </w:rPr>
            </w:pPr>
          </w:p>
        </w:tc>
        <w:tc>
          <w:tcPr>
            <w:tcW w:w="31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1,058,376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1,291,380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2,787,057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1,760,846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4,547,903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4,486,437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commercial loan portfolio comprised 61.3% of our total loan portfolio at September 30, 2024 and 57.5% of our total loan portfolio at December 31, 2023. The major categories of our commercial loan portfolio are discussed below:</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September 30, 2024 by exposure was $4.0 million with a median size of $0.7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$1.06 billion at September 30, 2024, which comprised 23.3% of our total loan portfolio. During the nine months ended September 30, 2024, the C&amp;I loan portfolio increased by 4.7% from $1.01 billion at December 31, 2023.</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67% of their exposure in New York City. Our multifamily loans have been underwritten under stringent guidelines on loan-to-value and debt service coverage ratios that are designed to mitigate credit and concentration risk in this loan category. The average current LTV of our multifamily loans is approximately 53%.</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$1.29 billion at September 30, 2024, which comprised 28.4% of our total loan portfolio. During the nine months ended September 30, 2024, the multifamily loan portfolio increased by 12.5% from $1.15 billion at December 31, 2023.</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totaled $415.1 million at September 30, 2024, which comprised 9.1% of our total loan portfolio. During the nine months ended September 30, 2024, the CRE loan portfolio increased by 17.4% from $353.4 million at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38.7% of our total loan portfolio at September 30, 2024 and 42.5% of our loan portfolio at December 31, 2023.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Our residential real estate lending portfolio is 99% first mortgage loans and 1% second mortgage loans. These loans are either originated by our loan officers or purchased from other originators with the servicing generally retained by such originators. As of September 30, 2024, approximately 80% of our residential 1-4 family mortgage loans were either originated by our loan officers or were acquired in our acquisition of New Resource Bank, and 20% were purchased or acquired. Our residential real estate lending loans totaled $1.35 billion at September 30, 2024, which comprised 76.7% of our retail loan portfolio and 29.7% of our total loan portfolio. As of September 30, 2024, our residential real estate lending loans decreased by 5.3% from $1.43 billion at December 31, 2023.</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loans totaled $374.5 million at September 30, 2024, which comprised 8.2% of our total loan portfolio, compared to $408.3 million, or 9.3% of our total loan portfolio, at December 31, 2023.</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$36.0 million at September 30, 2024, which comprised 0.8% of our total loan portfolio, compared to $41.3 million, or 0.9% of our total loan portfolio, at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1,058,376</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1,291,380</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415,077</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1,350,347</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374,499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4,547,903</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September 30,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518,095</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299,849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817,944</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1,060,015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1,092,950</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313,933</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780,703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1,350,030</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374,499</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3,078,152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3,986,142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 For further discussion of the adoption of and methodology under the CECL standard, refer to refer to Note 1 to the Consolidated Financial Statements in Item 1 of this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4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w:t>
            </w: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67,815</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67,815</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allowance for credit losses on loans decreased $1.9 million to $61.5 million at September 30, 2024 from $63.4 million at June 30, 2024. The ratio of allowance to total loans was 1.35% at September 30, 2024 and 1.42% at June 30,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allowance for credit losses on held-to-maturity securities was $0.7 million, compared to $0.7 million at June 30,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September 30,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34,203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7,533</w:t>
            </w: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4,490</w:t>
            </w:r>
          </w:p>
        </w:tc>
      </w:tr>
      <w:tr>
        <w:trPr>
          <w:trHeight w:val="230"/>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11,166</w:t>
            </w:r>
          </w:p>
        </w:tc>
      </w:tr>
      <w:tr>
        <w:trPr>
          <w:trHeight w:val="223"/>
        </w:trPr>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50"/>
        </w:trPr>
        <w:tc>
          <w:tcPr>
            <w:tcW w:w="6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7,218</w:t>
            </w: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w:t>
            </w:r>
          </w:p>
        </w:tc>
      </w:tr>
      <w:tr>
        <w:trPr>
          <w:trHeight w:val="229"/>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48"/>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33,183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197.97 %</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net charge-offs to average loans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$28.6 million, or 0.34% of period-end total assets at September 30, 2024, an decrease of $5.6 million, compared with $34.2 million, or 0.43% of period-end total assets at December 31, 2023. The decrease in non-performing assets at September 30, 2024 compared to December 31, 2023 assets was primarily driven by a $6.1 million decrease in commercial and industrial nonaccrual loans offset by a $0.5 million increase in retail nonaccrual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82.1 million, or 1.0% of total assets, at September 30, 2024, as follows: $71.7 million are commercial loans currently in workout that management expects will be rehabilitated; $5.4 million are residential real estate loans at 30-89 days delinquent, and $5.0 million are consumer loans at 30-89 days delinquent.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have entered into $74.9 million of short term investments of resell agreements backed by residential first-lien mortgage loans, with a weighted average interest rate of 6.34%. As of December 31, 2023, we have entered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into $50.0 million of short term investments of resell agreements backed by residential first-lien mortgage loans, with a weighted interest rate of 6.34%.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$38.5 million at September 30, 2024 and $56.6 million at December 31, 2023. As of September 30, 2024,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$7.59 billion at September 30, 2024, compared to $7.01 billion at December 31, 2023.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September 30, 2024 and December 31, 2023, we had approximately $1.96 billion and $1.19 billion, respectively, in political deposits on- and off-balance sheet which are primarily in demand deposits.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("Insured Cash Sweep")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These off-balance sheet deposits totaled $1.18 billion at September 30, 2024 and $303.1 million at December 31, 2023. In return for record keeping services at Program Banks, the Company receives a servicing fee. For the three and nine months ended September 30, 2024, the Company recognized $8.1 million and $16.9 million in servicing fee income. During the three and nine months ended September 30, 2023, the Company recognized $0.8 thousand and $0.8 thousand in servicing fee income,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September 30, 2024 and December 31, 2023 were $4.52 billion and $4.04 billion,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September 30, 2024 are summarized as follows:</w:t>
      </w:r>
    </w:p>
    <w:p>
      <w:pPr>
        <w:spacing w:after="0" w:line="2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Maturities as of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22,269</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r>
      <w:tr>
        <w:trPr>
          <w:trHeight w:val="223"/>
        </w:trPr>
        <w:tc>
          <w:tcPr>
            <w:tcW w:w="3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September 30, 2024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60" w:type="dxa"/>
            <w:vAlign w:val="bottom"/>
          </w:tcPr>
          <w:p>
            <w:pPr>
              <w:spacing w:after="0"/>
              <w:rPr>
                <w:sz w:val="18"/>
                <w:szCs w:val="18"/>
                <w:color w:val="auto"/>
              </w:rPr>
            </w:pPr>
          </w:p>
        </w:tc>
        <w:tc>
          <w:tcPr>
            <w:tcW w:w="4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2"/>
            <w:vMerge w:val="continue"/>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Economic Value of</w:t>
            </w: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0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auto"/>
                <w:w w:val="99"/>
              </w:rPr>
              <w:t>Year 1 Net Interest</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gridSpan w:val="2"/>
            <w:vMerge w:val="continue"/>
          </w:tcPr>
          <w:p>
            <w:pPr>
              <w:spacing w:after="0"/>
              <w:rPr>
                <w:sz w:val="18"/>
                <w:szCs w:val="18"/>
                <w:color w:val="auto"/>
              </w:rPr>
            </w:pPr>
          </w:p>
        </w:tc>
        <w:tc>
          <w:tcPr>
            <w:tcW w:w="1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 ($ 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6"/>
                <w:szCs w:val="16"/>
                <w:color w:val="auto"/>
              </w:rPr>
              <w:t>Income ($ in thousands)</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(229,556)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-0.9%</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(2,698)</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(124,682)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4,201</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(35,366)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5,741</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(12,817)</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(9,542)</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(95,596)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(20,708)</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-19.9%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(305,286)</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(36,621)</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-42.8%</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(655,133)</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(55,053)</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2024, our cash and equivalents, which consist of cash and amounts due from banks and interest-bearing deposits in other financial institutions, amounted to $149.2 million, or 1.8% of total assets, compared to $90.6 million, or 1.1% of total assets at December 31, 2023. The $58.6 million, or 64.7%, increase is due to normal business activity, paydowns of borrowings, and strategic investment securities purchases, offset by investments in resell agreements. Our available for sale securities at September 30, 2024 were $1.77 billion, or 21.0% of total assets, compared to $1.48 billion, or 18.6% of total assets at December 31, 2023. Investment securities with an aggregate fair value of $1.21 billion at September 30, 2024 were pledged to secure outstanding advances, letters of credit, provide additional borrowing potential, and collateralize municipal deposits. Additionally, mortgage loans with an unpaid principal balance of $2.45 billion and $2.35 billion respectively, were pledged to the FHLBNY to secure outstanding advances, letters of credit and to provide additional borrowing potential.</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September 30, 2024, we had $4.8 million advances from the FHLBNY and a remaining credit availability of $2.11 billion. In addition, we maintain borrowing capacity of approximately $981.9 million with the Federal Reserve’s discount window that is secured by certain securities from our portfolio which are not pledged for other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$63.7 million in subordinated debt, net of issuance costs. Our cash, off-balance sheet deposits, and borrowing capacity totaled $4.42 billion of immediately available funds, in addition to unpledged securities with two-day availability of $423.0 million for total liquidity within two-days of $4.84 billion, which provided coverage for 107%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stockholders’ equity at September 30, 2024 was $698.3 million, compared to $585.4 million at December 31, 2023, an increase of $113.0 million. The increase was primarily driven by $81.9 million of net income and a $39.3 million improvement in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due to the tax effected mark-to-market on our securities portfolio, offset by $10.6 million in dividends paid at $0.36 per outstanding share, and $0.3 million of common stock repurchases.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422,276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Bank:</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422,267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527,834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422,267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422,900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343,092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504,083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405,643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327,654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of September 30, 2024,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by contractual maturity date as of September 30,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agreements with Pace Funding Group LLC, which operates Home Run Financing, for the purchase of PACE assessments until the end of January 2025. These investments are to be held in the Company's available for sale and held-to-maturity investment portfolio. As of September 30, 2024, the Company had purchased $812.4 million of these obligations and had an estimated remaining commitment of $60.9 million. The PACE assessments have equal-lien priority with property taxes and generally rank senior to first lien mortgages. The Company anticipates these commitments will be funded by means of normal cash flows, a reduction in cash and cash equivalents, or by pay-downs and maturities of loans and other investments.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 changes in our market risk as of September 30, 2024 from that presented in the 2023 Annual Report are described in Part II, Item 1A of this Form 10-Q below. Our interest rate sensitivity position at September 30, 2024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September 30, 2024.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The Company implemented new internal controls in response to entering into derivative transactions. There was no change in our internal control over financial reporting (as such term is defined in Exchange Act Rule 13a-15(f)) that occurred during the quarter ended September 30, 2024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2023, as filed with the SEC on March 7, 2024,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September 30, 2024 by or on behalf of the 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through July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through August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 through September 30, 2024</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34"/>
        </w:trPr>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23"/>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w:t>
            </w:r>
          </w:p>
        </w:tc>
        <w:tc>
          <w:tcPr>
            <w:tcW w:w="2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-333375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14,196 shares withheld by the Company for options exercises, 12,321 shares withheld for taxes related to the exercise or vesting of options and stock awards, as well as 0 shares repurchased pursuant to the share repurchase program described in Note (2).</w:t>
      </w:r>
    </w:p>
    <w:p>
      <w:pPr>
        <w:spacing w:after="0" w:line="202" w:lineRule="exact"/>
        <w:rPr>
          <w:rFonts w:ascii="Times New Roman" w:cs="Times New Roman" w:eastAsia="Times New Roman" w:hAnsi="Times New Roman"/>
          <w:sz w:val="14"/>
          <w:szCs w:val="14"/>
          <w:color w:val="auto"/>
        </w:rPr>
      </w:pPr>
    </w:p>
    <w:p>
      <w:pPr>
        <w:jc w:val="both"/>
        <w:ind w:firstLine="8"/>
        <w:spacing w:after="0" w:line="272" w:lineRule="auto"/>
        <w:tabs>
          <w:tab w:leader="none" w:pos="2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no common stock was purchased during the third quarter of 2024. The approximate dollar value that may yet to be purchased under the plans or programs is $19.5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30, 2024, Sean Searby, Executive Vice President, Chief Operations Officer, adopted a Rule 10b5-1 trading arrangement that is intended to satisfy the affirmative defense of Rule 10b5-1(c) for the sale of up to 11,000 shares of the Company’s common stock, net of shares to be withheld for taxes upon the exercise or vesting of underlying stock awards, with such transactions to occur during sale periods beginning on or after October 30, 2024 and ending on the earlier of October 29, 2025 or the date on which all shares authorized for sale have been sold in conformance with the terms of the arrangement.</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August 12, 2024, Jason Darby, Senior Executive Vice President, Chief Financial Officer, adopted a Rule 10b5-1 trading arrangement that is intended to satisfy the affirmative defense of Rule 10b5-1(c) for the sale of up to 4,000 shares of the Company’s common stock, net of shares to be withheld for taxes upon the exercise or vesting of underlying stock awards, with such transactions to occur during sale periods beginning on or after November 11, 2024 and ending on the earlier of November 10, 2025 or the date on which all shares authorized for sale have been sold in conformance with the terms of the arrangement.</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29, 2024, Sam Brown, Senior Executive Vice President, Chief Banking Officer, adopted a Rule 10b5-1 trading arrangement that is intended to satisfy the affirmative defense of Rule 10b5-1(c) for the sale of up to 8,269 shares of the Company’s common stock, net of shares to be withheld for taxes upon the exercise or vesting of underlying stock awards, with such transactions to occur during sale periods beginning on or after January 2, 2025 and ending on the earlier of December 31, 2025 or the date on which all shares authorized for sale have been sold in conformance with the terms of the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September 30, 2024, formatted in iXBRL (Inline eXtensible Business Reporting Language): (i)</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Consolidated Statements of Financial Condition at September 30, 2024 and December 31, 2023, (ii) Consolidated Statements of Income for the quarters ended September 30, 2024 and 2023, (iii) Consolidated Statements of Comprehensive Income for the quarters ended September 30, 2024 and 2023, (iv) Consolidated</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Statements of Changes in Shareholders’ Equity for the quarters ended September 30, 2024 and 2023, (v) Consolidated Statements of Cash Flows for the quarters ended September 30, 2024 and 2023 and (vi) Notes to Consolidated Financial Statements (unaudited).</w:t>
      </w:r>
    </w:p>
    <w:p>
      <w:pPr>
        <w:spacing w:after="0" w:line="226" w:lineRule="exact"/>
        <w:rPr>
          <w:sz w:val="20"/>
          <w:szCs w:val="20"/>
          <w:color w:val="auto"/>
        </w:rPr>
      </w:pPr>
    </w:p>
    <w:p>
      <w:pPr>
        <w:jc w:val="both"/>
        <w:ind w:right="55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September 30, 2024,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9" w:name="page80"/>
    <w:bookmarkEnd w:id="79"/>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2024</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2024</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50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2024</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8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September 30, 2024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5, 2024</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5, 2024</w:t>
      </w:r>
    </w:p>
    <w:sectPr>
      <w:pgSz w:w="11900" w:h="16838" w:orient="portrait"/>
      <w:cols w:equalWidth="0" w:num="1">
        <w:col w:w="11100"/>
      </w:cols>
      <w:pgMar w:left="320" w:top="8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07" Type="http://schemas.openxmlformats.org/officeDocument/2006/relationships/hyperlink" Target="https://www.sec.gov/Archives/edgar/data/1823608/000119312521062425/d132716dex31.htm" TargetMode="External"/><Relationship Id="rId108"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2024-11-05T07:28:52Z</dcterms:created>
  <dcterms:modified xsi:type="dcterms:W3CDTF">2024-11-05T07:28:52Z</dcterms:modified>
</cp:coreProperties>
</file>