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color w:val="auto"/>
              </w:rPr>
              <w:t>For the quarterly period ended March 31, 2025</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5, 2025, the registrant had 30,589,730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March 31, 2025 and December 31,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March 31, 2025 and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March 31, 2025 and 2024</w:t>
      </w:r>
    </w:p>
    <w:p>
      <w:pPr>
        <w:spacing w:after="0" w:line="6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March 31, 2025 and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2025 and 2024</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66</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67</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67</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67</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68</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69</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2">
            <w:col w:w="10120" w:space="72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“should,” “would,” “believe,” “contemplate,” “expect,” “estimate,” “continue,” “in the future,” “may” and “intend,”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w:t>
      </w:r>
    </w:p>
    <w:p>
      <w:pPr>
        <w:spacing w:after="0" w:line="108" w:lineRule="exact"/>
        <w:rPr>
          <w:sz w:val="20"/>
          <w:szCs w:val="20"/>
          <w:color w:val="auto"/>
        </w:rPr>
      </w:pPr>
    </w:p>
    <w:p>
      <w:pPr>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core markets, which may have an adverse impact on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deposits, including an increase in uninsured deposits;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sufficient liquidity to meet deposit and debt obligations as they come due, which may require that the Company sell investment securities at a loss, negatively impacting net income, earnings and capital;</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stock price and the value of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the Company’s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implementation by the current presidential administration of a regulatory reform agenda that is significantly different from that of the prior presidential administration, impacting the rule making, supervision, examination and enforcement of the banking regulation agencies;</w:t>
      </w:r>
    </w:p>
    <w:p>
      <w:pPr>
        <w:ind w:left="660" w:hanging="328"/>
        <w:spacing w:after="0" w:line="250" w:lineRule="auto"/>
        <w:tabs>
          <w:tab w:leader="none" w:pos="6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and other global political factors beyond the Company’s control, including the imposition of tariffs, which raise economic uncertainty, potentially leading to slower growth and a decrease in loan demand;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the Company’s loan portfolio, including any concentration in industries or sectors that may experience unanticipated or anticipated adverse conditions greater than other industries or sectors in the national or local economies in which the Company operates;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the Company makes and policies that the Company implements in establishing the allowance for credit losses;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the Company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exposure from the use of “big data” techniques, machine learning, and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the Company’s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the Company and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the Company operates;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the business and the businesses that the Company finances;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the Company’s shares through the Company’s common stock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https://www.sec.gov.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61,518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65,714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1,546,127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1,477,047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161,147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152,011</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1,707,274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1,629,058</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$47 and $49, respectively</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535,065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542,246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$654 and $655, respectively</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1,038,052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1,043,959</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1,573,117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1,586,205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fees and costs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4,677,506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4,619,830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4,612,838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108,652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108,026</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35,858</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8,285,227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7,412,072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7,180,605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314,409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7,549,231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7,549,238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contingencies and off balance sheet risk (see Note 11)</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30,940,480 and 30,809,484 shares issued, respectively, and</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30,696,940 and 30,670,982 shares outstanding, respectively)</w:t>
            </w:r>
          </w:p>
        </w:tc>
        <w:tc>
          <w:tcPr>
            <w:tcW w:w="22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288,539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288,656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500,783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480,144</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(243,540 and 138,502 shares,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735,996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707,654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8,285,227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51,952</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42,390</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96,934</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r>
      <w:tr>
        <w:trPr>
          <w:trHeight w:val="229"/>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68,037</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23"/>
        </w:trPr>
        <w:tc>
          <w:tcPr>
            <w:tcW w:w="8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loans and changes in fair value on loans held-for-sale,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(loss)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3"/>
        </w:trPr>
        <w:tc>
          <w:tcPr>
            <w:tcW w:w="82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23"/>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8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 and other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on securities available for sale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gains on cash flow hedges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gains realized in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on cash flow hedges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r>
      <w:tr>
        <w:trPr>
          <w:trHeight w:val="229"/>
        </w:trPr>
        <w:tc>
          <w:tcPr>
            <w:tcW w:w="8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5"/>
                <w:szCs w:val="15"/>
                <w:color w:val="auto"/>
              </w:rPr>
            </w:pP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30,670,982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288,656</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Equity Programs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$0.14 per share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30,696,940</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288,539</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500,783</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(6,327)</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735,996</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735,996</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30,428,359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Equity Program</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$0.10 per share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30,510,393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287,198</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412,190</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 (4,018)</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616,805</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616,938</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r>
      <w:tr>
        <w:trPr>
          <w:trHeight w:val="229"/>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sale of loans and change in fair value on loans held-for-sale,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originated as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accrued interest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31,262</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originated as held for investment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(142,368)</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78,827</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resell agreements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equity method investments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8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293,777</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30"/>
        </w:trPr>
        <w:tc>
          <w:tcPr>
            <w:tcW w:w="8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124,620</w:t>
            </w:r>
          </w:p>
        </w:tc>
      </w:tr>
      <w:tr>
        <w:trPr>
          <w:trHeight w:val="223"/>
        </w:trPr>
        <w:tc>
          <w:tcPr>
            <w:tcW w:w="8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64,634</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90,570</w:t>
            </w: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155,204</w:t>
            </w:r>
          </w:p>
        </w:tc>
      </w:tr>
      <w:tr>
        <w:trPr>
          <w:trHeight w:val="495"/>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540" w:type="dxa"/>
            <w:vAlign w:val="bottom"/>
            <w:tcBorders>
              <w:bottom w:val="single" w:sz="8" w:color="CCEEFF"/>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r>
      <w:tr>
        <w:trPr>
          <w:trHeight w:val="196"/>
        </w:trPr>
        <w:tc>
          <w:tcPr>
            <w:tcW w:w="8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activities: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transferred to held for investment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three months ended March 31, 2025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2024 (the “2024 Annual Report”). A more detailed description of our accounting policies is included in the 2024 Annual Report, which remain significantly unchanged.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00" w:lineRule="exact"/>
        <w:rPr>
          <w:sz w:val="20"/>
          <w:szCs w:val="20"/>
          <w:color w:val="auto"/>
        </w:rPr>
      </w:pPr>
    </w:p>
    <w:p>
      <w:pPr>
        <w:spacing w:after="0" w:line="2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2023-02, Investments - Equity Method and Joint Ventures (Topic 323) - Accounting for Investments in Tax Credit Structures Using the Proportional Amortization Method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2023, the FASB issued ASU 2023-02, Investments - Equity Method and Joint Ventures (Topic 323): Accounting for Investments in Tax Credit Structures Using the Proportional Amortization Method, which is intended to expand the use of the proportional amortization method of accounting, previously allowed only for investments in low-income housing tax credit structures, to equity investments in other tax credit structures that meet certain criteria. The proportional amortization method results in the tax credit investment being amortized in proportion to the allocation of tax credits and other tax benefits in each period, and net presentation within the income tax line item. This expansion to other investments simplifies the accounting for reporting entities and can provide users with a better understanding of these investments. The Company adopted the standard for the year ended December 31, 2024. The adoption did not impact the existing equity investments in tax structures.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adopted the standard for the year ended December 31, 2024 and for interim reporting periods beginning with the quarter ended March 31, 2025. The adoption resulted in a disclosure requirement but did not result in a material impact on the Company’s Consolidated Financial Statements See Note 15.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Unaccreted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Accumulated</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54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54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520" w:type="dxa"/>
            <w:vAlign w:val="bottom"/>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154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gains on</w:t>
            </w:r>
          </w:p>
        </w:tc>
        <w:tc>
          <w:tcPr>
            <w:tcW w:w="160" w:type="dxa"/>
            <w:vAlign w:val="bottom"/>
          </w:tcPr>
          <w:p>
            <w:pPr>
              <w:spacing w:after="0"/>
              <w:rPr>
                <w:sz w:val="7"/>
                <w:szCs w:val="7"/>
                <w:color w:val="auto"/>
              </w:rPr>
            </w:pPr>
          </w:p>
        </w:tc>
        <w:tc>
          <w:tcPr>
            <w:tcW w:w="1300" w:type="dxa"/>
            <w:vAlign w:val="bottom"/>
            <w:vMerge w:val="restart"/>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sale</w:t>
            </w:r>
          </w:p>
        </w:tc>
        <w:tc>
          <w:tcPr>
            <w:tcW w:w="220" w:type="dxa"/>
            <w:vAlign w:val="bottom"/>
          </w:tcPr>
          <w:p>
            <w:pPr>
              <w:spacing w:after="0"/>
              <w:rPr>
                <w:sz w:val="7"/>
                <w:szCs w:val="7"/>
                <w:color w:val="auto"/>
              </w:rPr>
            </w:pPr>
          </w:p>
        </w:tc>
        <w:tc>
          <w:tcPr>
            <w:tcW w:w="132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benefits plans</w:t>
            </w: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Pr>
          <w:p>
            <w:pPr>
              <w:spacing w:after="0"/>
              <w:rPr>
                <w:sz w:val="7"/>
                <w:szCs w:val="7"/>
                <w:color w:val="auto"/>
              </w:rPr>
            </w:pPr>
          </w:p>
        </w:tc>
        <w:tc>
          <w:tcPr>
            <w:tcW w:w="1300" w:type="dxa"/>
            <w:vAlign w:val="bottom"/>
            <w:vMerge w:val="restart"/>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54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transferred to held-</w:t>
            </w:r>
          </w:p>
        </w:tc>
        <w:tc>
          <w:tcPr>
            <w:tcW w:w="14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to-maturity</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0" w:type="dxa"/>
            <w:vAlign w:val="bottom"/>
          </w:tcPr>
          <w:p>
            <w:pPr>
              <w:spacing w:after="0"/>
              <w:rPr>
                <w:sz w:val="1"/>
                <w:szCs w:val="1"/>
                <w:color w:val="auto"/>
              </w:rPr>
            </w:pPr>
          </w:p>
        </w:tc>
      </w:tr>
      <w:tr>
        <w:trPr>
          <w:trHeight w:val="412"/>
        </w:trPr>
        <w:tc>
          <w:tcPr>
            <w:tcW w:w="3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6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33"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79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prior service expense included in compensation and employee benefits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 for other benefits</w:t>
            </w: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 for other benefits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on available for sale securities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loss on sale of securities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 for sale securities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securities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on cash flow hedges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gains realized in income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cash flow hedges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cash flow hedges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79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March 31, 2025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certificates &amp;</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527,989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244,079</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Asset-Backed Securities ("ABS")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671,036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1,546,127</w:t>
            </w:r>
          </w:p>
        </w:tc>
        <w:tc>
          <w:tcPr>
            <w:tcW w:w="0" w:type="dxa"/>
            <w:vAlign w:val="bottom"/>
          </w:tcPr>
          <w:p>
            <w:pPr>
              <w:spacing w:after="0"/>
              <w:rPr>
                <w:sz w:val="1"/>
                <w:szCs w:val="1"/>
                <w:color w:val="auto"/>
              </w:rPr>
            </w:pPr>
          </w:p>
        </w:tc>
      </w:tr>
      <w:tr>
        <w:trPr>
          <w:trHeight w:val="209"/>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161,147</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1,707,274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6"/>
                <w:szCs w:val="16"/>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67,785</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205,471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53,589</w:t>
            </w: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535,111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496,622</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237,285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709,736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1,038,707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947,021</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1,443,643</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available for sale securities with a fair value of $1.25 billion and held-to-maturity securities with a fair value of $470.2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537,313</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1,477,047</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168,222</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67,857</w:t>
            </w: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499,564</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702,195</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1,044,614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933,156</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1,432,720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months ended March 31, 2025, 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March 31, 2025.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168,169</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623,831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1,017,666</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935,206</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1,206,081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159"/>
        </w:trPr>
        <w:tc>
          <w:tcPr>
            <w:tcW w:w="79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held-to-maturity securities during the three months ended March 31, 2025 or the three months ended March 31,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FNMA and SBA are private. Mortgage-related securities may include mortgage pass-through certificates, participation certificates and CMOs. At March 31, 2025 and December 31, 2024,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March 31, 2025 and December 31, 2024,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284,809</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March 31, 2025,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March 31, 2025,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March 31, 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are either explicitly or implicitly guaranteed by the U.S. government, and are highly rated by major rating agencies and have a long history of no credit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these securities were rated investment grade by at least one nationally recognized statistical rating organization with only $11 million rated below investment grade. All issues were current as to their interest payments. There have been no significant losses on PACE assessments that we have invested in given the low loan-to-value position and the superior lien position on the property. Management considers that the temporary impairment of these investments as of March 31, 2025 is primarily due to an increase in interest rates and spreads since the time these investments were purchased.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$31.2 million and $38.7 million at March 31, 2025 and December 31, 2024, respectively, was included in other assets in the consolidated balance sheet and excluded from the amortized cost and estimated fair value totals in the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March 31, 2025:</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March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$197.7 million at March 31, 2025 and $198.5 million at December 31, 2024. Due to these loans being fully guaranteed by the United States government, no allowance for credit losses is recorded in relation to these loans at March 31, 2025 and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March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1,183,297</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1,371,950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409,004</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2,916,986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2,984,941</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1,303,856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356,601</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1,673,638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1,692,565</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4,590,624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4,677,506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table above, there are three multifamily loans totaling $27.0 million that were in the process of being refinanced at March 31, 2025, and have been included as 30-89 days past due as they were past the maturity date. Two loans were subsequently extended, and one loan was refinanced which is performing in accordance with the updated terms.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4,629,861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table above is an $8.2 million multifamily loan that was in the process of being refinanced at December 31, 2024, and has been included as 30-89 days past due as it was past the maturity date. This loan was subsequently refinanced and is performing in accordance with the updated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months ended March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39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223"/>
        </w:trPr>
        <w:tc>
          <w:tcPr>
            <w:tcW w:w="3360" w:type="dxa"/>
            <w:vAlign w:val="bottom"/>
          </w:tcPr>
          <w:p>
            <w:pPr>
              <w:spacing w:after="0"/>
              <w:rPr>
                <w:sz w:val="19"/>
                <w:szCs w:val="19"/>
                <w:color w:val="auto"/>
              </w:rPr>
            </w:pPr>
          </w:p>
        </w:tc>
        <w:tc>
          <w:tcPr>
            <w:tcW w:w="3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960" w:type="dxa"/>
            <w:vAlign w:val="bottom"/>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0.2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 modifications granted to borrowers experiencing financial difficulty during the three months ended March 31, 2024.</w:t>
      </w:r>
    </w:p>
    <w:p>
      <w:pPr>
        <w:spacing w:after="0" w:line="3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prior twelve months, seven loan modifications were made to borrowers experiencing financial difficulty.One C&amp;I loan of $0.4 million that was modified during this period had a payment default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 (iii) 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 (risk rating 1 through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 (risk rating 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 (risk rating 10).</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March 31, 2025:</w:t>
      </w:r>
    </w:p>
    <w:p>
      <w:pPr>
        <w:spacing w:after="0" w:line="2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40" w:type="dxa"/>
            <w:vAlign w:val="bottom"/>
          </w:tcPr>
          <w:p>
            <w:pPr>
              <w:spacing w:after="0"/>
              <w:rPr>
                <w:sz w:val="11"/>
                <w:szCs w:val="11"/>
                <w:color w:val="auto"/>
              </w:rPr>
            </w:pPr>
          </w:p>
        </w:tc>
        <w:tc>
          <w:tcPr>
            <w:tcW w:w="100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327,769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81,145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145,115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386,161</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151,991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1,128,465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13,748</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28,009</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16,335</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23,213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3,610</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81,145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164,329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418,963</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1,183,297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257,382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226,062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360,921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489,281</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1,363,403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8,547</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257,382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226,062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360,921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497,828</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1,371,950</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216,321</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405,025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3,979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220,300</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409,004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9,584</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11,106</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20,690</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126,876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384,760</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708,955</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1,302,481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126,876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709,099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1,303,856</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91,862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237,074</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353,464</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3,137</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239,042</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356,601</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31,891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18,385</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32,108</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757,058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501,843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1,035,392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2,060,476</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163,373</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4,594,313</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13,748</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28,009</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12,200</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51,574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3,610</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76,299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757,511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501,925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1,057,055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2,108,002</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176,714</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4,677,506</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2024:</w:t>
      </w:r>
    </w:p>
    <w:p>
      <w:pPr>
        <w:spacing w:after="0" w:line="2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331,879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146,475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218,078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1,113,225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332,131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203,668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231,481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451,981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1,343,024</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1,351,604</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411,387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20,683</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382,888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1,312,011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384,379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444,622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1,313,617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94,240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362,927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365,516</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764,761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1,039,472</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1,423,125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167,319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4,582,246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1,061,024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707,459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1,450,334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March 31, 2025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March 31, 2024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March 31, 2025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8"/>
                <w:szCs w:val="18"/>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2024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March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9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c>
          <w:tcPr>
            <w:tcW w:w="0" w:type="dxa"/>
            <w:vAlign w:val="bottom"/>
          </w:tcPr>
          <w:p>
            <w:pPr>
              <w:spacing w:after="0"/>
              <w:rPr>
                <w:sz w:val="1"/>
                <w:szCs w:val="1"/>
                <w:color w:val="auto"/>
              </w:rPr>
            </w:pPr>
          </w:p>
        </w:tc>
      </w:tr>
      <w:tr>
        <w:trPr>
          <w:trHeight w:val="238"/>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mortgage loans with an unpaid principal balance of $2.45 billion and $2.45 billion, respectively, were pledged to the FHLBNY to secure outstanding advances and letters of credit.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$1.8 million and $1.9 million of loans to related parties and affiliates as of March 31, 2025 and December 31, 2024, respectively.</w:t>
      </w: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Loans Held for Sale ("LHFS") on the Consolidated Statements of Financial Condition was $3.7 million and $37.6 million, respectively. Included in LHFS were certain non-performing loans of $1.0 million and $4.9 million as of March 31, 2025 and December 31, 2024, respectively. In addition, at December 31, 2024, there was a pool of $36.6 million residential loans in LHFS that were sold in the quarter ended March 31,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2,895,757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3,772,423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3,564,423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330,410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226,404</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7,412,072</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7,180,605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as of March 31, 2025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185,796</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35,706</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30"/>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226,404</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$52.7 million as of March 31, 2025 and $48.5 million as of December 31,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Federal Deposit Insurance Corporation ("FDIC") insurance to bank customers with balances in excess of FDIC insurance limits. CDARS deposits totaled approximately $87.6 million and $104.9 million as of March 31, 2025 and December 31, 2024, respectively, and are included in Time deposits above.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$68.1 million as of March 31, 2025 and $71.2 million as of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$60.6 million and $62.6 million as of March 31, 2025 and December 31, 2024,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Secured Overnight Financing Rate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subordinated debt was $63.7 million. Interest expense on subordinated debt for the three months ended March 31, 2025 and 2024 was $0.5 million and $0.6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 Company did not repurchase any subordinated notes.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FHLBNY Advances and Other Borrowings</w:t>
      </w:r>
    </w:p>
    <w:p>
      <w:pPr>
        <w:spacing w:after="0" w:line="2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to collateral capacity. As of March 31, 2025, the value of the other eligible assets had an estimated market value net of haircut totaling $2.04 billion (comprised of securities of $403.9 million and mortgage loans of $1.64 billion). As of December 31, 2024, the value of the other eligible assets had an estimated market value net of haircut totaling $2.04 billion (comprised of securities of $379.6 million and mortgage loans of $1.66 billion). The fair value of assets pledged to the FHLBNY is required to be not less than 110% of the outstanding advances. There were $6.0 million outstanding FHLB advances as of March 31, 2025 and $250.7 million in outstanding FHLBNY advances as of December 31, 2024. As of March 31, 2025 and December 31, 2024, we had $6.0 million and $10.7 million, respectively, of FHLBNY advances due in October 2025 through the 0% Development Advance Program that provides members with subsidized funding in the form of interest rate credits to assist in originating loans or purchasing loans or investments that meet one of the eligibility criteria. The Company pledged PACE assessments which qualified under the Climate Development Advance and therefore will receive interest rate credits and will not incur any interest expense related to the current outstanding advances. For the three months ended March 31, 2025 and 2024, interest expense on FHLBNY advances was $0.6 million and zero, respectively.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March 31, 2025, and December 31, 2024 there were no outstanding balances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At March 31, 2024, there was an outstanding borrowings balance of $60.0 million related to the BTFP due in 2024 with a weighted average rate of 4.71%. Interest expense related to these borrowings was $2.4 million for the three months ended March 31, 2024. On March 11, 2024, BTFP ceased extending new borrowings, and as such, there was no outstanding borrowings for the three months ended March 31, 2025.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unvested restricted stock units are not considered participating securities as they do not receive dividend distributions until satisfaction of the related vesting requirements. For the three months ended March 31, 2025 and March 31, 2024, we had 31,563 and 21,340 anti-dilutive shares,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8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Three Months</w:t>
      </w:r>
    </w:p>
    <w:p>
      <w:pPr>
        <w:ind w:left="890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7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Amalgamated Financial Corp.</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27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27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2021 Equity Incentive Plan (the “Equity Plan”) provides for the grant of stock-based incentive awards to employees and directors of the Company. The number of shares of common stock of the Company available for stock-based awards in the Equity Plan is 1,300,000 of which 654,218 shares were available for issuance as of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March 31, 2025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$12.00 to $14.65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three months ended March 31, 2025 or for the three months ended March 31, 2024 as all options had been fully expensed as of December 31, 2020. The fair value of all awards outstanding as of March 31, 2025 and December 31, 2024 was $0.8 million and $2.1 million, respectively. No cash was received for options exercised in the three months ended March 31, 2025 or for the three months ended March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22,273 shares and 17,460 shares for options exercised in the three months ended March 31, 2025 and March 31,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These awards are subject to a time-based vesting schedule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for the three months ended March 31, 2025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297,817</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March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there was $8.6 million of total unrecognized compensation cost related to the non-vested RSUs. The weighted average period to recognize unrecognized compensation is 1.2 years. The Company repurchased 61,408 shares and 30,183 shares for RSUs vested during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Performance-based restricted stock units ("PSUs") represent an obligation to deliver shares to an employee at a future date if certain vesting conditions are met. These awards are subject to the satisfaction of performance conditions or the satisfaction of market conditions,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PSUs are granted at target shares. The minimum and maximum awards that are achievable are 0% and 150%, respectively, of the target shares granted.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PSUs for the three months ended March 31,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Addition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March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250,828</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 reserved an additional 125,414 shares for issuance upon vesting of PSUs assuming the Company achieves the maximum share payout.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$7.2 million of total unrecognized compensation cost related to the non-vested PSUs. The weighted average period to recognize unrecognized compensation is 1.8 years.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awarded 25,418 additional shares related to the performance achievement of corporate goals above target at a weighted average fair value of $8.84 per share. Included in these awards was 12,851 shares with a grant date fair market value of $17.48, and 12,567 shares that were based on market-conditions in which the achievement of the goal did not result in additional expense to the Company. Compensation expense attributable to the vesting of the performance shares was $0.2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59,415 PSUs at target achievement of the Company's corporate goals at a weighted average fair value of $36.78 per share which vest subject to the achievement of the Company’s corporate goals. The corporate goals are based on the achievement of a target increase in Tangible Book Value, adjusted for certain factors, and the Company's relative total shareholder return compared to a group of peer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Bonus Deferral And Stock Purchase Plan ("BDSPP") provides for a bonus deferral opportunity with matching benefits to certain executives. Under the BDSPP, deferred restricted stock units ("DSUs") represent an obligation to deliver shares to an employee at a future date if certain vesting conditions are met. The plan allows for participating executives to defer up to 100% of their annual incentive plan bonus in the form of deferred restricted stock units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These awards do not provide dividend equivalent rights from the date of grant and do not provide voting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DSUs for the three months ended March 31, 2025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bonus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match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March 31,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$0.5 million of total unrecognized compensation cost related to the non-vested DSUs. The weighted average period to recognize unrecognized compensation is 1.4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attributable to employee RSUs, PSUs, and DSUs was $1.3 million for the three months ended March 31, 2025, and $1.0 million for the three months ended March 31, 2024. Compensation expense attributable to director RSUs was $0.1 million and $0.1 million for the three months ended March 31,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As of March 31, 2025, there were 387,731 shares available for the purchase under ESPP. The expense related to the discount on purchased shares for the three months ended March 31, 2025 and March 31, 2024 was $41 thousand and $37 thousand, respectively, and is recorded within compensation and employee benefits expense on the Consolidated Statements of Income.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3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527,989</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244,079</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671,036</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161,147</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70"/>
        </w:trPr>
        <w:tc>
          <w:tcPr>
            <w:tcW w:w="53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1,709,377</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57"/>
        </w:trPr>
        <w:tc>
          <w:tcPr>
            <w:tcW w:w="5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1,631,226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three months ended March 31, 2025 and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gains/losses included in other comprehensive income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34,879</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March 31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March 31, 2025 and 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161,147</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(19.7%)</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7.0%-25.0% (18.9%)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648"/>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2024.</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1,443,643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4,421,807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4,421,807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41,651</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55,092</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7,185,668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7,185,668</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226,117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1,432,720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4,352,266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61,172</w:t>
            </w:r>
          </w:p>
        </w:tc>
        <w:tc>
          <w:tcPr>
            <w:tcW w:w="0" w:type="dxa"/>
            <w:vAlign w:val="bottom"/>
          </w:tcPr>
          <w:p>
            <w:pPr>
              <w:spacing w:after="0"/>
              <w:rPr>
                <w:sz w:val="1"/>
                <w:szCs w:val="1"/>
                <w:color w:val="auto"/>
              </w:rPr>
            </w:pP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250,709</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DERIVATIVES AND HEDGING ACTIVITIES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March 31, 2025, the Company had one interest rate swap with a notional value of $100.0 million and two interest rate option contracts with a floor with a notional value of $165.0 million,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outstanding notional balances and the fair value of the Company’s derivative assets as of March 31, 2025 and December 31,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20" w:type="dxa"/>
            <w:vAlign w:val="bottom"/>
          </w:tcPr>
          <w:p>
            <w:pPr>
              <w:spacing w:after="0"/>
              <w:rPr>
                <w:sz w:val="20"/>
                <w:szCs w:val="20"/>
                <w:color w:val="auto"/>
              </w:rPr>
            </w:pPr>
          </w:p>
        </w:tc>
        <w:tc>
          <w:tcPr>
            <w:tcW w:w="24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3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180" w:type="dxa"/>
            <w:vAlign w:val="bottom"/>
          </w:tcPr>
          <w:p>
            <w:pPr>
              <w:spacing w:after="0"/>
              <w:rPr>
                <w:sz w:val="13"/>
                <w:szCs w:val="13"/>
                <w:color w:val="auto"/>
              </w:rPr>
            </w:pP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Assets)</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vMerge w:val="continue"/>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$216.4 thousand will be reclassified as a reduction in interest income.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three months ended March 31, 2025. There were no derivatives during the three months ended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3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recognized in other comprehensive income</w:t>
            </w:r>
          </w:p>
        </w:tc>
        <w:tc>
          <w:tcPr>
            <w:tcW w:w="2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212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reclassified from other comprehensive income into interest income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20"/>
                <w:szCs w:val="20"/>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5380" w:type="dxa"/>
            <w:vAlign w:val="bottom"/>
          </w:tcPr>
          <w:p>
            <w:pPr>
              <w:spacing w:after="0"/>
              <w:rPr>
                <w:sz w:val="24"/>
                <w:szCs w:val="24"/>
                <w:color w:val="auto"/>
              </w:rPr>
            </w:pPr>
          </w:p>
        </w:tc>
        <w:tc>
          <w:tcPr>
            <w:tcW w:w="254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53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70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442,761</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above table are extensions of credit to related parties and affiliates. As of March 31, 2025, the Company had $70.0 million of lines of credit and $0.3 million of standby letters of credit. As of December 31, 2024, the Company had $70.0 million of lines of credit and $0.3 million of standby letters of credit.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$4.6 million as of March 31, 2025, compared to an allowance of $4.1 million as of December 31, 2024. The provision of credit losses related to off balance sheet credit commitments was $0.4 million for the three months ended March 31, 2025, and $0.7 million for the three months ended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which operates Home Run Financing, for the purchase of PACE assessment securities until December 2026. As of March 31, 2025, the estimated remaining commitment was $228.4 million.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Variable Interest Entities projects, we also have commitments to provide financing, which are included in Note 14.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March 31, 2025.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April 2025, the Company entered into a fifteen year lease agreement for the Company's headquarters. The base rent amount for the premises commences at $6.2 million per annum and is escalated by approximately 9% on the fifth anniversary of rent commencement and by an additional approximately 8% on the tenth anniversary of rent commencement. The company is expected to move to the new premises in mid 2026.</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ROU lease asset was $12.5 million and operating lease liability was $17.2 million. As of December 31, 2024, the ROU lease asset was $14.2 million and operating lease liability was $19.7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p>
      <w:pPr>
        <w:spacing w:after="0" w:line="133"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9"/>
        </w:trPr>
        <w:tc>
          <w:tcPr>
            <w:tcW w:w="680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1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2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tc>
        <w:tc>
          <w:tcPr>
            <w:tcW w:w="2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expiration dates ranged from 0 to 3 years for both March 31, 2025, and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March 31, 2025 and March 31, 2024 was 1.7 years and 2.9 years,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3.31% and 3.15% at March 31, 2025 and March 31, 2024,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3660" w:type="dxa"/>
            <w:vAlign w:val="bottom"/>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366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660" w:type="dxa"/>
            <w:vAlign w:val="bottom"/>
          </w:tcPr>
          <w:p>
            <w:pPr>
              <w:spacing w:after="0"/>
              <w:rPr>
                <w:sz w:val="19"/>
                <w:szCs w:val="19"/>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3660" w:type="dxa"/>
            <w:vAlign w:val="bottom"/>
          </w:tcPr>
          <w:p>
            <w:pPr>
              <w:spacing w:after="0"/>
              <w:rPr>
                <w:sz w:val="21"/>
                <w:szCs w:val="2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86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39</w:t>
            </w:r>
          </w:p>
        </w:tc>
        <w:tc>
          <w:tcPr>
            <w:tcW w:w="3660" w:type="dxa"/>
            <w:vAlign w:val="bottom"/>
          </w:tcPr>
          <w:p>
            <w:pPr>
              <w:spacing w:after="0"/>
              <w:rPr>
                <w:sz w:val="24"/>
                <w:szCs w:val="24"/>
                <w:color w:val="auto"/>
              </w:rPr>
            </w:pPr>
          </w:p>
        </w:tc>
      </w:tr>
      <w:tr>
        <w:trPr>
          <w:trHeight w:val="358"/>
        </w:trPr>
        <w:tc>
          <w:tcPr>
            <w:tcW w:w="5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2024 and estimates and assumptions that the Company believes most appropriate for the analysis. Based on the qualitative analysis performed in accordance with ASC 350, the Company determined it more likely than not that goodwill was not impaired as of June 30, 2024. During the three months ended March 31, 2025,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$7.8 million and $7.6 million as of March 31, 2025 and December 31, 2024, respectively. At March 31, 2025 and December 31, 2024, the carrying amount of the core deposit intangible was $1.3 million and $1.5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$0.1 million and $0.2 million for the three months ended March 31, 2025 and March 31,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March 31, 2025, the Company's maximum exposure to loss is $50.7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14605</wp:posOffset>
            </wp:positionV>
            <wp:extent cx="18516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 w:lineRule="exact"/>
        <w:rPr>
          <w:sz w:val="20"/>
          <w:szCs w:val="20"/>
          <w:color w:val="auto"/>
        </w:rPr>
      </w:pPr>
    </w:p>
    <w:p>
      <w:pPr>
        <w:ind w:left="8840"/>
        <w:spacing w:after="0"/>
        <w:tabs>
          <w:tab w:leader="none" w:pos="103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19685</wp:posOffset>
            </wp:positionV>
            <wp:extent cx="18516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7" w:lineRule="exact"/>
        <w:rPr>
          <w:sz w:val="20"/>
          <w:szCs w:val="20"/>
          <w:color w:val="auto"/>
        </w:rPr>
      </w:pPr>
    </w:p>
    <w:p>
      <w:pPr>
        <w:ind w:left="20"/>
        <w:spacing w:after="0"/>
        <w:tabs>
          <w:tab w:leader="none" w:pos="8320" w:val="left"/>
          <w:tab w:leader="none" w:pos="9240" w:val="left"/>
          <w:tab w:leader="none" w:pos="9840" w:val="left"/>
          <w:tab w:leader="none" w:pos="10880" w:val="left"/>
        </w:tabs>
        <w:rPr>
          <w:sz w:val="20"/>
          <w:szCs w:val="20"/>
          <w:color w:val="auto"/>
        </w:rPr>
      </w:pPr>
      <w:r>
        <w:rPr>
          <w:rFonts w:ascii="Times New Roman" w:cs="Times New Roman" w:eastAsia="Times New Roman" w:hAnsi="Times New Roman"/>
          <w:sz w:val="18"/>
          <w:szCs w:val="18"/>
          <w:color w:val="auto"/>
        </w:rPr>
        <w:t>Tax credits and other tax benefits recognized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1,985</w:t>
        <w:tab/>
        <w:t>$</w:t>
      </w:r>
      <w:r>
        <w:rPr>
          <w:sz w:val="20"/>
          <w:szCs w:val="20"/>
          <w:color w:val="auto"/>
        </w:rPr>
        <w:tab/>
      </w:r>
      <w:r>
        <w:rPr>
          <w:rFonts w:ascii="Times New Roman" w:cs="Times New Roman" w:eastAsia="Times New Roman" w:hAnsi="Times New Roman"/>
          <w:sz w:val="17"/>
          <w:szCs w:val="17"/>
          <w:color w:val="auto"/>
        </w:rPr>
        <w:t>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6" w:name="page47"/>
    <w:bookmarkEnd w:id="46"/>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March 31, 2025, as compared to December 31, 2024, and our results of operations for the three month periods ended March 31, 2025 and March 31, 2024.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2024 (the “2024 Annual Report”), filed with the Securities and Exchange Commission on March 6, 2025.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37% of our equity as of March 31, 2025. As of March 31, 2025, our total assets were $8.29 billion, our total loans, net of allowance for credit losses were $4.62 billion, our total deposits were $7.41 billion, and our stockholders' equity was $736.0 million. As of March 31, 2025, our trust business held $35.71 billion in assets under custody and $14.23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2024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significant accounting policies, or the estimates made pursuant to those policies as described in our 2024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results are made using qualitative factors. These factors include: (1) borrowers' financial condition; (2) borrowers' ability to pay;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volume of financial assets; (4) value of the underlying collateral; (5) lending policies and procedures; (6) quality of the loan review system;</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ability, and depth of staff; (8) regulatory and legal environment; (9) changes in market conditions; and (10) changes in economic conditions.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borrowers,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Effective in 2024 and onward</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2023-02, Investments - Equity Method and Joint Ventures (Topic 323) - Accounting for Investments in Tax Credit Structures Using the Proportional Amortization Method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2023, the FASB issued ASU 2023-02, Investments - Equity Method and Joint Ventures (Topic 323): Accounting for Investments in Tax Credit Structures Using the Proportional Amortization Method, which is intended to expand the use of the proportional amortization method of accounting, previously allowed only for investments in low-income housing tax credit structures, to equity investments in other tax credit structures that meet certain criteria. The proportional amortization method results in the tax credit investment being amortized in proportion to the allocation of tax credits and other tax benefits in each period, and net presentation within the income tax line item. This expansion to other investments simplifies the accounting for reporting entities and can provide users with a better understanding of these investments. The Company adopted the standard for the year ended December 31, 2024. The adoption did not impact the existing equity investments in tax structures.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This ASU is effective for the year ended December 31, 2024 and for interim reporting periods beginning with the quarter ended March 31, 2025. Early adoption is permitted. The Company does not expect an impact of this standard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for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technology fees and other miscellaneous operating costs.</w:t>
      </w: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first quarter of 2025 was $25.0 million, or $0.81 per diluted share, compared to $27.2 million, or $0.89 per diluted share, for the first quarter of 2024. The $2.2 million decrease was primarily due to a $3.8 million decrease in non-interest income, a $3.5 million increase in non-interest expense, and a $1.2 million increase in interest expense, offset by a $3.8 million increase in interest and dividend income, a $1.6 million decrease in income tax expense, and a $1.0 million decrease in provision for credit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subordinated debt, Federal Home Loan Bank of New York ("FHLBNY") advances, federal funds purchased and other borrowings. To evaluate net interest income, we measure and monitor (i) yields on our loans, investments,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2024</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20" w:type="dxa"/>
            <w:vAlign w:val="bottom"/>
            <w:tcBorders>
              <w:bottom w:val="single" w:sz="8" w:color="auto"/>
            </w:tcBorders>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3,170,356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4,695,264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4,390,489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8,067,344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7,845,225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2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220,589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226,270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8,292,978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8,076,563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4,242,786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3,591,551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23"/>
        </w:trPr>
        <w:tc>
          <w:tcPr>
            <w:tcW w:w="38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4,475,469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288,093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7,570,598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7,475,804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722,380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600,759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8,292,978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8,076,563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4"/>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23"/>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3,457,535</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3,587,296</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6"/>
        </w:trPr>
        <w:tc>
          <w:tcPr>
            <w:tcW w:w="3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7,376,530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7,108,074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funding / total cost of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7,510,870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bl>
    <w:p>
      <w:pPr>
        <w:spacing w:after="0" w:line="66"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1Q2025 and 1Q2024 of $0 and $18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$70.6 million for the first quarter of 2025, compared to $68.0 million for the first quarter of 2024. The $2.6 million increase, or 3.8% increase from the first quarter of 2024 was primarily attributable to higher yields and average balances on interest-earning assets, partially offset by higher costs and average balances on interest-bearing liabilities.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spread was 2.41% for the three months ended March 31, 2025, compared to 2.24% for the same period in 2024, an increase of 17 basis points. Our net interest margin was 3.55% for the first quarter of 2025, an increase of 6 basis points from 3.49% in the first quarter of 2024. This was largely due to increases in yields and average balances on interest-bearing assets, partially offset by an increase in total cost of funds.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5.06% for the three months ended March 31, 2025, compared to 4.97% for the same period in 2024, an increase of 9 basis points. This increase was driven primarily by the current rate environment resulting in increased yields across securities and loan portfolios.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2.65% for the three months ended March 31, 2025, a decrease of 8 basis points from the same period in 2024, which was primarily due to a decrease in interest expense paid for deposits, particularly in savings, NOW, money market deposits and time deposits. Non-interest-bearing deposits represented 39.3% of average deposits for the three months ended March 31, 2025, compared to 44.2% for the three months ended March 31,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9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March 31, 2025 over March 31,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6"/>
                <w:szCs w:val="16"/>
                <w:b w:val="1"/>
                <w:bCs w:val="1"/>
                <w:color w:val="auto"/>
              </w:rPr>
              <w:t>Changes Due To</w:t>
            </w: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0" w:type="dxa"/>
            <w:vAlign w:val="bottom"/>
          </w:tcPr>
          <w:p>
            <w:pPr>
              <w:spacing w:after="0"/>
              <w:rPr>
                <w:sz w:val="1"/>
                <w:szCs w:val="1"/>
                <w:color w:val="auto"/>
              </w:rPr>
            </w:pPr>
          </w:p>
        </w:tc>
      </w:tr>
      <w:tr>
        <w:trPr>
          <w:trHeight w:val="129"/>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1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establish an allowance for credit losses through a provision for credit losses charged as an expense in our Consolidated Statements of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2024</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credit losses totaled an expense of $0.6 million for the first quarter of 2025 compared to an expense of $1.6 million for the same period in 2024. Overall, the provision for credit losses during the first quarter of 2025 was primarily driven by charge offs on consumer solar and other C&amp;I loans and increases in specific reserves, offset by improvements in the macroeconomic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changes in fair value on loans held-for-sale, income or losses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8"/>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0"/>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loans and changes in fair value on loans held-for-sale,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 investments (loss) income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2024</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was $6.4 million for the first quarter of 2025, compared to $10.2 million for the first quarter in 2024. The decrease of $3.8 million in the first quarter of 2025 compared to the corresponding quarter in 2024 was primarily due to a $4.6 million decrease in income from equity investments and a $2.7 million decrease in service charges on deposit accounts primarily due to decreases in Insured Cash Sweep ("ICS") One-Way Sell income, offset by a $2.1 million decrease in losses on sale of securities, a $0.8 million increase in gain on sale of loans and changes in fair value on loans held-for-sale, a $0.3 million increase in trust department fees and a $0.2 million increase in other income. Our Trust Department fees were $4.2 million in the first quarter of 2025, and $3.9 million in the same period in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technology, office maintenance and depreciation, amortization of intangible assets, advertising and promotion, federal deposit insurance premiums,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8"/>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3" w:name="page54"/>
    <w:bookmarkEnd w:id="53"/>
    <w:p>
      <w:pPr>
        <w:jc w:val="both"/>
        <w:spacing w:after="0" w:line="246" w:lineRule="auto"/>
        <w:rPr>
          <w:sz w:val="20"/>
          <w:szCs w:val="20"/>
          <w:color w:val="auto"/>
        </w:rPr>
      </w:pPr>
      <w:r>
        <w:rPr>
          <w:rFonts w:ascii="Times New Roman" w:cs="Times New Roman" w:eastAsia="Times New Roman" w:hAnsi="Times New Roman"/>
          <w:sz w:val="18"/>
          <w:szCs w:val="18"/>
          <w:color w:val="auto"/>
        </w:rPr>
        <w:t>Non-interest expense for the first quarter of 2025 was $41.7 million, an increase of $3.5 million from $38.2 million for the first quarter of 2024. The increase was driven by a $2.4 million increase in professional fees and $1.0 million increase in compensation and benefits expense related to an expected increase in compensation due to increased headcount and corporate incentive payments, and a $1.0 million increase in technology expense, a $0.4 million increase in occupancy and depreciation expense and a $0.1 million increase in other expenses, partially offset by a $1.2 million decrease in advertising and promotion expense and a $0.2 million decrease in federal deposit insurance premiums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2024</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$9.7 million for the first quarter of 2025, compared to $11.3 million for the first quarter of 2024. Our effective tax rate for the first quarter of 2025 was 28.0% compared to 29.2% for the first quarter of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$8.29 billion at March 31, 2025, compared to $8.26 billion at December 31, 2024. Notable changes within individual balance sheet line items include a $231.5 million increase in deposits, a $65.1 million increase in securities, a $17.9 million increase in resell agreements, a $7.0 million increase in loans receivable, net, a $5.0 million increase in cash, and a $244.7 million decrease in borrowings.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CMOs. We invest in non-GSE securities, including property assessed clean energy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March 31, 2025 or at December 31, 2024.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we had available for sale securities of $1.71 billion and $1.63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held-to-maturity securities portfolio primarily consisted of PACE assessments, tax-exempt municipal securities, GSE commercial and residential certificates and other debt. We carry these securities at amortized cost. We had held-to-maturity securities of $1.57 billion at March 31, 2025, and $1.59 billion at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purchased a total of $161.8 million securities consisting of both available for sale and held-to-maturity, and sold available for sale securities resulting in proceeds of $16.1 million and a net realized loss of $0.7 million as part of normal and ongoing balance sheet management.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$19.2 million at March 31, 2025 and $27.0 million at December 31, 2024, and is excluded from the estimate of credit losses, as accrued interest receivable is reversed for securities placed on nonaccrual status. The allowance for credit losses for held-to-maturity securities at March 31, 2025 was $0.7 million compared to $0.7 million at December 31, 2024. The provision for credit losses for held-to-maturity securities was a recovery of $3.0 thousand for the three months ended March 31, 2025, compared to a recovery of $11.0 thousand for the three months ended March 31,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recovery).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$12.0 million at March 31, 2025 and $11.7 million at December 31, 2024, and is excluded from the estimate of credit losses, as accrued interest receivable is reversed for securities placed on nonaccrual status.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527,989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671,036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1,707,274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271,200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held-to-maturity</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1,573,818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3,281,092</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3,215,967</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March 31, 2025</w:t>
            </w:r>
          </w:p>
        </w:tc>
        <w:tc>
          <w:tcPr>
            <w:tcW w:w="5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GSE certificates &amp; CMOs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60,510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486,638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187,932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473,168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265,542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722,135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522,378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2,713,017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March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8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Credit Ratings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gridSpan w:val="3"/>
            <w:vMerge w:val="restart"/>
          </w:tcPr>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6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740" w:type="dxa"/>
            <w:vAlign w:val="bottom"/>
            <w:vMerge w:val="continue"/>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AAA</w:t>
            </w:r>
          </w:p>
        </w:tc>
        <w:tc>
          <w:tcPr>
            <w:tcW w:w="7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 AA</w:t>
            </w:r>
          </w:p>
        </w:tc>
        <w:tc>
          <w:tcPr>
            <w:tcW w:w="6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6"/>
              </w:rPr>
              <w:t>% A</w:t>
            </w: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Floating</w:t>
            </w:r>
          </w:p>
        </w:tc>
        <w:tc>
          <w:tcPr>
            <w:tcW w:w="8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Collateralized Loan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("CLO")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523,630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40" w:type="dxa"/>
            <w:vAlign w:val="bottom"/>
            <w:tcBorders>
              <w:right w:val="single" w:sz="8" w:color="auto"/>
            </w:tcBorders>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186,212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85,199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72,454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867,495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PACE assessments. All non-agency securities, composed of non-agency commercial mortgage-backed securities, collateralized loan obligations, non-agency mortgage-backed securities, and asset-backed securities, are senior tranche and approximately 82% carry AAA credit ratings and 18% carry A credit ratings or higher. Approximately 77% of this portfolio is classified as “available for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Lending related income is the most important component of our net interest income and is the main driver of our results of operations. Total loans, net of deferred origination fees and costs, and allowance for credit losses, were $4.62 billion as of March 31, 2025 compared to $4.61 billion as of December 31, 2024. Within our commercial loan portfolio, our primary focus has been on C&amp;I, multifamily and CRE lending. We intend to focus any organic growth in our loan portfolio on these lending areas as part of our strategic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March 31,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3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Pr>
          <w:p>
            <w:pPr>
              <w:spacing w:after="0"/>
              <w:rPr>
                <w:sz w:val="20"/>
                <w:szCs w:val="20"/>
                <w:color w:val="auto"/>
              </w:rPr>
            </w:pPr>
          </w:p>
        </w:tc>
        <w:tc>
          <w:tcPr>
            <w:tcW w:w="31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1,183,297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1,371,950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2,984,941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1,303,856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1,692,565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4,677,506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4,619,830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loan portfolio comprised 63.8% of our total loan portfolio at March 31, 2025 and 63.3% of our total loan portfolio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categories of our commercial loan portfolio are discussed below:</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either the lead bank or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March 31, 2025 by exposure was $4.4 million with a median size of $1.1 million. Our lending strategy focuses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C&amp;I loans totaled $1.18 billion at March 31, 2025, which comprised 25.3% of our total loan portfolio. During the three months ended March 31, 2025, the C&amp;I loan portfolio increased by 0.7% from $1.18 billion at December 31, 2024.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69% of their exposure in New York City. Our multifamily loans have been underwritten under stringent guidelines on loan-to-value and debt service coverage ratios that are designed to mitigate credit and concentration risk in this loan category. The average current LTV of our multifamily loans is approximately 54%.</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multifamily loans totaled $1.37 billion at March 31, 2025, which comprised 29.4% of our total loan portfolio. During the three months ended March 31, 2025, the multifamily loan portfolio increased by 1.5% from $1.35 billion at December 31, 2024.</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have been underwritten under stringent guidelines on loan-to-value and debt service coverage ratios that are designed to mitigate credit and concentration risk in this loan category. The average current LTV of our CRE loans is approximately 44%.</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 loans totaled $409.0 million at March 31, 2025, which comprised 8.7% of our total loan portfolio. During the three months ended March 31, 2025, the CRE loan portfolio decreased by 0.6% from $411.4 million at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36.2% of our total loan portfolio at March 31, 2025 and 36.7% of our loan portfolio at December 31, 2024.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Our residential real estate lending portfolio is 99% first mortgage loans and 1% second mortgage loans. These loans are either originated by our loan officers or purchased from other originators with the servicing generally retained by such originators. As of March 31, 2025, approximately 80% of our residential 1-4 family mortgage loans were either originated by our loan officers or were acquired in our acquisition of New Resource Bank, and 20% were purchased. Our residential real estate lending loans totaled $1.30 billion at March 31, 2025, which comprised 77.0% of our retail loan portfolio and 27.9% of our total loan portfolio. As of March 31, 2025, our residential real estate lending loans decreased by 0.7% from $1.31 billion at December 31, 2024.</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loans totaled $356.6 million at March 31, 2025, which comprised 7.6% of our total loan portfolio, compared to $365.5 million, or 7.8% of our total loan portfolio, at December 31,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and other loans totaled $32.1 million at March 31, 2025, which comprised 0.7% of our total loan portfolio, compared to $34.6 million, or 0.8% of our total loan portfolio, at December 31,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March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1,183,297</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1,371,950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409,004</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1,303,856</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356,601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32,108</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2,074,267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4,677,506</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March 31, 2026: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308,244</w:t>
            </w:r>
          </w:p>
        </w:tc>
        <w:tc>
          <w:tcPr>
            <w:tcW w:w="120" w:type="dxa"/>
            <w:vAlign w:val="bottom"/>
          </w:tcPr>
          <w:p>
            <w:pPr>
              <w:spacing w:after="0"/>
              <w:rPr>
                <w:sz w:val="19"/>
                <w:szCs w:val="19"/>
                <w:color w:val="auto"/>
              </w:rPr>
            </w:pP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178,841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487,085</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1,164,086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1,204,888</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295,558</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w:t>
            </w: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759,047</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1,303,754</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356,601</w:t>
            </w:r>
          </w:p>
        </w:tc>
      </w:tr>
      <w:tr>
        <w:trPr>
          <w:trHeight w:val="230"/>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31,579</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31,979</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2,894,333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3,696,170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months ended March 31, 2025 and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9"/>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the allowance for credit losses on loans decreased $2.4 million to $57.7 million at March 31, 2025 from $60.1 million at December 31, 2024. The ratio of allowance to total loans was 1.23% at March 31, 2025 and 1.29% at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allowance for credit losses on held-to-maturity securities was $0.7 million, compared to $0.7 million at December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At March 31, 2025</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2024</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57"/>
        </w:trPr>
        <w:tc>
          <w:tcPr>
            <w:tcW w:w="4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57"/>
        </w:trPr>
        <w:tc>
          <w:tcPr>
            <w:tcW w:w="4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At March 31, 2025</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March 31, 2025 and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24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24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33,940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25,870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4,062</w:t>
            </w:r>
          </w:p>
        </w:tc>
      </w:tr>
      <w:tr>
        <w:trPr>
          <w:trHeight w:val="22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11,107</w:t>
            </w:r>
          </w:p>
        </w:tc>
      </w:tr>
      <w:tr>
        <w:trPr>
          <w:trHeight w:val="223"/>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r>
      <w:tr>
        <w:trPr>
          <w:trHeight w:val="250"/>
        </w:trPr>
        <w:tc>
          <w:tcPr>
            <w:tcW w:w="6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1,771</w:t>
            </w: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24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2,827</w:t>
            </w: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$33.9 million, or 0.41% of period-end total assets at March 31, 2025, an increase of $8.0 million, compared with $25.9 million, or 0.31% of period-end total assets at December 31, 2024. The increase in non-performing assets at March 31, 2025 compared to December 31, 2024 assets was primarily driven by a $11.8 million increase in commercial and industrial nonaccrual loans offset by a $3.9 million decrease in held for sale nonaccrual loans.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table above and totaled $140.8 million, or 1.7% of total assets, at March 31, 2025, as follows: $78.8 million are commercial loans currently in workout that management expects will be rehabilitated; $48.2 million are commercial loans that are 30-89 days delinquent; $8.0 million are residential real estate loans at 30-89 days delinquent, and $5.8 million are consumer loans at 30-89 days delinquent.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we entered into $41.7 million of short term investments of resell agreements backed by government guaranteed loans and other loans, with a weighted average interest rate of 6.69%. As of December 31, 2024, we have entered into $23.7 million of short term investments of resell agreements backed by residential mortgage loans, with a weighted interest rate of 6.91%.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$33.8 million at March 31, 2025 and $42.4 million at December 31, 2024. As of March 31, 2025,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$7.41 billion at March 31, 2025, compared to $7.18 billion at December 31, 2024.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PACs ("political action committees"), and state and national party committees, which we refer to as political deposits. These deposits exhibit seasonality based on election cycles. As of March 31, 2025 and December 31, 2024, we had approximately $1.07 billion and $969.6 million, respectively, in political deposits on- and off-balance sheet which are primarily in demand deposits.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network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As of March 31, 2025 and December 31, 2024, these off-balance sheet deposits totaled $214.5 million and $0, respectively. In return for record keeping services at Program Banks, the Company receives a servicing fee. For the three months ended March 31, 2025, the Company recognized $8.6 thousand in servicing fee income compared to $2.9 million for the three months ended March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March 31, 2025 and December 31, 2024 were $3.87 billion and $3.71 billion,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March 31, 2025 are summarized as follows:</w:t>
      </w:r>
    </w:p>
    <w:p>
      <w:pPr>
        <w:spacing w:after="0" w:line="2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Maturities as of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Company's policies, the Company may enter into derivative transactions to hedge against interest rate risk. The impact of existing derivative contracts are included in the simulation analysis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March 31, 2025 are presented in the following table. The projections assume immediate, parallel shifts downward of the yield curve of 100, 200, 300 and 400 basis points and immediate, parallel shifts upward of the yield curve of 100, 200 and 300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860" w:type="dxa"/>
            <w:vAlign w:val="bottom"/>
          </w:tcPr>
          <w:p>
            <w:pPr>
              <w:spacing w:after="0"/>
              <w:rPr>
                <w:sz w:val="18"/>
                <w:szCs w:val="18"/>
                <w:color w:val="auto"/>
              </w:rPr>
            </w:pPr>
          </w:p>
        </w:tc>
        <w:tc>
          <w:tcPr>
            <w:tcW w:w="4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vMerge w:val="continue"/>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Economic Value of</w:t>
            </w: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Year 1 Net Interest</w:t>
            </w:r>
          </w:p>
        </w:tc>
        <w:tc>
          <w:tcPr>
            <w:tcW w:w="0" w:type="dxa"/>
            <w:vAlign w:val="bottom"/>
          </w:tcPr>
          <w:p>
            <w:pPr>
              <w:spacing w:after="0"/>
              <w:rPr>
                <w:sz w:val="1"/>
                <w:szCs w:val="1"/>
                <w:color w:val="auto"/>
              </w:rPr>
            </w:pPr>
          </w:p>
        </w:tc>
      </w:tr>
      <w:tr>
        <w:trPr>
          <w:trHeight w:val="216"/>
        </w:trPr>
        <w:tc>
          <w:tcPr>
            <w:tcW w:w="3240" w:type="dxa"/>
            <w:vAlign w:val="bottom"/>
            <w:gridSpan w:val="2"/>
            <w:vMerge w:val="continue"/>
          </w:tcPr>
          <w:p>
            <w:pPr>
              <w:spacing w:after="0"/>
              <w:rPr>
                <w:sz w:val="18"/>
                <w:szCs w:val="18"/>
                <w:color w:val="auto"/>
              </w:rPr>
            </w:pP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Equity ($ in thousands)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Income ($ 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-14.9%</w:t>
            </w: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(246,978)</w:t>
            </w: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2000" w:type="dxa"/>
            <w:vAlign w:val="bottom"/>
            <w:tcBorders>
              <w:top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(9,561)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-8.2%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-0.3%</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(38,637)</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2,925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-2.6%</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(43,188)</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(10,041)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(168,418)</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-23.7%</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(391,890)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(37,522)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-47.2%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(780,259)</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(57,860)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w:t>
            </w: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2025, our cash and equivalents, which consist of cash and amounts due from banks and interest-bearing deposits in other financial institutions, amounted to $65.7 million, or 0.8% of total assets, compared to $60.7 million, or 0.7% of total assets at December 31, 2024. The $5.0 million, or 8.2%, increase is due to normal business activity, paydowns of borrowings, and strategic investment securities purchases, offset by investments in resell agreements. Our available for sale securities at March 31, 2025 were $1.71 billion, or 20.6% of total assets, compared to $1.63 billion, or 19.7% of total assets at December 31, 2024. Available for sale securities with an aggregate fair value of $1.25 billion at March 31, 2025 were pledged to secure outstanding advances, letters of credit, provide additional borrowing potential, and collateralize municipal deposits. Additionally, mortgage loans with an unpaid principal balance of $2.45 billion and $2.45 billion respectively, were pledged to the FHLBNY to secure outstanding advances, letters of credit and to provide additional borrowing potential.</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March 31, 2025, we had $6.0 million advances from the FHLBNY and a remaining credit availability of $2.04 billion. In addition, we maintain borrowing capacity of approximately $1.01 billion with the Federal Reserve’s discount window that is secured by certain securities from our portfolio which are not pledged for other purposes.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$63.7 million in subordinated debt, net of issuance costs. Our cash, off-balance sheet deposits, and borrowing capacity totaled $3.32 billion of immediately available funds, in addition to unpledged securities with two-day availability of $301.0 million for total liquidity within two-days of $3.62 billion, which provided coverage for 94%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March 31, 2025 was $736.0 million, compared to $707.7 million at December 31, 2024, an increase of $28.3 million. The increase was primarily driven by $25.0 million of net income and a $11.3 million improvement in accumulated other comprehensive loss due to the tax effected mark-to-market on our securities portfolio, offset by $4.4 million in dividends paid at $0.14 per outstanding share, and $3.5 million of common stock repurchases.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538,398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323,039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430,718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414,607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242,279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349,959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540,616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417,637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351,400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As of March 31, 2025,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by contractual maturity date as of March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226,404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April 2025, the Company entered into a fifteen year lease agreement for the Company's headquarters. The base rent amount for the premises commences at $6.2 million per annum and is escalated by approximately 9% on the fifth anniversary of rent commencement and by an additional approximately 8% on the tenth anniversary of rent commencement. The company is expected to move to the new premises in mid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which operates Home Run Financing, for the purchase of PACE assessment securities until December 2026. As of March 31, 2025, the estimated remaining commitment was $228.4 million.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9" w:name="page70"/>
    <w:bookmarkEnd w:id="6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market risk from that presented in the 2024 Annual Report. Our interest rate sensitivity position at March 31, 2025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March 31, 2025.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Exchange Act Rule 13a-15(f)) that occurred during the quarter ended March 31, 2025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2024, as filed with the SEC on March 7, 2025,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March 31, 2025 by or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through January 31,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 through February 28, 2025</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through March 31, 2025</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29"/>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61,157</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17,183,353</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52,497</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15,457,876</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188,719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34.08</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105,038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firstLine="8"/>
        <w:spacing w:after="0" w:line="282" w:lineRule="auto"/>
        <w:tabs>
          <w:tab w:leader="none" w:pos="21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16,475 shares withheld by the Company for options exercises, 67,206 shares withheld for taxes related to the exercise or vesting of options and stock awards, as well as 105,038 shares repurchased pursuant to the share repurchase program described in Note (2).</w:t>
      </w:r>
    </w:p>
    <w:p>
      <w:pPr>
        <w:spacing w:after="0" w:line="202" w:lineRule="exact"/>
        <w:rPr>
          <w:rFonts w:ascii="Times New Roman" w:cs="Times New Roman" w:eastAsia="Times New Roman" w:hAnsi="Times New Roman"/>
          <w:sz w:val="14"/>
          <w:szCs w:val="14"/>
          <w:color w:val="auto"/>
        </w:rPr>
      </w:pPr>
    </w:p>
    <w:p>
      <w:pPr>
        <w:ind w:firstLine="8"/>
        <w:spacing w:after="0" w:line="261"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25, 2022, the Company’s Board of Directors approved an increase to the share repurchase program authorizing the repurchase of an aggregate amount up to $40 million of the Company's outstanding common stock (the "2022 Share Repurchase Program). The authorization did not require the Company to acquire any specified number of shares and can be suspended or discontinued without prior notice. Under the 2022 Share Repurchase Program, $3.5 million of common stock was purchased during the quarter ended March 31, 2025.</w:t>
      </w:r>
    </w:p>
    <w:p>
      <w:pPr>
        <w:spacing w:after="0" w:line="20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As of March 10, 2025, we do not intend to make further purchases under the 2022 Share Repurchase Program. Effective March 10, 2025, our Board of Directors authorized a new share repurchase program that allows the Company to repurchase up to $40 million of its common stock (the "2025 Share Repurchase Program"). The authorization did not require us to acquire any specified number of shares and can be suspended or discontinued without prior notice. Under the 2025 Share Repurchase Program, no common stock was purchased during the quarter ended March 31, 2025.</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1" w:name="page72"/>
    <w:bookmarkEnd w:id="7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January 15, 2025, Sam Brown, Senior Executive Vice President, Chief Banking Officer, adopted a Rule 10b5-1 trading arrangement that is intended to satisfy the affirmative defense of Rule 10b5-1(c) for the sale of up to 5,151 shares of the Company’s common stock, with such transactions to occur during sale periods beginning on or after April 15, 2025 and ending on the earlier of April 14, 2026 or the date on which all shares authorized for sale have been sold in conformance with the terms of the arrangement.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jc w:val="both"/>
        <w:ind w:right="539"/>
        <w:spacing w:after="0" w:line="266" w:lineRule="auto"/>
        <w:rPr>
          <w:sz w:val="20"/>
          <w:szCs w:val="20"/>
          <w:color w:val="auto"/>
        </w:rPr>
      </w:pPr>
      <w:r>
        <w:rPr>
          <w:rFonts w:ascii="Times New Roman" w:cs="Times New Roman" w:eastAsia="Times New Roman" w:hAnsi="Times New Roman"/>
          <w:sz w:val="18"/>
          <w:szCs w:val="18"/>
          <w:color w:val="auto"/>
        </w:rPr>
        <w:t>Amended &amp; Restated Employment Agreement, dated February 24, 2025, by and among Amalgamated Financial Corp., Amalgamated Bank, and Sean Searby (incorporated by reference to Exhibit 10.1 to Amalgamated Financial Corp.’s Current Report on Form 8-K filed with the SEC on February 27, 2025)</w:t>
      </w:r>
    </w:p>
    <w:p>
      <w:pPr>
        <w:spacing w:after="0" w:line="284" w:lineRule="exact"/>
        <w:rPr>
          <w:sz w:val="20"/>
          <w:szCs w:val="20"/>
          <w:color w:val="auto"/>
        </w:rPr>
      </w:pPr>
    </w:p>
    <w:p>
      <w:pPr>
        <w:jc w:val="both"/>
        <w:ind w:right="539"/>
        <w:spacing w:after="0" w:line="266" w:lineRule="auto"/>
        <w:rPr>
          <w:sz w:val="20"/>
          <w:szCs w:val="20"/>
          <w:color w:val="auto"/>
        </w:rPr>
      </w:pPr>
      <w:r>
        <w:rPr>
          <w:rFonts w:ascii="Times New Roman" w:cs="Times New Roman" w:eastAsia="Times New Roman" w:hAnsi="Times New Roman"/>
          <w:sz w:val="18"/>
          <w:szCs w:val="18"/>
          <w:color w:val="auto"/>
        </w:rPr>
        <w:t>Amalgamated Financial Corp. Bonus Deferral and Deferred Stock Unit Program (incorporated by reference to Exhibit 10.1 to Amalgamated Financial Corp.’s Current Report on Form 8-K filed with the SEC on March 25, 2025)</w:t>
      </w:r>
    </w:p>
    <w:p>
      <w:pPr>
        <w:spacing w:after="0" w:line="284" w:lineRule="exact"/>
        <w:rPr>
          <w:sz w:val="20"/>
          <w:szCs w:val="20"/>
          <w:color w:val="auto"/>
        </w:rPr>
      </w:pPr>
    </w:p>
    <w:p>
      <w:pPr>
        <w:jc w:val="both"/>
        <w:ind w:right="539"/>
        <w:spacing w:after="0" w:line="282" w:lineRule="auto"/>
        <w:rPr>
          <w:sz w:val="20"/>
          <w:szCs w:val="20"/>
          <w:color w:val="auto"/>
        </w:rPr>
      </w:pPr>
      <w:r>
        <w:rPr>
          <w:rFonts w:ascii="Times New Roman" w:cs="Times New Roman" w:eastAsia="Times New Roman" w:hAnsi="Times New Roman"/>
          <w:sz w:val="18"/>
          <w:szCs w:val="18"/>
          <w:color w:val="auto"/>
        </w:rPr>
        <w:t>Form of Deferred Restricted Stock Unit Award Agreement (incorporated by reference to Exhibit 10.2 to Amalgamated Financial Corp.’s Current Report on Form 8-K filed with the SEC on March 25, 2025)</w:t>
      </w:r>
    </w:p>
    <w:p>
      <w:pPr>
        <w:spacing w:after="0" w:line="270" w:lineRule="exact"/>
        <w:rPr>
          <w:sz w:val="20"/>
          <w:szCs w:val="20"/>
          <w:color w:val="auto"/>
        </w:rPr>
      </w:pPr>
    </w:p>
    <w:p>
      <w:pPr>
        <w:jc w:val="both"/>
        <w:ind w:right="539"/>
        <w:spacing w:after="0" w:line="266" w:lineRule="auto"/>
        <w:rPr>
          <w:sz w:val="20"/>
          <w:szCs w:val="20"/>
          <w:color w:val="auto"/>
        </w:rPr>
      </w:pPr>
      <w:r>
        <w:rPr>
          <w:rFonts w:ascii="Times New Roman" w:cs="Times New Roman" w:eastAsia="Times New Roman" w:hAnsi="Times New Roman"/>
          <w:sz w:val="18"/>
          <w:szCs w:val="18"/>
          <w:color w:val="auto"/>
        </w:rPr>
        <w:t>Form of Deferred Restricted Stock Unit Award Agreement – Matching Grant (incorporated by reference to Exhibit 10.3 to Amalgamated Financial Corp.’s Current Report on Form 8-K filed with the SEC on March 25, 2025)</w:t>
      </w:r>
    </w:p>
    <w:p>
      <w:pPr>
        <w:spacing w:after="0" w:line="284" w:lineRule="exact"/>
        <w:rPr>
          <w:sz w:val="20"/>
          <w:szCs w:val="20"/>
          <w:color w:val="auto"/>
        </w:rPr>
      </w:pPr>
    </w:p>
    <w:p>
      <w:pPr>
        <w:jc w:val="both"/>
        <w:ind w:right="539"/>
        <w:spacing w:after="0" w:line="266" w:lineRule="auto"/>
        <w:rPr>
          <w:sz w:val="20"/>
          <w:szCs w:val="20"/>
          <w:color w:val="auto"/>
        </w:rPr>
      </w:pPr>
      <w:r>
        <w:rPr>
          <w:rFonts w:ascii="Times New Roman" w:cs="Times New Roman" w:eastAsia="Times New Roman" w:hAnsi="Times New Roman"/>
          <w:sz w:val="18"/>
          <w:szCs w:val="18"/>
          <w:color w:val="auto"/>
        </w:rPr>
        <w:t>Amended &amp; Restated Employment Agreement, dated March 25, 2025, by and among Amalgamated Financial Corp., Amalgamated Bank, and Priscilla Sims Brown (incorporated by reference to Exhibit 10.4 to Amalgamated Financial Corp.’s Current Report on Form 8-K filed with the SEC on March 25, 2025)</w:t>
      </w:r>
    </w:p>
    <w:p>
      <w:pPr>
        <w:spacing w:after="0" w:line="284" w:lineRule="exact"/>
        <w:rPr>
          <w:sz w:val="20"/>
          <w:szCs w:val="20"/>
          <w:color w:val="auto"/>
        </w:rPr>
      </w:pPr>
    </w:p>
    <w:p>
      <w:pPr>
        <w:jc w:val="both"/>
        <w:ind w:right="539"/>
        <w:spacing w:after="0" w:line="266" w:lineRule="auto"/>
        <w:rPr>
          <w:sz w:val="20"/>
          <w:szCs w:val="20"/>
          <w:color w:val="auto"/>
        </w:rPr>
      </w:pPr>
      <w:r>
        <w:rPr>
          <w:rFonts w:ascii="Times New Roman" w:cs="Times New Roman" w:eastAsia="Times New Roman" w:hAnsi="Times New Roman"/>
          <w:sz w:val="18"/>
          <w:szCs w:val="18"/>
          <w:color w:val="auto"/>
        </w:rPr>
        <w:t>Lease Agreement, dated April 4, 2025, by and among Amalgamated Bank, and 99 Park Avenue Associate, L.P. (incorporated by reference to Exhibit 10.1 to Amalgamated Financial Corp.’s Current Report on Form 8-K filed with the SEC on April 8,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March 31, 2025, formatted in iXBRL (Inline eXtensible Business Reporting Language): (i) Consolidated</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Statements of Financial Condition at March 31, 2025 and December 31, 2024, (ii) Consolidated Statements of Income for the quarters ended March 31, 2025 and 2024, (iii) Consolidated Statements of Comprehensive Income for the quarters ended March 31, 2025 and 2024, (iv) Consolidated Statements of Changes in</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Shareholders’ Equity for the quarters ended March 31, 2025 and 2024, (v) Consolidated Statements of Cash Flows for the quarters ended March 31, 2025 and 2024 and (vi) Notes to Consolidated Financial Statements (unaudited).</w:t>
      </w:r>
    </w:p>
    <w:p>
      <w:pPr>
        <w:spacing w:after="0" w:line="226" w:lineRule="exact"/>
        <w:rPr>
          <w:sz w:val="20"/>
          <w:szCs w:val="20"/>
          <w:color w:val="auto"/>
        </w:rPr>
      </w:pPr>
    </w:p>
    <w:p>
      <w:pPr>
        <w:jc w:val="both"/>
        <w:ind w:right="53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March 31, 2025,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20" w:space="720"/>
            <w:col w:w="8579"/>
          </w:cols>
          <w:pgMar w:left="340" w:top="931" w:right="1440" w:bottom="1440" w:gutter="0" w:footer="0" w:header="0"/>
        </w:sectPr>
      </w:pPr>
    </w:p>
    <w:bookmarkStart w:id="74" w:name="page75"/>
    <w:bookmarkEnd w:id="74"/>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6, 2025</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6, 2025</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49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6, 2025</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5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March 31, 2025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6, 2025</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6, 2025</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2"/>
    </w:lvl>
  </w:abstractNum>
  <w:abstractNum w:abstractNumId="6">
    <w:nsid w:val="66EF438D"/>
    <w:multiLevelType w:val="hybridMultilevel"/>
    <w:lvl w:ilvl="0">
      <w:lvlJc w:val="left"/>
      <w:lvlText w:val="%1."/>
      <w:numFmt w:val="decimal"/>
      <w:start w:val="13"/>
    </w:lvl>
  </w:abstractNum>
  <w:abstractNum w:abstractNumId="7">
    <w:nsid w:val="140E0F76"/>
    <w:multiLevelType w:val="hybridMultilevel"/>
    <w:lvl w:ilvl="0">
      <w:lvlJc w:val="left"/>
      <w:lvlText w:val="%1."/>
      <w:numFmt w:val="decimal"/>
      <w:start w:val="14"/>
    </w:lvl>
  </w:abstractNum>
  <w:abstractNum w:abstractNumId="8">
    <w:nsid w:val="3352255A"/>
    <w:multiLevelType w:val="hybridMultilevel"/>
    <w:lvl w:ilvl="0">
      <w:lvlJc w:val="left"/>
      <w:lvlText w:val="%1."/>
      <w:numFmt w:val="decimal"/>
      <w:start w:val="15"/>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decimal"/>
      <w:start w:val="7"/>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1" Type="http://schemas.openxmlformats.org/officeDocument/2006/relationships/hyperlink" Target="https://www.sec.gov/Archives/edgar/data/1823608/000119312521062425/d132716dex31.htm" TargetMode="External"/><Relationship Id="rId102"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2025-05-06T07:55:14Z</dcterms:created>
  <dcterms:modified xsi:type="dcterms:W3CDTF">2025-05-06T07:55:14Z</dcterms:modified>
</cp:coreProperties>
</file>